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D4" w:rsidRPr="00E303F3" w:rsidRDefault="001D2BD4" w:rsidP="00E303F3">
      <w:pPr>
        <w:pStyle w:val="Header"/>
        <w:tabs>
          <w:tab w:val="left" w:pos="720"/>
        </w:tabs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 w:rsidRPr="00E303F3">
        <w:rPr>
          <w:rFonts w:ascii="Bookman Old Style" w:hAnsi="Bookman Old Style"/>
          <w:b/>
          <w:sz w:val="22"/>
          <w:szCs w:val="22"/>
        </w:rPr>
        <w:t>94-335</w:t>
      </w:r>
    </w:p>
    <w:p w:rsidR="00E66C1B" w:rsidRPr="00E303F3" w:rsidRDefault="00C127E0" w:rsidP="00E303F3">
      <w:pPr>
        <w:pStyle w:val="Header"/>
        <w:tabs>
          <w:tab w:val="left" w:pos="720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E303F3">
        <w:rPr>
          <w:rFonts w:ascii="Bookman Old Style" w:hAnsi="Bookman Old Style"/>
          <w:b/>
          <w:sz w:val="22"/>
          <w:szCs w:val="22"/>
        </w:rPr>
        <w:t>WELLS NATIONAL ESTUARINE RESEARCH RESERVE MANAGEMENT AUTHORITY</w:t>
      </w:r>
    </w:p>
    <w:p w:rsidR="001D2BD4" w:rsidRPr="00E303F3" w:rsidRDefault="00E303F3" w:rsidP="00E303F3">
      <w:pPr>
        <w:pStyle w:val="Header"/>
        <w:tabs>
          <w:tab w:val="left" w:pos="720"/>
        </w:tabs>
        <w:jc w:val="center"/>
        <w:rPr>
          <w:rFonts w:ascii="Bookman Old Style" w:hAnsi="Bookman Old Style"/>
          <w:sz w:val="22"/>
          <w:szCs w:val="22"/>
        </w:rPr>
      </w:pPr>
      <w:r w:rsidRPr="00E303F3">
        <w:rPr>
          <w:rFonts w:ascii="Bookman Old Style" w:hAnsi="Bookman Old Style"/>
          <w:sz w:val="22"/>
          <w:szCs w:val="22"/>
        </w:rPr>
        <w:t>2018-2019 Regulatory Agenda</w:t>
      </w:r>
    </w:p>
    <w:p w:rsidR="00C127E0" w:rsidRPr="00E303F3" w:rsidRDefault="00E303F3" w:rsidP="00E303F3">
      <w:pPr>
        <w:pStyle w:val="Header"/>
        <w:tabs>
          <w:tab w:val="left" w:pos="720"/>
        </w:tabs>
        <w:jc w:val="center"/>
        <w:rPr>
          <w:rFonts w:ascii="Bookman Old Style" w:hAnsi="Bookman Old Style"/>
          <w:sz w:val="22"/>
          <w:szCs w:val="22"/>
        </w:rPr>
      </w:pPr>
      <w:r w:rsidRPr="00E303F3">
        <w:rPr>
          <w:rFonts w:ascii="Bookman Old Style" w:hAnsi="Bookman Old Style"/>
          <w:sz w:val="22"/>
          <w:szCs w:val="22"/>
        </w:rPr>
        <w:t>August 3, 2018</w:t>
      </w:r>
    </w:p>
    <w:p w:rsidR="00E66C1B" w:rsidRPr="00E303F3" w:rsidRDefault="00E66C1B" w:rsidP="00E303F3">
      <w:pPr>
        <w:pStyle w:val="Header"/>
        <w:tabs>
          <w:tab w:val="left" w:pos="720"/>
        </w:tabs>
        <w:rPr>
          <w:rFonts w:ascii="Bookman Old Style" w:hAnsi="Bookman Old Style"/>
          <w:sz w:val="22"/>
          <w:szCs w:val="22"/>
        </w:rPr>
      </w:pPr>
    </w:p>
    <w:p w:rsidR="00E66C1B" w:rsidRPr="00E303F3" w:rsidRDefault="00E66C1B" w:rsidP="00E303F3">
      <w:pPr>
        <w:pStyle w:val="Header"/>
        <w:tabs>
          <w:tab w:val="left" w:pos="720"/>
        </w:tabs>
        <w:rPr>
          <w:rFonts w:ascii="Bookman Old Style" w:hAnsi="Bookman Old Style"/>
          <w:sz w:val="22"/>
          <w:szCs w:val="22"/>
        </w:rPr>
      </w:pPr>
    </w:p>
    <w:p w:rsidR="00E66C1B" w:rsidRPr="00E303F3" w:rsidRDefault="00E66C1B" w:rsidP="00E303F3">
      <w:pPr>
        <w:pStyle w:val="Header"/>
        <w:tabs>
          <w:tab w:val="left" w:pos="720"/>
        </w:tabs>
        <w:rPr>
          <w:rFonts w:ascii="Bookman Old Style" w:hAnsi="Bookman Old Style"/>
          <w:sz w:val="22"/>
          <w:szCs w:val="22"/>
        </w:rPr>
      </w:pPr>
      <w:r w:rsidRPr="00E303F3">
        <w:rPr>
          <w:rFonts w:ascii="Bookman Old Style" w:hAnsi="Bookman Old Style"/>
          <w:sz w:val="22"/>
          <w:szCs w:val="22"/>
        </w:rPr>
        <w:t xml:space="preserve">UMPRELLA UNIT: </w:t>
      </w:r>
      <w:r w:rsidRPr="00E303F3">
        <w:rPr>
          <w:rFonts w:ascii="Bookman Old Style" w:hAnsi="Bookman Old Style"/>
          <w:b/>
          <w:sz w:val="22"/>
          <w:szCs w:val="22"/>
        </w:rPr>
        <w:t>94-335</w:t>
      </w:r>
    </w:p>
    <w:p w:rsidR="00E66C1B" w:rsidRPr="00E303F3" w:rsidRDefault="00E66C1B" w:rsidP="00E303F3">
      <w:pPr>
        <w:pStyle w:val="Header"/>
        <w:tabs>
          <w:tab w:val="left" w:pos="720"/>
        </w:tabs>
        <w:rPr>
          <w:rFonts w:ascii="Bookman Old Style" w:hAnsi="Bookman Old Style"/>
          <w:b/>
          <w:sz w:val="22"/>
          <w:szCs w:val="22"/>
        </w:rPr>
      </w:pPr>
      <w:r w:rsidRPr="00E303F3">
        <w:rPr>
          <w:rFonts w:ascii="Bookman Old Style" w:hAnsi="Bookman Old Style"/>
          <w:sz w:val="22"/>
          <w:szCs w:val="22"/>
        </w:rPr>
        <w:t xml:space="preserve">AGENCY: </w:t>
      </w:r>
      <w:r w:rsidRPr="00E303F3">
        <w:rPr>
          <w:rFonts w:ascii="Bookman Old Style" w:hAnsi="Bookman Old Style"/>
          <w:b/>
          <w:sz w:val="22"/>
          <w:szCs w:val="22"/>
        </w:rPr>
        <w:t>Wells National Estuarine Research Reserve Management Authority (“Authority”)</w:t>
      </w:r>
    </w:p>
    <w:p w:rsidR="00E66C1B" w:rsidRPr="00E303F3" w:rsidRDefault="00E66C1B" w:rsidP="00E303F3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/>
          <w:sz w:val="22"/>
          <w:szCs w:val="22"/>
        </w:rPr>
      </w:pPr>
    </w:p>
    <w:p w:rsidR="00E66C1B" w:rsidRPr="00E303F3" w:rsidRDefault="00E66C1B" w:rsidP="00E303F3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/>
          <w:sz w:val="22"/>
          <w:szCs w:val="22"/>
        </w:rPr>
      </w:pPr>
      <w:r w:rsidRPr="00E303F3">
        <w:rPr>
          <w:rFonts w:ascii="Bookman Old Style" w:hAnsi="Bookman Old Style"/>
          <w:b/>
          <w:sz w:val="22"/>
          <w:szCs w:val="22"/>
        </w:rPr>
        <w:t>CONTACT INFORMATION FOR THE AGENCY</w:t>
      </w:r>
      <w:r w:rsidRPr="00E303F3">
        <w:rPr>
          <w:rFonts w:ascii="Bookman Old Style" w:hAnsi="Bookman Old Style"/>
          <w:sz w:val="22"/>
          <w:szCs w:val="22"/>
        </w:rPr>
        <w:t>: Paul M. Dest, Director, Wells National Estuarine Research Reserve, 342 Laudholm Farm Road, Wells, ME 04090. Telephone: (207) 646</w:t>
      </w:r>
      <w:r w:rsidR="00E303F3">
        <w:rPr>
          <w:rFonts w:ascii="Bookman Old Style" w:hAnsi="Bookman Old Style"/>
          <w:sz w:val="22"/>
          <w:szCs w:val="22"/>
        </w:rPr>
        <w:t xml:space="preserve">-1555 x124. Fax: (207) 646-2930. Email: </w:t>
      </w:r>
      <w:hyperlink r:id="rId5" w:history="1">
        <w:r w:rsidR="00E303F3" w:rsidRPr="0089594B">
          <w:rPr>
            <w:rStyle w:val="Hyperlink"/>
            <w:rFonts w:ascii="Bookman Old Style" w:hAnsi="Bookman Old Style"/>
            <w:sz w:val="22"/>
            <w:szCs w:val="22"/>
          </w:rPr>
          <w:t>dest@wellsnerr.org</w:t>
        </w:r>
      </w:hyperlink>
      <w:r w:rsidR="00E303F3">
        <w:rPr>
          <w:rFonts w:ascii="Bookman Old Style" w:hAnsi="Bookman Old Style"/>
          <w:sz w:val="22"/>
          <w:szCs w:val="22"/>
        </w:rPr>
        <w:t xml:space="preserve"> </w:t>
      </w:r>
    </w:p>
    <w:p w:rsidR="00E66C1B" w:rsidRPr="00E303F3" w:rsidRDefault="00E66C1B" w:rsidP="00E303F3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/>
          <w:sz w:val="22"/>
          <w:szCs w:val="22"/>
        </w:rPr>
      </w:pPr>
    </w:p>
    <w:p w:rsidR="00E66C1B" w:rsidRPr="00E303F3" w:rsidRDefault="00E66C1B" w:rsidP="00E303F3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/>
          <w:sz w:val="22"/>
          <w:szCs w:val="22"/>
        </w:rPr>
      </w:pPr>
      <w:r w:rsidRPr="00E303F3">
        <w:rPr>
          <w:rFonts w:ascii="Bookman Old Style" w:hAnsi="Bookman Old Style"/>
          <w:b/>
          <w:sz w:val="22"/>
          <w:szCs w:val="22"/>
        </w:rPr>
        <w:t>EMERGENCY RULES ADOPTED SINCE THE LAST REGULATORY AGENDA</w:t>
      </w:r>
      <w:r w:rsidRPr="00E303F3">
        <w:rPr>
          <w:rFonts w:ascii="Bookman Old Style" w:hAnsi="Bookman Old Style"/>
          <w:sz w:val="22"/>
          <w:szCs w:val="22"/>
        </w:rPr>
        <w:t>: None</w:t>
      </w:r>
    </w:p>
    <w:p w:rsidR="000D64B3" w:rsidRPr="00E303F3" w:rsidRDefault="000D64B3" w:rsidP="00E303F3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/>
          <w:sz w:val="22"/>
          <w:szCs w:val="22"/>
        </w:rPr>
      </w:pPr>
    </w:p>
    <w:p w:rsidR="00E66C1B" w:rsidRPr="00E303F3" w:rsidRDefault="00E66C1B" w:rsidP="00E303F3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/>
          <w:sz w:val="22"/>
          <w:szCs w:val="22"/>
        </w:rPr>
      </w:pPr>
      <w:r w:rsidRPr="00E303F3">
        <w:rPr>
          <w:rFonts w:ascii="Bookman Old Style" w:hAnsi="Bookman Old Style"/>
          <w:b/>
          <w:sz w:val="22"/>
          <w:szCs w:val="22"/>
        </w:rPr>
        <w:t>CHAPTER</w:t>
      </w:r>
      <w:r w:rsidRPr="00E303F3">
        <w:rPr>
          <w:rFonts w:ascii="Bookman Old Style" w:hAnsi="Bookman Old Style"/>
          <w:sz w:val="22"/>
          <w:szCs w:val="22"/>
        </w:rPr>
        <w:t xml:space="preserve"> </w:t>
      </w:r>
      <w:r w:rsidRPr="00E303F3">
        <w:rPr>
          <w:rFonts w:ascii="Bookman Old Style" w:hAnsi="Bookman Old Style"/>
          <w:b/>
          <w:sz w:val="22"/>
          <w:szCs w:val="22"/>
        </w:rPr>
        <w:t>1</w:t>
      </w:r>
      <w:r w:rsidRPr="00E303F3">
        <w:rPr>
          <w:rFonts w:ascii="Bookman Old Style" w:hAnsi="Bookman Old Style"/>
          <w:sz w:val="22"/>
          <w:szCs w:val="22"/>
        </w:rPr>
        <w:t>: Rules for Public Use of the Wells Reserve</w:t>
      </w:r>
    </w:p>
    <w:p w:rsidR="00E66C1B" w:rsidRPr="00E303F3" w:rsidRDefault="00E66C1B" w:rsidP="00E303F3">
      <w:pPr>
        <w:rPr>
          <w:rFonts w:ascii="Bookman Old Style" w:hAnsi="Bookman Old Style"/>
          <w:sz w:val="22"/>
          <w:szCs w:val="22"/>
        </w:rPr>
      </w:pPr>
      <w:r w:rsidRPr="00E303F3">
        <w:rPr>
          <w:rFonts w:ascii="Bookman Old Style" w:hAnsi="Bookman Old Style"/>
          <w:sz w:val="22"/>
          <w:szCs w:val="22"/>
        </w:rPr>
        <w:t>STATUTORY BASIS: P&amp;SL 1989, Chapter 108, Section 2; Section 3, subsections 1-7; Section 5, subsections 8,9</w:t>
      </w:r>
    </w:p>
    <w:p w:rsidR="00841CFD" w:rsidRPr="00E303F3" w:rsidRDefault="00E66C1B" w:rsidP="00E303F3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/>
          <w:sz w:val="22"/>
          <w:szCs w:val="22"/>
        </w:rPr>
      </w:pPr>
      <w:r w:rsidRPr="00E303F3">
        <w:rPr>
          <w:rFonts w:ascii="Bookman Old Style" w:hAnsi="Bookman Old Style"/>
          <w:sz w:val="22"/>
          <w:szCs w:val="22"/>
        </w:rPr>
        <w:t xml:space="preserve">PURPOSE: </w:t>
      </w:r>
      <w:r w:rsidR="000D64B3" w:rsidRPr="00E303F3">
        <w:rPr>
          <w:rFonts w:ascii="Bookman Old Style" w:hAnsi="Bookman Old Style"/>
          <w:sz w:val="22"/>
          <w:szCs w:val="22"/>
        </w:rPr>
        <w:t>T</w:t>
      </w:r>
      <w:r w:rsidR="00841CFD" w:rsidRPr="00E303F3">
        <w:rPr>
          <w:rFonts w:ascii="Bookman Old Style" w:hAnsi="Bookman Old Style"/>
          <w:sz w:val="22"/>
          <w:szCs w:val="22"/>
        </w:rPr>
        <w:t>o clarify language relating to the places</w:t>
      </w:r>
      <w:r w:rsidR="000D64B3" w:rsidRPr="00E303F3">
        <w:rPr>
          <w:rFonts w:ascii="Bookman Old Style" w:hAnsi="Bookman Old Style"/>
          <w:sz w:val="22"/>
          <w:szCs w:val="22"/>
        </w:rPr>
        <w:t xml:space="preserve"> where the public can access the Reserve property and </w:t>
      </w:r>
      <w:r w:rsidR="00841CFD" w:rsidRPr="00E303F3">
        <w:rPr>
          <w:rFonts w:ascii="Bookman Old Style" w:hAnsi="Bookman Old Style"/>
          <w:sz w:val="22"/>
          <w:szCs w:val="22"/>
        </w:rPr>
        <w:t>pay</w:t>
      </w:r>
      <w:r w:rsidR="000D64B3" w:rsidRPr="00E303F3">
        <w:rPr>
          <w:rFonts w:ascii="Bookman Old Style" w:hAnsi="Bookman Old Style"/>
          <w:sz w:val="22"/>
          <w:szCs w:val="22"/>
        </w:rPr>
        <w:t>ing</w:t>
      </w:r>
      <w:r w:rsidR="00841CFD" w:rsidRPr="00E303F3">
        <w:rPr>
          <w:rFonts w:ascii="Bookman Old Style" w:hAnsi="Bookman Old Style"/>
          <w:sz w:val="22"/>
          <w:szCs w:val="22"/>
        </w:rPr>
        <w:t xml:space="preserve"> entry fees, add a prohibited activity that will ensure visitor safety and privacy and maintain property use in keeping with the Reserve’s purpose, a</w:t>
      </w:r>
      <w:r w:rsidR="000D64B3" w:rsidRPr="00E303F3">
        <w:rPr>
          <w:rFonts w:ascii="Bookman Old Style" w:hAnsi="Bookman Old Style"/>
          <w:sz w:val="22"/>
          <w:szCs w:val="22"/>
        </w:rPr>
        <w:t xml:space="preserve">nd </w:t>
      </w:r>
      <w:r w:rsidR="00841CFD" w:rsidRPr="00E303F3">
        <w:rPr>
          <w:rFonts w:ascii="Bookman Old Style" w:hAnsi="Bookman Old Style"/>
          <w:sz w:val="22"/>
          <w:szCs w:val="22"/>
        </w:rPr>
        <w:t>more specific</w:t>
      </w:r>
      <w:r w:rsidR="000D64B3" w:rsidRPr="00E303F3">
        <w:rPr>
          <w:rFonts w:ascii="Bookman Old Style" w:hAnsi="Bookman Old Style"/>
          <w:sz w:val="22"/>
          <w:szCs w:val="22"/>
        </w:rPr>
        <w:t>ity</w:t>
      </w:r>
      <w:r w:rsidR="00841CFD" w:rsidRPr="00E303F3">
        <w:rPr>
          <w:rFonts w:ascii="Bookman Old Style" w:hAnsi="Bookman Old Style"/>
          <w:sz w:val="22"/>
          <w:szCs w:val="22"/>
        </w:rPr>
        <w:t xml:space="preserve"> about the one location </w:t>
      </w:r>
      <w:r w:rsidR="0033317C" w:rsidRPr="00E303F3">
        <w:rPr>
          <w:rFonts w:ascii="Bookman Old Style" w:hAnsi="Bookman Old Style"/>
          <w:sz w:val="22"/>
          <w:szCs w:val="22"/>
        </w:rPr>
        <w:t xml:space="preserve">on our property </w:t>
      </w:r>
      <w:r w:rsidR="00841CFD" w:rsidRPr="00E303F3">
        <w:rPr>
          <w:rFonts w:ascii="Bookman Old Style" w:hAnsi="Bookman Old Style"/>
          <w:sz w:val="22"/>
          <w:szCs w:val="22"/>
        </w:rPr>
        <w:t>where smoking is permitted.</w:t>
      </w:r>
    </w:p>
    <w:p w:rsidR="000D64B3" w:rsidRPr="00E303F3" w:rsidRDefault="000D64B3" w:rsidP="00E303F3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/>
          <w:sz w:val="22"/>
          <w:szCs w:val="22"/>
        </w:rPr>
      </w:pPr>
      <w:r w:rsidRPr="00E303F3">
        <w:rPr>
          <w:rFonts w:ascii="Bookman Old Style" w:hAnsi="Bookman Old Style"/>
          <w:sz w:val="22"/>
          <w:szCs w:val="22"/>
        </w:rPr>
        <w:t>SCHEDULE FOR ADOPTION: 2018</w:t>
      </w:r>
    </w:p>
    <w:p w:rsidR="000D64B3" w:rsidRPr="00E303F3" w:rsidRDefault="000D64B3" w:rsidP="00E303F3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/>
          <w:sz w:val="22"/>
          <w:szCs w:val="22"/>
        </w:rPr>
      </w:pPr>
      <w:r w:rsidRPr="00E303F3">
        <w:rPr>
          <w:rFonts w:ascii="Bookman Old Style" w:hAnsi="Bookman Old Style"/>
          <w:sz w:val="22"/>
          <w:szCs w:val="22"/>
        </w:rPr>
        <w:t>AFFECTED PARTIES: Visitors to the Wells Reserve</w:t>
      </w:r>
    </w:p>
    <w:p w:rsidR="00E66C1B" w:rsidRPr="00E303F3" w:rsidRDefault="00E66C1B" w:rsidP="00E303F3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/>
          <w:sz w:val="22"/>
          <w:szCs w:val="22"/>
        </w:rPr>
      </w:pPr>
    </w:p>
    <w:sectPr w:rsidR="00E66C1B" w:rsidRPr="00E30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1B"/>
    <w:rsid w:val="000D64B3"/>
    <w:rsid w:val="001D2BD4"/>
    <w:rsid w:val="002B2921"/>
    <w:rsid w:val="0033317C"/>
    <w:rsid w:val="00841CFD"/>
    <w:rsid w:val="00950E37"/>
    <w:rsid w:val="00A3362F"/>
    <w:rsid w:val="00C127E0"/>
    <w:rsid w:val="00E303F3"/>
    <w:rsid w:val="00E66C1B"/>
    <w:rsid w:val="00F2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C1B"/>
    <w:pPr>
      <w:overflowPunct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E66C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66C1B"/>
    <w:rPr>
      <w:rFonts w:ascii="Courier" w:eastAsia="Times New Roman" w:hAnsi="Courier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F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03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C1B"/>
    <w:pPr>
      <w:overflowPunct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E66C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66C1B"/>
    <w:rPr>
      <w:rFonts w:ascii="Courier" w:eastAsia="Times New Roman" w:hAnsi="Courier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F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0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st@wellsner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Dest</dc:creator>
  <cp:lastModifiedBy>Wismer, Don</cp:lastModifiedBy>
  <cp:revision>4</cp:revision>
  <cp:lastPrinted>2018-08-01T14:57:00Z</cp:lastPrinted>
  <dcterms:created xsi:type="dcterms:W3CDTF">2018-10-22T20:51:00Z</dcterms:created>
  <dcterms:modified xsi:type="dcterms:W3CDTF">2018-10-25T19:48:00Z</dcterms:modified>
</cp:coreProperties>
</file>