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02</w:t>
      </w:r>
      <w:r w:rsidRPr="00476A1D">
        <w:rPr>
          <w:rFonts w:ascii="Times New Roman" w:hAnsi="Times New Roman"/>
          <w:b/>
          <w:color w:val="000000"/>
          <w:sz w:val="21"/>
          <w:szCs w:val="21"/>
        </w:rPr>
        <w:tab/>
      </w:r>
      <w:r w:rsidRPr="00476A1D">
        <w:rPr>
          <w:rFonts w:ascii="Times New Roman" w:hAnsi="Times New Roman"/>
          <w:b/>
          <w:color w:val="000000"/>
          <w:sz w:val="21"/>
          <w:szCs w:val="21"/>
        </w:rPr>
        <w:tab/>
        <w:t>DEPARTMENT OF PROFESSIONAL AND FINANCIAL REGULATION</w:t>
      </w: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298</w:t>
      </w:r>
      <w:r w:rsidRPr="00476A1D">
        <w:rPr>
          <w:rFonts w:ascii="Times New Roman" w:hAnsi="Times New Roman"/>
          <w:b/>
          <w:color w:val="000000"/>
          <w:sz w:val="21"/>
          <w:szCs w:val="21"/>
        </w:rPr>
        <w:tab/>
      </w:r>
      <w:r w:rsidRPr="00476A1D">
        <w:rPr>
          <w:rFonts w:ascii="Times New Roman" w:hAnsi="Times New Roman"/>
          <w:b/>
          <w:color w:val="000000"/>
          <w:sz w:val="21"/>
          <w:szCs w:val="21"/>
        </w:rPr>
        <w:tab/>
        <w:t>BOARD OF REAL ESTATE APPRAISERS</w:t>
      </w: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Chapter 240:</w:t>
      </w:r>
      <w:r w:rsidRPr="00476A1D">
        <w:rPr>
          <w:rFonts w:ascii="Times New Roman" w:hAnsi="Times New Roman"/>
          <w:b/>
          <w:color w:val="000000"/>
          <w:sz w:val="21"/>
          <w:szCs w:val="21"/>
        </w:rPr>
        <w:tab/>
        <w:t>STANDARDS OF PROFESSIONAL PRACTICE</w:t>
      </w:r>
    </w:p>
    <w:p w:rsidR="00A52E7F" w:rsidRPr="00476A1D"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A52E7F">
      <w:pPr>
        <w:tabs>
          <w:tab w:val="left" w:pos="720"/>
          <w:tab w:val="left" w:pos="1440"/>
          <w:tab w:val="left" w:pos="2160"/>
          <w:tab w:val="left" w:pos="2880"/>
          <w:tab w:val="left" w:pos="3600"/>
          <w:tab w:val="left" w:pos="4320"/>
        </w:tabs>
        <w:rPr>
          <w:rFonts w:ascii="Times New Roman" w:hAnsi="Times New Roman"/>
          <w:color w:val="000000"/>
          <w:sz w:val="21"/>
          <w:szCs w:val="21"/>
        </w:rPr>
      </w:pPr>
      <w:r w:rsidRPr="00476A1D">
        <w:rPr>
          <w:rFonts w:ascii="Times New Roman" w:hAnsi="Times New Roman"/>
          <w:b/>
          <w:color w:val="000000"/>
          <w:sz w:val="21"/>
          <w:szCs w:val="21"/>
        </w:rPr>
        <w:t>SUMMARY:</w:t>
      </w:r>
      <w:r w:rsidRPr="00476A1D">
        <w:rPr>
          <w:rFonts w:ascii="Times New Roman" w:hAnsi="Times New Roman"/>
          <w:color w:val="000000"/>
          <w:sz w:val="21"/>
          <w:szCs w:val="21"/>
        </w:rPr>
        <w:t xml:space="preserve"> This </w:t>
      </w:r>
      <w:r w:rsidR="00404A48" w:rsidRPr="00476A1D">
        <w:rPr>
          <w:rFonts w:ascii="Times New Roman" w:hAnsi="Times New Roman"/>
          <w:color w:val="000000"/>
          <w:sz w:val="21"/>
          <w:szCs w:val="21"/>
        </w:rPr>
        <w:t xml:space="preserve">chapter establishes the Uniform Standards of Professional Appraisal Practice as the standards of practice for licensees and requires licensees to display their signature and license number on </w:t>
      </w:r>
      <w:r w:rsidR="00220176" w:rsidRPr="00476A1D">
        <w:rPr>
          <w:rFonts w:ascii="Times New Roman" w:hAnsi="Times New Roman"/>
          <w:color w:val="000000"/>
          <w:sz w:val="21"/>
          <w:szCs w:val="21"/>
        </w:rPr>
        <w:t>certifications of appraisals performed</w:t>
      </w:r>
      <w:r w:rsidRPr="00476A1D">
        <w:rPr>
          <w:rFonts w:ascii="Times New Roman" w:hAnsi="Times New Roman"/>
          <w:color w:val="000000"/>
          <w:sz w:val="21"/>
          <w:szCs w:val="21"/>
        </w:rPr>
        <w:t>.</w:t>
      </w:r>
    </w:p>
    <w:p w:rsidR="00A52E7F" w:rsidRPr="00476A1D"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476A1D" w:rsidRPr="00476A1D" w:rsidRDefault="00476A1D">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B02CC7" w:rsidP="00B02CC7">
      <w:pPr>
        <w:tabs>
          <w:tab w:val="left" w:pos="720"/>
          <w:tab w:val="left" w:pos="108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Section 1.</w:t>
      </w:r>
      <w:r w:rsidRPr="00476A1D">
        <w:rPr>
          <w:rFonts w:ascii="Times New Roman" w:hAnsi="Times New Roman"/>
          <w:b/>
          <w:color w:val="000000"/>
          <w:sz w:val="21"/>
          <w:szCs w:val="21"/>
        </w:rPr>
        <w:tab/>
      </w:r>
      <w:r w:rsidR="00A52E7F" w:rsidRPr="00476A1D">
        <w:rPr>
          <w:rFonts w:ascii="Times New Roman" w:hAnsi="Times New Roman"/>
          <w:b/>
          <w:color w:val="000000"/>
          <w:sz w:val="21"/>
          <w:szCs w:val="21"/>
        </w:rPr>
        <w:t>Uniform Standards of Professional Practice</w:t>
      </w: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r w:rsidRPr="00476A1D">
        <w:rPr>
          <w:rFonts w:ascii="Times New Roman" w:hAnsi="Times New Roman"/>
          <w:color w:val="000000"/>
          <w:sz w:val="21"/>
          <w:szCs w:val="21"/>
        </w:rPr>
        <w:tab/>
        <w:t>Licensees shall comply with generally accepted standards of professional practice as established by the Uniform Standards of Professional Appraisal Practice (“USPAP”). For purposes of this section, lic</w:t>
      </w:r>
      <w:r w:rsidR="00B02CC7" w:rsidRPr="00476A1D">
        <w:rPr>
          <w:rFonts w:ascii="Times New Roman" w:hAnsi="Times New Roman"/>
          <w:color w:val="000000"/>
          <w:sz w:val="21"/>
          <w:szCs w:val="21"/>
        </w:rPr>
        <w:t xml:space="preserve">ensees must comply with the </w:t>
      </w:r>
      <w:r w:rsidR="007E5E48" w:rsidRPr="00476A1D">
        <w:rPr>
          <w:rFonts w:ascii="Times New Roman" w:hAnsi="Times New Roman"/>
          <w:color w:val="000000"/>
          <w:sz w:val="21"/>
          <w:szCs w:val="21"/>
        </w:rPr>
        <w:t>20</w:t>
      </w:r>
      <w:r w:rsidR="00EC4C32">
        <w:rPr>
          <w:rFonts w:ascii="Times New Roman" w:hAnsi="Times New Roman"/>
          <w:color w:val="000000"/>
          <w:sz w:val="21"/>
          <w:szCs w:val="21"/>
        </w:rPr>
        <w:t>20</w:t>
      </w:r>
      <w:r w:rsidR="007E5E48" w:rsidRPr="00476A1D">
        <w:rPr>
          <w:rFonts w:ascii="Times New Roman" w:hAnsi="Times New Roman"/>
          <w:color w:val="000000"/>
          <w:sz w:val="21"/>
          <w:szCs w:val="21"/>
        </w:rPr>
        <w:t>-</w:t>
      </w:r>
      <w:r w:rsidR="00AD56ED">
        <w:rPr>
          <w:rFonts w:ascii="Times New Roman" w:hAnsi="Times New Roman"/>
          <w:color w:val="000000"/>
          <w:sz w:val="21"/>
          <w:szCs w:val="21"/>
        </w:rPr>
        <w:t>20</w:t>
      </w:r>
      <w:r w:rsidR="00EC4C32">
        <w:rPr>
          <w:rFonts w:ascii="Times New Roman" w:hAnsi="Times New Roman"/>
          <w:color w:val="000000"/>
          <w:sz w:val="21"/>
          <w:szCs w:val="21"/>
        </w:rPr>
        <w:t>21</w:t>
      </w:r>
      <w:r w:rsidRPr="00476A1D">
        <w:rPr>
          <w:rFonts w:ascii="Times New Roman" w:hAnsi="Times New Roman"/>
          <w:color w:val="000000"/>
          <w:sz w:val="21"/>
          <w:szCs w:val="21"/>
        </w:rPr>
        <w:t xml:space="preserve"> edition of USPAP effective </w:t>
      </w:r>
      <w:r w:rsidR="00B02CC7" w:rsidRPr="00476A1D">
        <w:rPr>
          <w:rFonts w:ascii="Times New Roman" w:hAnsi="Times New Roman"/>
          <w:color w:val="000000"/>
          <w:sz w:val="21"/>
          <w:szCs w:val="21"/>
        </w:rPr>
        <w:t>J</w:t>
      </w:r>
      <w:r w:rsidR="009820EC" w:rsidRPr="00476A1D">
        <w:rPr>
          <w:rFonts w:ascii="Times New Roman" w:hAnsi="Times New Roman"/>
          <w:color w:val="000000"/>
          <w:sz w:val="21"/>
          <w:szCs w:val="21"/>
        </w:rPr>
        <w:t>anuar</w:t>
      </w:r>
      <w:r w:rsidR="00B02CC7" w:rsidRPr="00476A1D">
        <w:rPr>
          <w:rFonts w:ascii="Times New Roman" w:hAnsi="Times New Roman"/>
          <w:color w:val="000000"/>
          <w:sz w:val="21"/>
          <w:szCs w:val="21"/>
        </w:rPr>
        <w:t xml:space="preserve">y 1, </w:t>
      </w:r>
      <w:r w:rsidR="007E5E48" w:rsidRPr="00476A1D">
        <w:rPr>
          <w:rFonts w:ascii="Times New Roman" w:hAnsi="Times New Roman"/>
          <w:color w:val="000000"/>
          <w:sz w:val="21"/>
          <w:szCs w:val="21"/>
        </w:rPr>
        <w:t>20</w:t>
      </w:r>
      <w:r w:rsidR="00EC4C32">
        <w:rPr>
          <w:rFonts w:ascii="Times New Roman" w:hAnsi="Times New Roman"/>
          <w:color w:val="000000"/>
          <w:sz w:val="21"/>
          <w:szCs w:val="21"/>
        </w:rPr>
        <w:t>20</w:t>
      </w:r>
      <w:r w:rsidR="00B02CC7" w:rsidRPr="00476A1D">
        <w:rPr>
          <w:rFonts w:ascii="Times New Roman" w:hAnsi="Times New Roman"/>
          <w:color w:val="000000"/>
          <w:sz w:val="21"/>
          <w:szCs w:val="21"/>
        </w:rPr>
        <w:t xml:space="preserve">. </w:t>
      </w:r>
      <w:r w:rsidR="00B32A71" w:rsidRPr="00476A1D">
        <w:rPr>
          <w:rFonts w:ascii="Times New Roman" w:hAnsi="Times New Roman"/>
          <w:color w:val="000000"/>
          <w:sz w:val="21"/>
          <w:szCs w:val="21"/>
        </w:rPr>
        <w:t xml:space="preserve">The Board hereby incorporates this edition of USPAP into this chapter by reference. </w:t>
      </w:r>
      <w:r w:rsidR="00B02CC7" w:rsidRPr="00476A1D">
        <w:rPr>
          <w:rFonts w:ascii="Times New Roman" w:hAnsi="Times New Roman"/>
          <w:color w:val="000000"/>
          <w:sz w:val="21"/>
          <w:szCs w:val="21"/>
        </w:rPr>
        <w:t xml:space="preserve">Copies of the </w:t>
      </w:r>
      <w:r w:rsidR="007E5E48" w:rsidRPr="00476A1D">
        <w:rPr>
          <w:rFonts w:ascii="Times New Roman" w:hAnsi="Times New Roman"/>
          <w:color w:val="000000"/>
          <w:sz w:val="21"/>
          <w:szCs w:val="21"/>
        </w:rPr>
        <w:t>20</w:t>
      </w:r>
      <w:r w:rsidR="00EC4C32">
        <w:rPr>
          <w:rFonts w:ascii="Times New Roman" w:hAnsi="Times New Roman"/>
          <w:color w:val="000000"/>
          <w:sz w:val="21"/>
          <w:szCs w:val="21"/>
        </w:rPr>
        <w:t>20</w:t>
      </w:r>
      <w:r w:rsidR="007E5E48" w:rsidRPr="00476A1D">
        <w:rPr>
          <w:rFonts w:ascii="Times New Roman" w:hAnsi="Times New Roman"/>
          <w:color w:val="000000"/>
          <w:sz w:val="21"/>
          <w:szCs w:val="21"/>
        </w:rPr>
        <w:t>-</w:t>
      </w:r>
      <w:r w:rsidR="00AD56ED">
        <w:rPr>
          <w:rFonts w:ascii="Times New Roman" w:hAnsi="Times New Roman"/>
          <w:color w:val="000000"/>
          <w:sz w:val="21"/>
          <w:szCs w:val="21"/>
        </w:rPr>
        <w:t>20</w:t>
      </w:r>
      <w:r w:rsidR="00EC4C32">
        <w:rPr>
          <w:rFonts w:ascii="Times New Roman" w:hAnsi="Times New Roman"/>
          <w:color w:val="000000"/>
          <w:sz w:val="21"/>
          <w:szCs w:val="21"/>
        </w:rPr>
        <w:t>21</w:t>
      </w:r>
      <w:r w:rsidRPr="00476A1D">
        <w:rPr>
          <w:rFonts w:ascii="Times New Roman" w:hAnsi="Times New Roman"/>
          <w:color w:val="000000"/>
          <w:sz w:val="21"/>
          <w:szCs w:val="21"/>
        </w:rPr>
        <w:t xml:space="preserve"> edition may be obtained, at cost, from The Appraisal Foundation, </w:t>
      </w:r>
      <w:smartTag w:uri="urn:schemas-microsoft-com:office:smarttags" w:element="PlaceName">
        <w:r w:rsidR="00DB592D" w:rsidRPr="00476A1D">
          <w:rPr>
            <w:rFonts w:ascii="Times New Roman" w:hAnsi="Times New Roman"/>
            <w:color w:val="000000"/>
            <w:sz w:val="21"/>
            <w:szCs w:val="21"/>
          </w:rPr>
          <w:t>Distribution</w:t>
        </w:r>
      </w:smartTag>
      <w:r w:rsidR="00DB592D" w:rsidRPr="00476A1D">
        <w:rPr>
          <w:rFonts w:ascii="Times New Roman" w:hAnsi="Times New Roman"/>
          <w:color w:val="000000"/>
          <w:sz w:val="21"/>
          <w:szCs w:val="21"/>
        </w:rPr>
        <w:t xml:space="preserve"> </w:t>
      </w:r>
      <w:smartTag w:uri="urn:schemas-microsoft-com:office:smarttags" w:element="PlaceType">
        <w:r w:rsidR="00DB592D" w:rsidRPr="00476A1D">
          <w:rPr>
            <w:rFonts w:ascii="Times New Roman" w:hAnsi="Times New Roman"/>
            <w:color w:val="000000"/>
            <w:sz w:val="21"/>
            <w:szCs w:val="21"/>
          </w:rPr>
          <w:t>Center</w:t>
        </w:r>
      </w:smartTag>
      <w:r w:rsidR="00DB592D" w:rsidRPr="00476A1D">
        <w:rPr>
          <w:rFonts w:ascii="Times New Roman" w:hAnsi="Times New Roman"/>
          <w:color w:val="000000"/>
          <w:sz w:val="21"/>
          <w:szCs w:val="21"/>
        </w:rPr>
        <w:t xml:space="preserve">, </w:t>
      </w:r>
      <w:smartTag w:uri="urn:schemas-microsoft-com:office:smarttags" w:element="address">
        <w:smartTag w:uri="urn:schemas-microsoft-com:office:smarttags" w:element="Street">
          <w:r w:rsidRPr="00476A1D">
            <w:rPr>
              <w:rFonts w:ascii="Times New Roman" w:hAnsi="Times New Roman"/>
              <w:color w:val="000000"/>
              <w:sz w:val="21"/>
              <w:szCs w:val="21"/>
            </w:rPr>
            <w:t xml:space="preserve">P.O. Box </w:t>
          </w:r>
          <w:r w:rsidR="00DB592D" w:rsidRPr="00476A1D">
            <w:rPr>
              <w:rFonts w:ascii="Times New Roman" w:hAnsi="Times New Roman"/>
              <w:color w:val="000000"/>
              <w:sz w:val="21"/>
              <w:szCs w:val="21"/>
            </w:rPr>
            <w:t>381</w:t>
          </w:r>
        </w:smartTag>
        <w:r w:rsidR="00DB592D" w:rsidRPr="00476A1D">
          <w:rPr>
            <w:rFonts w:ascii="Times New Roman" w:hAnsi="Times New Roman"/>
            <w:color w:val="000000"/>
            <w:sz w:val="21"/>
            <w:szCs w:val="21"/>
          </w:rPr>
          <w:t xml:space="preserve">, </w:t>
        </w:r>
        <w:smartTag w:uri="urn:schemas-microsoft-com:office:smarttags" w:element="City">
          <w:r w:rsidR="00DB592D" w:rsidRPr="00476A1D">
            <w:rPr>
              <w:rFonts w:ascii="Times New Roman" w:hAnsi="Times New Roman"/>
              <w:color w:val="000000"/>
              <w:sz w:val="21"/>
              <w:szCs w:val="21"/>
            </w:rPr>
            <w:t>Annapolis</w:t>
          </w:r>
        </w:smartTag>
      </w:smartTag>
      <w:r w:rsidR="00DB592D" w:rsidRPr="00476A1D">
        <w:rPr>
          <w:rFonts w:ascii="Times New Roman" w:hAnsi="Times New Roman"/>
          <w:color w:val="000000"/>
          <w:sz w:val="21"/>
          <w:szCs w:val="21"/>
        </w:rPr>
        <w:t xml:space="preserve"> </w:t>
      </w:r>
      <w:smartTag w:uri="urn:schemas-microsoft-com:office:smarttags" w:element="place">
        <w:smartTag w:uri="urn:schemas-microsoft-com:office:smarttags" w:element="City">
          <w:r w:rsidR="00DB592D" w:rsidRPr="00476A1D">
            <w:rPr>
              <w:rFonts w:ascii="Times New Roman" w:hAnsi="Times New Roman"/>
              <w:color w:val="000000"/>
              <w:sz w:val="21"/>
              <w:szCs w:val="21"/>
            </w:rPr>
            <w:t>Junction</w:t>
          </w:r>
        </w:smartTag>
        <w:r w:rsidR="00DB592D" w:rsidRPr="00476A1D">
          <w:rPr>
            <w:rFonts w:ascii="Times New Roman" w:hAnsi="Times New Roman"/>
            <w:color w:val="000000"/>
            <w:sz w:val="21"/>
            <w:szCs w:val="21"/>
          </w:rPr>
          <w:t xml:space="preserve">, </w:t>
        </w:r>
        <w:smartTag w:uri="urn:schemas-microsoft-com:office:smarttags" w:element="State">
          <w:r w:rsidR="00DB592D" w:rsidRPr="00476A1D">
            <w:rPr>
              <w:rFonts w:ascii="Times New Roman" w:hAnsi="Times New Roman"/>
              <w:color w:val="000000"/>
              <w:sz w:val="21"/>
              <w:szCs w:val="21"/>
            </w:rPr>
            <w:t>MD</w:t>
          </w:r>
        </w:smartTag>
        <w:r w:rsidR="00DB592D" w:rsidRPr="00476A1D">
          <w:rPr>
            <w:rFonts w:ascii="Times New Roman" w:hAnsi="Times New Roman"/>
            <w:color w:val="000000"/>
            <w:sz w:val="21"/>
            <w:szCs w:val="21"/>
          </w:rPr>
          <w:t xml:space="preserve"> </w:t>
        </w:r>
        <w:smartTag w:uri="urn:schemas-microsoft-com:office:smarttags" w:element="PostalCode">
          <w:r w:rsidR="00DB592D" w:rsidRPr="00476A1D">
            <w:rPr>
              <w:rFonts w:ascii="Times New Roman" w:hAnsi="Times New Roman"/>
              <w:color w:val="000000"/>
              <w:sz w:val="21"/>
              <w:szCs w:val="21"/>
            </w:rPr>
            <w:t>20701-0381</w:t>
          </w:r>
        </w:smartTag>
      </w:smartTag>
      <w:r w:rsidRPr="00476A1D">
        <w:rPr>
          <w:rFonts w:ascii="Times New Roman" w:hAnsi="Times New Roman"/>
          <w:color w:val="000000"/>
          <w:sz w:val="21"/>
          <w:szCs w:val="21"/>
        </w:rPr>
        <w:t xml:space="preserve">. The web site is </w:t>
      </w:r>
      <w:hyperlink r:id="rId6" w:history="1">
        <w:r w:rsidR="00DB592D" w:rsidRPr="00476A1D">
          <w:rPr>
            <w:rStyle w:val="Hyperlink"/>
            <w:rFonts w:ascii="Times New Roman" w:hAnsi="Times New Roman"/>
            <w:sz w:val="21"/>
            <w:szCs w:val="21"/>
          </w:rPr>
          <w:t>http://www.appraisalfoundation.org/</w:t>
        </w:r>
      </w:hyperlink>
      <w:r w:rsidRPr="00476A1D">
        <w:rPr>
          <w:rFonts w:ascii="Times New Roman" w:hAnsi="Times New Roman"/>
          <w:b/>
          <w:color w:val="000000"/>
          <w:sz w:val="21"/>
          <w:szCs w:val="21"/>
        </w:rPr>
        <w:t>.</w:t>
      </w:r>
    </w:p>
    <w:p w:rsidR="00DB592D" w:rsidRDefault="00DB592D">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476A1D" w:rsidRPr="00476A1D" w:rsidRDefault="00476A1D">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B02CC7" w:rsidP="00B02CC7">
      <w:pPr>
        <w:tabs>
          <w:tab w:val="left" w:pos="720"/>
          <w:tab w:val="left" w:pos="108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Section 2.</w:t>
      </w:r>
      <w:r w:rsidRPr="00476A1D">
        <w:rPr>
          <w:rFonts w:ascii="Times New Roman" w:hAnsi="Times New Roman"/>
          <w:b/>
          <w:color w:val="000000"/>
          <w:sz w:val="21"/>
          <w:szCs w:val="21"/>
        </w:rPr>
        <w:tab/>
      </w:r>
      <w:r w:rsidR="00A52E7F" w:rsidRPr="00476A1D">
        <w:rPr>
          <w:rFonts w:ascii="Times New Roman" w:hAnsi="Times New Roman"/>
          <w:b/>
          <w:color w:val="000000"/>
          <w:sz w:val="21"/>
          <w:szCs w:val="21"/>
        </w:rPr>
        <w:t>Use of License Number</w:t>
      </w: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r w:rsidRPr="00476A1D">
        <w:rPr>
          <w:rFonts w:ascii="Times New Roman" w:hAnsi="Times New Roman"/>
          <w:color w:val="000000"/>
          <w:sz w:val="21"/>
          <w:szCs w:val="21"/>
        </w:rPr>
        <w:tab/>
        <w:t>Any person licensed by the Board must display that person’s signature and license number on the certification of any appraisal performed in this State. The license number shall include the two (2) letter prefix identifying the type of license held.</w:t>
      </w:r>
    </w:p>
    <w:p w:rsidR="00A52E7F" w:rsidRPr="00476A1D"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rsidR="00A52E7F" w:rsidRPr="00EC4C32" w:rsidRDefault="00A52E7F" w:rsidP="007E5E48">
      <w:pPr>
        <w:tabs>
          <w:tab w:val="left" w:pos="720"/>
          <w:tab w:val="left" w:pos="1440"/>
          <w:tab w:val="left" w:pos="2160"/>
          <w:tab w:val="left" w:pos="2880"/>
          <w:tab w:val="left" w:pos="3600"/>
          <w:tab w:val="left" w:pos="4320"/>
        </w:tabs>
        <w:rPr>
          <w:rFonts w:ascii="Times New Roman" w:hAnsi="Times New Roman"/>
          <w:color w:val="000000"/>
          <w:sz w:val="18"/>
          <w:szCs w:val="18"/>
        </w:rPr>
      </w:pP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color w:val="000000"/>
          <w:sz w:val="19"/>
          <w:szCs w:val="19"/>
        </w:rPr>
      </w:pPr>
      <w:r w:rsidRPr="00EC4C32">
        <w:rPr>
          <w:rFonts w:ascii="Times New Roman" w:hAnsi="Times New Roman"/>
          <w:color w:val="000000"/>
          <w:sz w:val="19"/>
          <w:szCs w:val="19"/>
        </w:rPr>
        <w:t>STATUTORY AUTHORITY:</w:t>
      </w:r>
    </w:p>
    <w:p w:rsidR="00476A1D" w:rsidRPr="00EC4C32" w:rsidRDefault="00690575" w:rsidP="00476A1D">
      <w:pPr>
        <w:tabs>
          <w:tab w:val="left" w:pos="720"/>
          <w:tab w:val="left" w:pos="1440"/>
          <w:tab w:val="left" w:pos="2160"/>
          <w:tab w:val="left" w:pos="2880"/>
          <w:tab w:val="left" w:pos="3600"/>
          <w:tab w:val="left" w:pos="4320"/>
        </w:tabs>
        <w:ind w:left="720" w:hanging="720"/>
        <w:rPr>
          <w:rFonts w:ascii="Times New Roman" w:hAnsi="Times New Roman"/>
          <w:color w:val="000000"/>
          <w:sz w:val="19"/>
          <w:szCs w:val="19"/>
        </w:rPr>
      </w:pPr>
      <w:r w:rsidRPr="00EC4C32">
        <w:rPr>
          <w:rFonts w:ascii="Times New Roman" w:hAnsi="Times New Roman"/>
          <w:color w:val="000000"/>
          <w:sz w:val="19"/>
          <w:szCs w:val="19"/>
        </w:rPr>
        <w:tab/>
        <w:t>32 M.R.S.</w:t>
      </w:r>
      <w:r w:rsidR="00476A1D" w:rsidRPr="00EC4C32">
        <w:rPr>
          <w:rFonts w:ascii="Times New Roman" w:hAnsi="Times New Roman"/>
          <w:color w:val="000000"/>
          <w:sz w:val="19"/>
          <w:szCs w:val="19"/>
        </w:rPr>
        <w:t xml:space="preserve"> Chapter 124, §14012</w:t>
      </w:r>
      <w:r w:rsidR="004D3976" w:rsidRPr="00EC4C32">
        <w:rPr>
          <w:rFonts w:ascii="Times New Roman" w:hAnsi="Times New Roman"/>
          <w:color w:val="000000"/>
          <w:sz w:val="19"/>
          <w:szCs w:val="19"/>
        </w:rPr>
        <w:t>(3)</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color w:val="000000"/>
          <w:sz w:val="19"/>
          <w:szCs w:val="19"/>
        </w:rPr>
      </w:pP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EFFECTIVE DATE:</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September 18, 1999</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AMENDED:</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May 29, 2000</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April 10, 2001</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January 1, 2002</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February 8, 2003 - filing 2003-40</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December 23, 2003 - filing 2003-473</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NON-SUBSTANTIVE CORRECTIONS:</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February 20, 2004 - restored web site address in Section 1</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AMENDED:</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December 21, 2004 – filing 2004-584</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June 18, 2006 – filing 2006-259</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December 22, 2007 – filing 2007-527</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January 1, 2010 – filing 2009-704</w:t>
      </w:r>
    </w:p>
    <w:p w:rsidR="00476A1D" w:rsidRPr="00EC4C32" w:rsidRDefault="00476A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sz w:val="19"/>
          <w:szCs w:val="19"/>
        </w:rPr>
        <w:tab/>
      </w:r>
      <w:r w:rsidRPr="00EC4C32">
        <w:rPr>
          <w:rFonts w:ascii="Times New Roman" w:hAnsi="Times New Roman"/>
          <w:sz w:val="19"/>
          <w:szCs w:val="19"/>
        </w:rPr>
        <w:t>January 1, 2012 – filing 2011-406</w:t>
      </w:r>
    </w:p>
    <w:p w:rsidR="008F10A9" w:rsidRPr="00EC4C32" w:rsidRDefault="008F10A9"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January 1, 2014 – filing 2013-297</w:t>
      </w:r>
    </w:p>
    <w:p w:rsidR="007B191D" w:rsidRPr="00EC4C32" w:rsidRDefault="007B191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January 1, 2016 – filing 2015-245</w:t>
      </w:r>
    </w:p>
    <w:p w:rsidR="00AD56ED" w:rsidRDefault="00AD56ED"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sidRPr="00EC4C32">
        <w:rPr>
          <w:rFonts w:ascii="Times New Roman" w:hAnsi="Times New Roman"/>
          <w:sz w:val="19"/>
          <w:szCs w:val="19"/>
        </w:rPr>
        <w:tab/>
        <w:t>August 29, 2018 – filing 2018-170</w:t>
      </w:r>
    </w:p>
    <w:p w:rsidR="00EC4C32" w:rsidRPr="00EC4C32" w:rsidRDefault="00EC4C32" w:rsidP="00476A1D">
      <w:pPr>
        <w:tabs>
          <w:tab w:val="left" w:pos="720"/>
          <w:tab w:val="left" w:pos="1440"/>
          <w:tab w:val="left" w:pos="2160"/>
          <w:tab w:val="left" w:pos="2880"/>
          <w:tab w:val="left" w:pos="3600"/>
          <w:tab w:val="left" w:pos="4320"/>
        </w:tabs>
        <w:ind w:left="720" w:hanging="720"/>
        <w:rPr>
          <w:rFonts w:ascii="Times New Roman" w:hAnsi="Times New Roman"/>
          <w:sz w:val="19"/>
          <w:szCs w:val="19"/>
        </w:rPr>
      </w:pPr>
      <w:r>
        <w:rPr>
          <w:rFonts w:ascii="Times New Roman" w:hAnsi="Times New Roman"/>
          <w:sz w:val="19"/>
          <w:szCs w:val="19"/>
        </w:rPr>
        <w:tab/>
      </w:r>
      <w:bookmarkStart w:id="0" w:name="_GoBack"/>
      <w:bookmarkEnd w:id="0"/>
      <w:r>
        <w:rPr>
          <w:rFonts w:ascii="Times New Roman" w:hAnsi="Times New Roman"/>
          <w:sz w:val="19"/>
          <w:szCs w:val="19"/>
        </w:rPr>
        <w:t>January 20, 2020 – filing 2020-010</w:t>
      </w:r>
    </w:p>
    <w:sectPr w:rsidR="00EC4C32" w:rsidRPr="00EC4C32" w:rsidSect="008F10A9">
      <w:headerReference w:type="default" r:id="rId7"/>
      <w:footerReference w:type="default" r:id="rId8"/>
      <w:type w:val="continuous"/>
      <w:pgSz w:w="12240" w:h="15840"/>
      <w:pgMar w:top="1440" w:right="1440" w:bottom="72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C2" w:rsidRDefault="009C61C2">
      <w:r>
        <w:separator/>
      </w:r>
    </w:p>
  </w:endnote>
  <w:endnote w:type="continuationSeparator" w:id="0">
    <w:p w:rsidR="009C61C2" w:rsidRDefault="009C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976" w:rsidRDefault="004D3976">
    <w:pPr>
      <w:pStyle w:val="Footer"/>
      <w:rPr>
        <w:sz w:val="12"/>
      </w:rPr>
    </w:pPr>
    <w:r>
      <w:rPr>
        <w:sz w:val="12"/>
      </w:rPr>
      <w:fldChar w:fldCharType="begin"/>
    </w:r>
    <w:r>
      <w:rPr>
        <w:sz w:val="12"/>
      </w:rPr>
      <w:instrText xml:space="preserve">filename \p </w:instrText>
    </w:r>
    <w:r>
      <w:rPr>
        <w:sz w:val="12"/>
      </w:rPr>
      <w:fldChar w:fldCharType="separate"/>
    </w:r>
    <w:r>
      <w:rPr>
        <w:noProof/>
        <w:sz w:val="12"/>
      </w:rPr>
      <w:t>G:\GENERAL\Staffaty\Real Estate Appraisers\2011 USPAP Rulemaking\Ch 240 Adopted Rule.doc</w:t>
    </w:r>
    <w:r>
      <w:fldChar w:fldCharType="end"/>
    </w:r>
  </w:p>
  <w:p w:rsidR="004D3976" w:rsidRDefault="004D3976">
    <w:pPr>
      <w:pStyle w:val="Footer"/>
      <w:rPr>
        <w:sz w:val="12"/>
      </w:rPr>
    </w:pPr>
    <w:r>
      <w:rPr>
        <w:sz w:val="12"/>
      </w:rPr>
      <w:t xml:space="preserve">Last printed </w:t>
    </w:r>
    <w:r>
      <w:rPr>
        <w:sz w:val="12"/>
      </w:rPr>
      <w:fldChar w:fldCharType="begin"/>
    </w:r>
    <w:r>
      <w:rPr>
        <w:sz w:val="12"/>
      </w:rPr>
      <w:instrText xml:space="preserve">printdate </w:instrText>
    </w:r>
    <w:r>
      <w:rPr>
        <w:sz w:val="12"/>
      </w:rPr>
      <w:fldChar w:fldCharType="separate"/>
    </w:r>
    <w:r>
      <w:rPr>
        <w:noProof/>
        <w:sz w:val="12"/>
      </w:rPr>
      <w:t>11/3/2011 11:30:00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C2" w:rsidRDefault="009C61C2">
      <w:r>
        <w:separator/>
      </w:r>
    </w:p>
  </w:footnote>
  <w:footnote w:type="continuationSeparator" w:id="0">
    <w:p w:rsidR="009C61C2" w:rsidRDefault="009C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976" w:rsidRDefault="004D3976">
    <w:pPr>
      <w:pStyle w:val="Header"/>
      <w:rPr>
        <w:rFonts w:ascii="Times New Roman" w:hAnsi="Times New Roman"/>
        <w:sz w:val="18"/>
      </w:rPr>
    </w:pPr>
  </w:p>
  <w:p w:rsidR="004D3976" w:rsidRDefault="004D3976">
    <w:pPr>
      <w:pStyle w:val="Header"/>
      <w:rPr>
        <w:rFonts w:ascii="Times New Roman" w:hAnsi="Times New Roman"/>
        <w:sz w:val="18"/>
      </w:rPr>
    </w:pPr>
  </w:p>
  <w:p w:rsidR="004D3976" w:rsidRDefault="004D3976">
    <w:pPr>
      <w:pStyle w:val="Header"/>
      <w:rPr>
        <w:rFonts w:ascii="Times New Roman" w:hAnsi="Times New Roman"/>
        <w:sz w:val="18"/>
      </w:rPr>
    </w:pPr>
  </w:p>
  <w:p w:rsidR="004D3976" w:rsidRDefault="004D3976">
    <w:pPr>
      <w:pStyle w:val="Header"/>
      <w:pBdr>
        <w:bottom w:val="single" w:sz="4" w:space="1" w:color="auto"/>
      </w:pBdr>
      <w:jc w:val="right"/>
      <w:rPr>
        <w:rFonts w:ascii="Times New Roman" w:hAnsi="Times New Roman"/>
        <w:sz w:val="18"/>
      </w:rPr>
    </w:pPr>
    <w:r>
      <w:rPr>
        <w:rFonts w:ascii="Times New Roman" w:hAnsi="Times New Roman"/>
        <w:sz w:val="18"/>
      </w:rPr>
      <w:t xml:space="preserve">02-298 Chapter 240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2</w:t>
    </w:r>
    <w:r>
      <w:rPr>
        <w:rFonts w:ascii="Times New Roman" w:hAnsi="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592D"/>
    <w:rsid w:val="00021507"/>
    <w:rsid w:val="000C522B"/>
    <w:rsid w:val="00132578"/>
    <w:rsid w:val="001B33FA"/>
    <w:rsid w:val="00220176"/>
    <w:rsid w:val="002E32C3"/>
    <w:rsid w:val="003669DA"/>
    <w:rsid w:val="003D1BED"/>
    <w:rsid w:val="003F7189"/>
    <w:rsid w:val="00404A48"/>
    <w:rsid w:val="00476A1D"/>
    <w:rsid w:val="004A53F6"/>
    <w:rsid w:val="004D3976"/>
    <w:rsid w:val="005079FD"/>
    <w:rsid w:val="00674984"/>
    <w:rsid w:val="00675C58"/>
    <w:rsid w:val="006809B7"/>
    <w:rsid w:val="00690575"/>
    <w:rsid w:val="007B191D"/>
    <w:rsid w:val="007C38A4"/>
    <w:rsid w:val="007E5E48"/>
    <w:rsid w:val="00827FC4"/>
    <w:rsid w:val="008818F7"/>
    <w:rsid w:val="008F10A9"/>
    <w:rsid w:val="009002C7"/>
    <w:rsid w:val="00950C53"/>
    <w:rsid w:val="00972631"/>
    <w:rsid w:val="009820EC"/>
    <w:rsid w:val="009A0AC9"/>
    <w:rsid w:val="009C61C2"/>
    <w:rsid w:val="00A4469E"/>
    <w:rsid w:val="00A52E7F"/>
    <w:rsid w:val="00A80640"/>
    <w:rsid w:val="00AC1DA1"/>
    <w:rsid w:val="00AC4385"/>
    <w:rsid w:val="00AD56ED"/>
    <w:rsid w:val="00B02CC7"/>
    <w:rsid w:val="00B32A71"/>
    <w:rsid w:val="00C47350"/>
    <w:rsid w:val="00C90864"/>
    <w:rsid w:val="00C9484E"/>
    <w:rsid w:val="00CB1D70"/>
    <w:rsid w:val="00DB342A"/>
    <w:rsid w:val="00DB592D"/>
    <w:rsid w:val="00E54EC0"/>
    <w:rsid w:val="00EA7D87"/>
    <w:rsid w:val="00EC4C32"/>
    <w:rsid w:val="00FA7F23"/>
    <w:rsid w:val="00FD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7"/>
    <o:shapelayout v:ext="edit">
      <o:idmap v:ext="edit" data="1"/>
      <o:rules v:ext="edit">
        <o:r id="V:Rule2" type="connector" idref="#_x0000_s1026"/>
      </o:rules>
    </o:shapelayout>
  </w:shapeDefaults>
  <w:decimalSymbol w:val="."/>
  <w:listSeparator w:val=","/>
  <w14:docId w14:val="3F899A73"/>
  <w15:docId w15:val="{446EC92F-A7B8-4765-A559-183A22C5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character" w:styleId="Hyperlink">
    <w:name w:val="Hyperlink"/>
    <w:rsid w:val="00DB592D"/>
    <w:rPr>
      <w:color w:val="0000FF"/>
      <w:u w:val="single"/>
    </w:rPr>
  </w:style>
  <w:style w:type="character" w:styleId="FollowedHyperlink">
    <w:name w:val="FollowedHyperlink"/>
    <w:rsid w:val="00DB592D"/>
    <w:rPr>
      <w:color w:val="800080"/>
      <w:u w:val="single"/>
    </w:rPr>
  </w:style>
  <w:style w:type="paragraph" w:styleId="BalloonText">
    <w:name w:val="Balloon Text"/>
    <w:basedOn w:val="Normal"/>
    <w:semiHidden/>
    <w:rsid w:val="00AC4385"/>
    <w:rPr>
      <w:rFonts w:ascii="Tahoma" w:hAnsi="Tahoma" w:cs="Tahoma"/>
      <w:sz w:val="16"/>
      <w:szCs w:val="16"/>
    </w:rPr>
  </w:style>
  <w:style w:type="character" w:customStyle="1" w:styleId="HeaderChar">
    <w:name w:val="Header Char"/>
    <w:link w:val="Header"/>
    <w:uiPriority w:val="99"/>
    <w:rsid w:val="003D1BE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raisal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2004</CharactersWithSpaces>
  <SharedDoc>false</SharedDoc>
  <HLinks>
    <vt:vector size="6" baseType="variant">
      <vt:variant>
        <vt:i4>2818154</vt:i4>
      </vt:variant>
      <vt:variant>
        <vt:i4>0</vt:i4>
      </vt:variant>
      <vt:variant>
        <vt:i4>0</vt:i4>
      </vt:variant>
      <vt:variant>
        <vt:i4>5</vt:i4>
      </vt:variant>
      <vt:variant>
        <vt:lpwstr>http://www.appraisalfoundation.org/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Karen Bossie</dc:creator>
  <cp:lastModifiedBy>Wismer, Don</cp:lastModifiedBy>
  <cp:revision>8</cp:revision>
  <cp:lastPrinted>2011-11-03T15:30:00Z</cp:lastPrinted>
  <dcterms:created xsi:type="dcterms:W3CDTF">2018-08-30T15:08:00Z</dcterms:created>
  <dcterms:modified xsi:type="dcterms:W3CDTF">2020-01-22T20:41:00Z</dcterms:modified>
</cp:coreProperties>
</file>