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1EB6"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21112594"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29DB631A"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6075A918"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1CE4F6F5"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16E2C470" w14:textId="77777777" w:rsidR="00D156D3" w:rsidRDefault="00D156D3">
      <w:pPr>
        <w:pStyle w:val="Title"/>
        <w:pBdr>
          <w:top w:val="double" w:sz="4" w:space="1" w:color="auto"/>
          <w:left w:val="double" w:sz="4" w:space="4" w:color="auto"/>
          <w:bottom w:val="double" w:sz="4" w:space="1" w:color="auto"/>
          <w:right w:val="double" w:sz="4" w:space="4" w:color="auto"/>
        </w:pBdr>
        <w:spacing w:after="120"/>
        <w:rPr>
          <w:rFonts w:ascii="Arial" w:hAnsi="Arial"/>
          <w:sz w:val="36"/>
        </w:rPr>
      </w:pPr>
    </w:p>
    <w:p w14:paraId="1496AF58" w14:textId="77777777" w:rsidR="00D156D3" w:rsidRDefault="0078651C">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bookmarkStart w:id="0" w:name="_Hlk18494814"/>
      <w:r>
        <w:rPr>
          <w:rFonts w:ascii="Arial" w:hAnsi="Arial"/>
          <w:sz w:val="40"/>
        </w:rPr>
        <w:t>Request for Proposals to Provide</w:t>
      </w:r>
    </w:p>
    <w:p w14:paraId="73D16E59" w14:textId="77777777" w:rsidR="00D156D3" w:rsidRDefault="0078651C">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Standard Offer Service</w:t>
      </w:r>
    </w:p>
    <w:p w14:paraId="4483530E" w14:textId="77777777" w:rsidR="00D156D3" w:rsidRDefault="0078651C">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 xml:space="preserve">To </w:t>
      </w:r>
    </w:p>
    <w:p w14:paraId="7D160A56" w14:textId="77777777" w:rsidR="00D156D3" w:rsidRDefault="00D156D3">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p>
    <w:p w14:paraId="519785AB" w14:textId="7EACEABD" w:rsidR="00D156D3" w:rsidRDefault="000B4365">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Versant Power</w:t>
      </w:r>
      <w:r w:rsidR="004433CA">
        <w:rPr>
          <w:rFonts w:ascii="Arial" w:hAnsi="Arial"/>
          <w:sz w:val="40"/>
        </w:rPr>
        <w:t xml:space="preserve">—Maine </w:t>
      </w:r>
      <w:r w:rsidR="0078651C">
        <w:rPr>
          <w:rFonts w:ascii="Arial" w:hAnsi="Arial"/>
          <w:sz w:val="40"/>
        </w:rPr>
        <w:t xml:space="preserve">Public </w:t>
      </w:r>
      <w:r w:rsidR="00087001">
        <w:rPr>
          <w:rFonts w:ascii="Arial" w:hAnsi="Arial"/>
          <w:sz w:val="40"/>
        </w:rPr>
        <w:t>District</w:t>
      </w:r>
      <w:r w:rsidR="0078651C">
        <w:rPr>
          <w:rFonts w:ascii="Arial" w:hAnsi="Arial"/>
          <w:sz w:val="40"/>
        </w:rPr>
        <w:t xml:space="preserve"> </w:t>
      </w:r>
    </w:p>
    <w:p w14:paraId="76B882F3" w14:textId="77777777" w:rsidR="000B4365" w:rsidRDefault="000B4365" w:rsidP="000B4365">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Large Commercial and Industrial Customers</w:t>
      </w:r>
    </w:p>
    <w:p w14:paraId="58387ACB" w14:textId="053F0314" w:rsidR="00D156D3" w:rsidRDefault="00D156D3" w:rsidP="000B4365">
      <w:pPr>
        <w:pStyle w:val="Title"/>
        <w:pBdr>
          <w:top w:val="double" w:sz="4" w:space="1" w:color="auto"/>
          <w:left w:val="double" w:sz="4" w:space="4" w:color="auto"/>
          <w:bottom w:val="double" w:sz="4" w:space="1" w:color="auto"/>
          <w:right w:val="double" w:sz="4" w:space="4" w:color="auto"/>
        </w:pBdr>
        <w:jc w:val="left"/>
        <w:rPr>
          <w:rFonts w:ascii="Arial" w:hAnsi="Arial"/>
          <w:sz w:val="36"/>
        </w:rPr>
      </w:pPr>
    </w:p>
    <w:p w14:paraId="09CBAB38"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65744547" w14:textId="4AB64966" w:rsidR="00D156D3" w:rsidRDefault="0078651C">
      <w:pPr>
        <w:pStyle w:val="Title"/>
        <w:pBdr>
          <w:top w:val="double" w:sz="4" w:space="1" w:color="auto"/>
          <w:left w:val="double" w:sz="4" w:space="4" w:color="auto"/>
          <w:bottom w:val="double" w:sz="4" w:space="1" w:color="auto"/>
          <w:right w:val="double" w:sz="4" w:space="4" w:color="auto"/>
        </w:pBdr>
        <w:rPr>
          <w:rFonts w:ascii="Arial" w:hAnsi="Arial"/>
          <w:sz w:val="36"/>
        </w:rPr>
      </w:pPr>
      <w:r>
        <w:rPr>
          <w:rFonts w:ascii="Arial" w:hAnsi="Arial"/>
          <w:sz w:val="36"/>
        </w:rPr>
        <w:t xml:space="preserve">Term Beginning </w:t>
      </w:r>
      <w:r w:rsidR="00DE7098">
        <w:rPr>
          <w:rFonts w:ascii="Arial" w:hAnsi="Arial"/>
          <w:sz w:val="36"/>
        </w:rPr>
        <w:t xml:space="preserve">January 1, </w:t>
      </w:r>
      <w:r w:rsidR="000B4365">
        <w:rPr>
          <w:rFonts w:ascii="Arial" w:hAnsi="Arial"/>
          <w:sz w:val="36"/>
        </w:rPr>
        <w:t>2021</w:t>
      </w:r>
    </w:p>
    <w:p w14:paraId="3892AF00"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1FE4D4D7"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28C5EC70" w14:textId="77777777" w:rsidR="00D156D3" w:rsidRDefault="0078651C">
      <w:pPr>
        <w:pStyle w:val="Title"/>
        <w:pBdr>
          <w:top w:val="double" w:sz="4" w:space="1" w:color="auto"/>
          <w:left w:val="double" w:sz="4" w:space="4" w:color="auto"/>
          <w:bottom w:val="double" w:sz="4" w:space="1" w:color="auto"/>
          <w:right w:val="double" w:sz="4" w:space="4" w:color="auto"/>
        </w:pBdr>
        <w:rPr>
          <w:rFonts w:ascii="Arial" w:hAnsi="Arial"/>
          <w:sz w:val="28"/>
        </w:rPr>
      </w:pPr>
      <w:r>
        <w:rPr>
          <w:rFonts w:ascii="Arial" w:hAnsi="Arial"/>
          <w:sz w:val="28"/>
        </w:rPr>
        <w:t>Issued by the</w:t>
      </w:r>
    </w:p>
    <w:p w14:paraId="4C0C3E3B" w14:textId="77777777" w:rsidR="00D156D3" w:rsidRDefault="0078651C">
      <w:pPr>
        <w:pStyle w:val="Title"/>
        <w:pBdr>
          <w:top w:val="double" w:sz="4" w:space="1" w:color="auto"/>
          <w:left w:val="double" w:sz="4" w:space="4" w:color="auto"/>
          <w:bottom w:val="double" w:sz="4" w:space="1" w:color="auto"/>
          <w:right w:val="double" w:sz="4" w:space="4" w:color="auto"/>
        </w:pBdr>
        <w:rPr>
          <w:rFonts w:ascii="Arial" w:hAnsi="Arial"/>
          <w:sz w:val="28"/>
        </w:rPr>
      </w:pPr>
      <w:smartTag w:uri="urn:schemas-microsoft-com:office:smarttags" w:element="place">
        <w:smartTag w:uri="urn:schemas-microsoft-com:office:smarttags" w:element="State">
          <w:r>
            <w:rPr>
              <w:rFonts w:ascii="Arial" w:hAnsi="Arial"/>
              <w:sz w:val="28"/>
            </w:rPr>
            <w:t>Maine</w:t>
          </w:r>
        </w:smartTag>
      </w:smartTag>
      <w:r>
        <w:rPr>
          <w:rFonts w:ascii="Arial" w:hAnsi="Arial"/>
          <w:sz w:val="28"/>
        </w:rPr>
        <w:t xml:space="preserve"> Public Utilities Commission</w:t>
      </w:r>
    </w:p>
    <w:p w14:paraId="0CBC4A75"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28"/>
        </w:rPr>
      </w:pPr>
    </w:p>
    <w:bookmarkEnd w:id="0"/>
    <w:p w14:paraId="2E8128FF"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28"/>
        </w:rPr>
      </w:pPr>
    </w:p>
    <w:p w14:paraId="2C0E84D9" w14:textId="50CB9002" w:rsidR="00D156D3" w:rsidRDefault="00DE7098">
      <w:pPr>
        <w:pStyle w:val="Title"/>
        <w:pBdr>
          <w:top w:val="double" w:sz="4" w:space="1" w:color="auto"/>
          <w:left w:val="double" w:sz="4" w:space="4" w:color="auto"/>
          <w:bottom w:val="double" w:sz="4" w:space="1" w:color="auto"/>
          <w:right w:val="double" w:sz="4" w:space="4" w:color="auto"/>
        </w:pBdr>
        <w:rPr>
          <w:rFonts w:ascii="Arial" w:hAnsi="Arial"/>
          <w:sz w:val="28"/>
        </w:rPr>
      </w:pPr>
      <w:r>
        <w:rPr>
          <w:rFonts w:ascii="Arial" w:hAnsi="Arial"/>
          <w:sz w:val="28"/>
        </w:rPr>
        <w:t xml:space="preserve">September </w:t>
      </w:r>
      <w:r w:rsidR="000B4365">
        <w:rPr>
          <w:rFonts w:ascii="Arial" w:hAnsi="Arial"/>
          <w:sz w:val="28"/>
        </w:rPr>
        <w:t>9</w:t>
      </w:r>
      <w:r>
        <w:rPr>
          <w:rFonts w:ascii="Arial" w:hAnsi="Arial"/>
          <w:sz w:val="28"/>
        </w:rPr>
        <w:t>, 20</w:t>
      </w:r>
      <w:r w:rsidR="000B4365">
        <w:rPr>
          <w:rFonts w:ascii="Arial" w:hAnsi="Arial"/>
          <w:sz w:val="28"/>
        </w:rPr>
        <w:t>20</w:t>
      </w:r>
    </w:p>
    <w:p w14:paraId="440B33E0"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7CD1F74E"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1E0970DC" w14:textId="77777777" w:rsidR="00D156D3" w:rsidRDefault="00D156D3">
      <w:pPr>
        <w:pStyle w:val="Title"/>
        <w:pBdr>
          <w:top w:val="double" w:sz="4" w:space="1" w:color="auto"/>
          <w:left w:val="double" w:sz="4" w:space="4" w:color="auto"/>
          <w:bottom w:val="double" w:sz="4" w:space="1" w:color="auto"/>
          <w:right w:val="double" w:sz="4" w:space="4" w:color="auto"/>
        </w:pBdr>
        <w:rPr>
          <w:rFonts w:ascii="Arial" w:hAnsi="Arial"/>
          <w:sz w:val="36"/>
        </w:rPr>
      </w:pPr>
    </w:p>
    <w:p w14:paraId="6B3B75C5" w14:textId="77777777" w:rsidR="00D156D3" w:rsidRDefault="0078651C">
      <w:pPr>
        <w:pStyle w:val="Title"/>
        <w:rPr>
          <w:rFonts w:ascii="Arial" w:hAnsi="Arial"/>
          <w:sz w:val="28"/>
        </w:rPr>
      </w:pPr>
      <w:r>
        <w:rPr>
          <w:rFonts w:ascii="Arial" w:hAnsi="Arial"/>
          <w:sz w:val="28"/>
        </w:rPr>
        <w:br w:type="page"/>
      </w:r>
      <w:r>
        <w:rPr>
          <w:rFonts w:ascii="Arial" w:hAnsi="Arial"/>
          <w:sz w:val="28"/>
        </w:rPr>
        <w:lastRenderedPageBreak/>
        <w:t>Table of Contents</w:t>
      </w:r>
    </w:p>
    <w:p w14:paraId="6321FC34" w14:textId="77777777" w:rsidR="00D156D3" w:rsidRDefault="00D156D3">
      <w:pPr>
        <w:pStyle w:val="Title"/>
        <w:rPr>
          <w:rFonts w:ascii="Arial" w:hAnsi="Arial"/>
          <w:sz w:val="24"/>
        </w:rPr>
      </w:pPr>
    </w:p>
    <w:p w14:paraId="29D537A0" w14:textId="77777777" w:rsidR="00D156D3" w:rsidRDefault="00D156D3">
      <w:pPr>
        <w:pStyle w:val="Title"/>
        <w:rPr>
          <w:rFonts w:ascii="Arial" w:hAnsi="Arial"/>
          <w:sz w:val="24"/>
        </w:rPr>
      </w:pPr>
    </w:p>
    <w:p w14:paraId="73C3BBB4"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sz w:val="24"/>
        </w:rPr>
        <w:t>1.   OVERVIEW</w:t>
      </w:r>
      <w:r>
        <w:rPr>
          <w:rFonts w:ascii="Arial" w:hAnsi="Arial"/>
          <w:b w:val="0"/>
          <w:bCs/>
          <w:sz w:val="24"/>
        </w:rPr>
        <w:t xml:space="preserve"> </w:t>
      </w:r>
      <w:r>
        <w:rPr>
          <w:rFonts w:ascii="Arial" w:hAnsi="Arial"/>
          <w:b w:val="0"/>
          <w:bCs/>
          <w:sz w:val="24"/>
        </w:rPr>
        <w:tab/>
        <w:t>3</w:t>
      </w:r>
    </w:p>
    <w:p w14:paraId="3704ECA4"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sz w:val="24"/>
        </w:rPr>
        <w:t xml:space="preserve">2.   PROCESS AND SCHEDULE </w:t>
      </w:r>
      <w:r>
        <w:rPr>
          <w:rFonts w:ascii="Arial" w:hAnsi="Arial"/>
          <w:b w:val="0"/>
          <w:bCs/>
          <w:sz w:val="24"/>
        </w:rPr>
        <w:tab/>
        <w:t>6</w:t>
      </w:r>
    </w:p>
    <w:p w14:paraId="52F719FB" w14:textId="77777777" w:rsidR="00D156D3" w:rsidRDefault="0078651C">
      <w:pPr>
        <w:pStyle w:val="Title"/>
        <w:tabs>
          <w:tab w:val="right" w:leader="dot" w:pos="8640"/>
        </w:tabs>
        <w:spacing w:after="120" w:line="360" w:lineRule="auto"/>
        <w:jc w:val="both"/>
        <w:rPr>
          <w:rFonts w:ascii="Arial" w:hAnsi="Arial"/>
          <w:sz w:val="24"/>
        </w:rPr>
      </w:pPr>
      <w:r>
        <w:rPr>
          <w:rFonts w:ascii="Arial" w:hAnsi="Arial"/>
          <w:sz w:val="24"/>
        </w:rPr>
        <w:t>3.   PROPOSAL REQUIREMENTS</w:t>
      </w:r>
      <w:r>
        <w:rPr>
          <w:rFonts w:ascii="Arial" w:hAnsi="Arial"/>
          <w:b w:val="0"/>
          <w:bCs/>
          <w:sz w:val="24"/>
        </w:rPr>
        <w:t xml:space="preserve"> </w:t>
      </w:r>
      <w:r>
        <w:rPr>
          <w:rFonts w:ascii="Arial" w:hAnsi="Arial"/>
          <w:b w:val="0"/>
          <w:bCs/>
          <w:sz w:val="24"/>
        </w:rPr>
        <w:tab/>
        <w:t>7</w:t>
      </w:r>
    </w:p>
    <w:p w14:paraId="6CAC9A2F"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sz w:val="24"/>
        </w:rPr>
        <w:t>4.   STANDARD OFFER PROVIDER REQUIREMENTS</w:t>
      </w:r>
      <w:r>
        <w:rPr>
          <w:rFonts w:ascii="Arial" w:hAnsi="Arial"/>
          <w:b w:val="0"/>
          <w:bCs/>
          <w:sz w:val="24"/>
        </w:rPr>
        <w:t xml:space="preserve"> </w:t>
      </w:r>
      <w:r>
        <w:rPr>
          <w:rFonts w:ascii="Arial" w:hAnsi="Arial"/>
          <w:b w:val="0"/>
          <w:bCs/>
          <w:sz w:val="24"/>
        </w:rPr>
        <w:tab/>
        <w:t>10</w:t>
      </w:r>
    </w:p>
    <w:p w14:paraId="34A3DB69"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sz w:val="24"/>
        </w:rPr>
        <w:t>5.   BILLING AND PAYMENT</w:t>
      </w:r>
      <w:r>
        <w:rPr>
          <w:rFonts w:ascii="Arial" w:hAnsi="Arial"/>
          <w:b w:val="0"/>
          <w:bCs/>
          <w:sz w:val="24"/>
        </w:rPr>
        <w:t xml:space="preserve"> </w:t>
      </w:r>
      <w:r>
        <w:rPr>
          <w:rFonts w:ascii="Arial" w:hAnsi="Arial"/>
          <w:b w:val="0"/>
          <w:bCs/>
          <w:sz w:val="24"/>
        </w:rPr>
        <w:tab/>
        <w:t>16</w:t>
      </w:r>
    </w:p>
    <w:p w14:paraId="0D251900"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sz w:val="24"/>
        </w:rPr>
        <w:t>6.   STANDARD OFFER PROVIDER LEGAL OBLIGATIONS</w:t>
      </w:r>
      <w:r>
        <w:rPr>
          <w:rFonts w:ascii="Arial" w:hAnsi="Arial"/>
          <w:b w:val="0"/>
          <w:bCs/>
          <w:sz w:val="24"/>
        </w:rPr>
        <w:t xml:space="preserve"> </w:t>
      </w:r>
      <w:r>
        <w:rPr>
          <w:rFonts w:ascii="Arial" w:hAnsi="Arial"/>
          <w:b w:val="0"/>
          <w:bCs/>
          <w:sz w:val="24"/>
        </w:rPr>
        <w:tab/>
        <w:t>17</w:t>
      </w:r>
    </w:p>
    <w:p w14:paraId="633CBDE9" w14:textId="77777777" w:rsidR="00D156D3" w:rsidRDefault="0078651C">
      <w:pPr>
        <w:pStyle w:val="Title"/>
        <w:tabs>
          <w:tab w:val="right" w:leader="dot" w:pos="8640"/>
        </w:tabs>
        <w:spacing w:after="120" w:line="360" w:lineRule="auto"/>
        <w:jc w:val="both"/>
        <w:rPr>
          <w:rFonts w:ascii="Arial" w:hAnsi="Arial"/>
          <w:b w:val="0"/>
          <w:bCs/>
          <w:sz w:val="24"/>
        </w:rPr>
      </w:pPr>
      <w:r>
        <w:rPr>
          <w:rFonts w:ascii="Arial" w:hAnsi="Arial"/>
          <w:bCs/>
          <w:sz w:val="24"/>
        </w:rPr>
        <w:t>7.    OTHER RFP PROVISIONS</w:t>
      </w:r>
      <w:r>
        <w:rPr>
          <w:rFonts w:ascii="Arial" w:hAnsi="Arial"/>
          <w:b w:val="0"/>
          <w:bCs/>
          <w:sz w:val="24"/>
        </w:rPr>
        <w:t xml:space="preserve"> </w:t>
      </w:r>
      <w:r>
        <w:rPr>
          <w:rFonts w:ascii="Arial" w:hAnsi="Arial"/>
          <w:b w:val="0"/>
          <w:bCs/>
          <w:sz w:val="24"/>
        </w:rPr>
        <w:tab/>
        <w:t>19</w:t>
      </w:r>
    </w:p>
    <w:p w14:paraId="2C4E743B" w14:textId="77777777" w:rsidR="00D156D3" w:rsidRDefault="00D156D3">
      <w:pPr>
        <w:pStyle w:val="Title"/>
        <w:rPr>
          <w:rFonts w:ascii="Arial" w:hAnsi="Arial"/>
          <w:sz w:val="24"/>
        </w:rPr>
      </w:pPr>
    </w:p>
    <w:p w14:paraId="58CDB414" w14:textId="77777777" w:rsidR="00D156D3" w:rsidRDefault="00D156D3">
      <w:pPr>
        <w:pStyle w:val="Title"/>
        <w:spacing w:after="120" w:line="360" w:lineRule="auto"/>
        <w:jc w:val="both"/>
        <w:rPr>
          <w:rFonts w:ascii="Arial" w:hAnsi="Arial"/>
          <w:sz w:val="24"/>
        </w:rPr>
      </w:pPr>
    </w:p>
    <w:p w14:paraId="66824964" w14:textId="77777777" w:rsidR="00D156D3" w:rsidRDefault="0078651C">
      <w:pPr>
        <w:pStyle w:val="Title"/>
        <w:spacing w:after="120" w:line="360" w:lineRule="auto"/>
        <w:jc w:val="both"/>
        <w:rPr>
          <w:rFonts w:ascii="Arial" w:hAnsi="Arial"/>
          <w:sz w:val="24"/>
        </w:rPr>
      </w:pPr>
      <w:r>
        <w:rPr>
          <w:rFonts w:ascii="Arial" w:hAnsi="Arial"/>
          <w:sz w:val="24"/>
        </w:rPr>
        <w:t>APPENDICES</w:t>
      </w:r>
    </w:p>
    <w:p w14:paraId="2F467146"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 xml:space="preserve">Chapter 301 of the </w:t>
      </w:r>
      <w:smartTag w:uri="urn:schemas-microsoft-com:office:smarttags" w:element="place">
        <w:smartTag w:uri="urn:schemas-microsoft-com:office:smarttags" w:element="State">
          <w:r>
            <w:rPr>
              <w:rFonts w:ascii="Arial" w:hAnsi="Arial"/>
              <w:b w:val="0"/>
              <w:sz w:val="24"/>
            </w:rPr>
            <w:t>Maine</w:t>
          </w:r>
        </w:smartTag>
      </w:smartTag>
      <w:r>
        <w:rPr>
          <w:rFonts w:ascii="Arial" w:hAnsi="Arial"/>
          <w:b w:val="0"/>
          <w:sz w:val="24"/>
        </w:rPr>
        <w:t xml:space="preserve"> PUC Rules (Standard Offer Rule)</w:t>
      </w:r>
    </w:p>
    <w:p w14:paraId="3C744C24"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Description of Other Relevant Rules and Standards</w:t>
      </w:r>
    </w:p>
    <w:p w14:paraId="5499E661"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Standard Form Contract</w:t>
      </w:r>
    </w:p>
    <w:p w14:paraId="2F280742"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Applicable Fees</w:t>
      </w:r>
    </w:p>
    <w:p w14:paraId="2DAB37A9"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Standard Offer Class Usage Data</w:t>
      </w:r>
    </w:p>
    <w:p w14:paraId="1C830937"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License Application for Competitive Electricity Providers</w:t>
      </w:r>
    </w:p>
    <w:p w14:paraId="6A054D02"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System Losses</w:t>
      </w:r>
    </w:p>
    <w:p w14:paraId="6868313F"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Statement of Commitment</w:t>
      </w:r>
    </w:p>
    <w:p w14:paraId="003630D5"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Standard Offer Class Definitions</w:t>
      </w:r>
    </w:p>
    <w:p w14:paraId="39FC00EB"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Advisory Ruling</w:t>
      </w:r>
    </w:p>
    <w:p w14:paraId="13BC114A" w14:textId="77777777" w:rsidR="00D156D3" w:rsidRDefault="0078651C">
      <w:pPr>
        <w:pStyle w:val="Title"/>
        <w:numPr>
          <w:ilvl w:val="0"/>
          <w:numId w:val="3"/>
        </w:numPr>
        <w:spacing w:after="120" w:line="360" w:lineRule="auto"/>
        <w:jc w:val="both"/>
        <w:rPr>
          <w:rFonts w:ascii="Arial" w:hAnsi="Arial"/>
          <w:b w:val="0"/>
          <w:sz w:val="24"/>
        </w:rPr>
      </w:pPr>
      <w:r>
        <w:rPr>
          <w:rFonts w:ascii="Arial" w:hAnsi="Arial"/>
          <w:b w:val="0"/>
          <w:sz w:val="24"/>
        </w:rPr>
        <w:t>Standard Form Guaranty</w:t>
      </w:r>
    </w:p>
    <w:p w14:paraId="30F0048C" w14:textId="77777777" w:rsidR="00D156D3" w:rsidRDefault="00D156D3">
      <w:pPr>
        <w:pStyle w:val="Title"/>
        <w:spacing w:after="120" w:line="360" w:lineRule="auto"/>
        <w:jc w:val="both"/>
        <w:rPr>
          <w:rFonts w:ascii="Arial" w:hAnsi="Arial"/>
          <w:b w:val="0"/>
          <w:sz w:val="24"/>
        </w:rPr>
      </w:pPr>
    </w:p>
    <w:p w14:paraId="02EB3F56" w14:textId="77777777" w:rsidR="00D156D3" w:rsidRDefault="0078651C">
      <w:pPr>
        <w:pStyle w:val="BodyTextIndent2"/>
        <w:spacing w:after="0"/>
        <w:jc w:val="left"/>
      </w:pPr>
      <w:r>
        <w:br w:type="page"/>
      </w:r>
    </w:p>
    <w:p w14:paraId="15E97CDE" w14:textId="77777777" w:rsidR="00D156D3" w:rsidRDefault="0078651C">
      <w:pPr>
        <w:pStyle w:val="Heading1"/>
        <w:spacing w:after="120"/>
        <w:rPr>
          <w:rFonts w:ascii="Arial" w:hAnsi="Arial"/>
          <w:sz w:val="24"/>
        </w:rPr>
      </w:pPr>
      <w:r>
        <w:rPr>
          <w:rFonts w:ascii="Arial" w:hAnsi="Arial"/>
          <w:sz w:val="24"/>
        </w:rPr>
        <w:lastRenderedPageBreak/>
        <w:t>1.</w:t>
      </w:r>
      <w:r>
        <w:rPr>
          <w:rFonts w:ascii="Arial" w:hAnsi="Arial"/>
          <w:sz w:val="24"/>
        </w:rPr>
        <w:tab/>
        <w:t>OVERVIEW</w:t>
      </w:r>
    </w:p>
    <w:p w14:paraId="39681416" w14:textId="77777777" w:rsidR="00D156D3" w:rsidRDefault="00D156D3">
      <w:pPr>
        <w:jc w:val="both"/>
      </w:pPr>
    </w:p>
    <w:p w14:paraId="68D76CC0" w14:textId="77777777" w:rsidR="00D156D3" w:rsidRDefault="0078651C">
      <w:pPr>
        <w:pStyle w:val="Heading2"/>
        <w:numPr>
          <w:ilvl w:val="0"/>
          <w:numId w:val="0"/>
        </w:numPr>
        <w:ind w:firstLine="720"/>
        <w:jc w:val="left"/>
        <w:rPr>
          <w:sz w:val="24"/>
        </w:rPr>
      </w:pPr>
      <w:r>
        <w:rPr>
          <w:sz w:val="24"/>
        </w:rPr>
        <w:t>1.1.</w:t>
      </w:r>
      <w:r>
        <w:rPr>
          <w:sz w:val="24"/>
        </w:rPr>
        <w:tab/>
        <w:t>Objective of the Request for Proposals</w:t>
      </w:r>
    </w:p>
    <w:p w14:paraId="2B73FD02" w14:textId="77777777" w:rsidR="00D156D3" w:rsidRDefault="00D156D3"/>
    <w:p w14:paraId="1BBE07DA" w14:textId="77777777" w:rsidR="00D156D3" w:rsidRDefault="0078651C">
      <w:r>
        <w:tab/>
      </w:r>
      <w:r>
        <w:tab/>
      </w:r>
    </w:p>
    <w:p w14:paraId="643FECAB" w14:textId="77777777" w:rsidR="00D156D3" w:rsidRDefault="0078651C">
      <w:pPr>
        <w:ind w:left="720" w:firstLine="720"/>
        <w:rPr>
          <w:rFonts w:ascii="Arial" w:hAnsi="Arial" w:cs="Arial"/>
          <w:b/>
          <w:bCs/>
          <w:sz w:val="24"/>
          <w:u w:val="single"/>
        </w:rPr>
      </w:pPr>
      <w:r>
        <w:rPr>
          <w:rFonts w:ascii="Arial" w:hAnsi="Arial" w:cs="Arial"/>
          <w:b/>
          <w:bCs/>
          <w:sz w:val="24"/>
          <w:u w:val="single"/>
        </w:rPr>
        <w:t>General</w:t>
      </w:r>
    </w:p>
    <w:p w14:paraId="036737FD" w14:textId="77777777" w:rsidR="00D156D3" w:rsidRDefault="00D156D3"/>
    <w:p w14:paraId="6427EEE1" w14:textId="03B65F0E" w:rsidR="00D156D3" w:rsidRDefault="0078651C" w:rsidP="00B84DCF">
      <w:pPr>
        <w:pStyle w:val="BodyTextIndent3"/>
        <w:spacing w:after="0"/>
        <w:jc w:val="left"/>
        <w:rPr>
          <w:sz w:val="24"/>
        </w:rPr>
      </w:pPr>
      <w:r>
        <w:rPr>
          <w:sz w:val="24"/>
        </w:rPr>
        <w:t>The Maine Public Utilities Commission (Commission) is seeking proposals for retail</w:t>
      </w:r>
      <w:r>
        <w:rPr>
          <w:i/>
          <w:iCs/>
          <w:sz w:val="24"/>
        </w:rPr>
        <w:t xml:space="preserve"> </w:t>
      </w:r>
      <w:r>
        <w:rPr>
          <w:sz w:val="24"/>
        </w:rPr>
        <w:t xml:space="preserve">standard offer service for </w:t>
      </w:r>
      <w:r w:rsidR="000B4365">
        <w:rPr>
          <w:sz w:val="24"/>
        </w:rPr>
        <w:t xml:space="preserve">large commercial and industrial (C&amp;I) </w:t>
      </w:r>
      <w:r>
        <w:rPr>
          <w:sz w:val="24"/>
        </w:rPr>
        <w:t xml:space="preserve">customers of </w:t>
      </w:r>
      <w:r w:rsidR="000B4365">
        <w:rPr>
          <w:sz w:val="24"/>
        </w:rPr>
        <w:t>Versant Power</w:t>
      </w:r>
      <w:r w:rsidR="000C4814">
        <w:rPr>
          <w:sz w:val="24"/>
        </w:rPr>
        <w:t xml:space="preserve">—Maine </w:t>
      </w:r>
      <w:r>
        <w:rPr>
          <w:sz w:val="24"/>
        </w:rPr>
        <w:t xml:space="preserve">Public </w:t>
      </w:r>
      <w:r w:rsidR="000C4814">
        <w:rPr>
          <w:sz w:val="24"/>
        </w:rPr>
        <w:t>District (MPD</w:t>
      </w:r>
      <w:r>
        <w:rPr>
          <w:sz w:val="24"/>
        </w:rPr>
        <w:t>)</w:t>
      </w:r>
      <w:r w:rsidR="000B4365">
        <w:rPr>
          <w:sz w:val="24"/>
        </w:rPr>
        <w:t xml:space="preserve"> for a </w:t>
      </w:r>
      <w:proofErr w:type="gramStart"/>
      <w:r w:rsidR="000B4365">
        <w:rPr>
          <w:sz w:val="24"/>
        </w:rPr>
        <w:t>one year</w:t>
      </w:r>
      <w:proofErr w:type="gramEnd"/>
      <w:r w:rsidR="000B4365">
        <w:rPr>
          <w:sz w:val="24"/>
        </w:rPr>
        <w:t xml:space="preserve"> term</w:t>
      </w:r>
      <w:r>
        <w:rPr>
          <w:sz w:val="24"/>
        </w:rPr>
        <w:t xml:space="preserve"> beginning </w:t>
      </w:r>
      <w:r w:rsidR="00DE7098">
        <w:rPr>
          <w:sz w:val="24"/>
        </w:rPr>
        <w:t xml:space="preserve">January 1, </w:t>
      </w:r>
      <w:r w:rsidR="000B4365">
        <w:rPr>
          <w:sz w:val="24"/>
        </w:rPr>
        <w:t>2021</w:t>
      </w:r>
      <w:r>
        <w:rPr>
          <w:sz w:val="24"/>
        </w:rPr>
        <w:t xml:space="preserve">.  </w:t>
      </w:r>
      <w:r w:rsidR="000B4365" w:rsidRPr="000B4365">
        <w:rPr>
          <w:sz w:val="24"/>
        </w:rPr>
        <w:t xml:space="preserve">Alternative terms will be considered. </w:t>
      </w:r>
    </w:p>
    <w:p w14:paraId="6B040D7F" w14:textId="77777777" w:rsidR="00B84DCF" w:rsidRDefault="00B84DCF" w:rsidP="00B84DCF">
      <w:pPr>
        <w:pStyle w:val="BodyTextIndent3"/>
        <w:spacing w:after="0"/>
        <w:jc w:val="left"/>
        <w:rPr>
          <w:sz w:val="24"/>
        </w:rPr>
      </w:pPr>
    </w:p>
    <w:p w14:paraId="3413EA91" w14:textId="105D81A7" w:rsidR="00D156D3" w:rsidRDefault="0078651C">
      <w:pPr>
        <w:pStyle w:val="BodyTextIndent3"/>
        <w:spacing w:after="0"/>
        <w:jc w:val="left"/>
        <w:rPr>
          <w:sz w:val="24"/>
        </w:rPr>
      </w:pPr>
      <w:r>
        <w:rPr>
          <w:sz w:val="24"/>
        </w:rPr>
        <w:t xml:space="preserve">Initial proposals with indicative bid prices are due on </w:t>
      </w:r>
      <w:r w:rsidR="00DE7098">
        <w:rPr>
          <w:sz w:val="24"/>
        </w:rPr>
        <w:t xml:space="preserve">October </w:t>
      </w:r>
      <w:r w:rsidR="000B4365">
        <w:rPr>
          <w:sz w:val="24"/>
        </w:rPr>
        <w:t>7</w:t>
      </w:r>
      <w:r w:rsidR="00DE7098">
        <w:rPr>
          <w:sz w:val="24"/>
        </w:rPr>
        <w:t>, 20</w:t>
      </w:r>
      <w:r w:rsidR="000B4365">
        <w:rPr>
          <w:sz w:val="24"/>
        </w:rPr>
        <w:t>20</w:t>
      </w:r>
      <w:r>
        <w:rPr>
          <w:sz w:val="24"/>
        </w:rPr>
        <w:t xml:space="preserve">. </w:t>
      </w:r>
    </w:p>
    <w:p w14:paraId="7B1A9ED4" w14:textId="77777777" w:rsidR="00D156D3" w:rsidRDefault="00D156D3">
      <w:pPr>
        <w:pStyle w:val="BodyTextIndent3"/>
        <w:spacing w:after="0"/>
        <w:jc w:val="left"/>
        <w:rPr>
          <w:sz w:val="24"/>
        </w:rPr>
      </w:pPr>
    </w:p>
    <w:p w14:paraId="4FD81874" w14:textId="77777777" w:rsidR="00D156D3" w:rsidRDefault="00D156D3">
      <w:pPr>
        <w:pStyle w:val="BodyTextIndent3"/>
        <w:spacing w:after="0"/>
        <w:jc w:val="left"/>
        <w:rPr>
          <w:sz w:val="24"/>
        </w:rPr>
      </w:pPr>
    </w:p>
    <w:p w14:paraId="302EF28F" w14:textId="77777777" w:rsidR="00D156D3" w:rsidRDefault="0078651C">
      <w:pPr>
        <w:pStyle w:val="Heading2"/>
        <w:numPr>
          <w:ilvl w:val="0"/>
          <w:numId w:val="0"/>
        </w:numPr>
        <w:ind w:left="720"/>
        <w:jc w:val="left"/>
        <w:rPr>
          <w:sz w:val="24"/>
          <w:u w:val="single"/>
        </w:rPr>
      </w:pPr>
      <w:r>
        <w:rPr>
          <w:sz w:val="24"/>
        </w:rPr>
        <w:t>1.2</w:t>
      </w:r>
      <w:r>
        <w:rPr>
          <w:sz w:val="24"/>
        </w:rPr>
        <w:tab/>
      </w:r>
      <w:r>
        <w:rPr>
          <w:sz w:val="24"/>
          <w:u w:val="single"/>
        </w:rPr>
        <w:t>Contact Information</w:t>
      </w:r>
    </w:p>
    <w:p w14:paraId="141C1851" w14:textId="77777777" w:rsidR="00D156D3" w:rsidRDefault="00D156D3">
      <w:pPr>
        <w:pStyle w:val="BodyTextIndent3"/>
        <w:spacing w:after="0"/>
        <w:ind w:left="720"/>
        <w:jc w:val="left"/>
        <w:rPr>
          <w:b/>
          <w:sz w:val="24"/>
        </w:rPr>
      </w:pPr>
    </w:p>
    <w:p w14:paraId="14DD9007" w14:textId="77777777" w:rsidR="00DE7098" w:rsidRDefault="0078651C" w:rsidP="00DE7098">
      <w:pPr>
        <w:pStyle w:val="BodyTextIndent3"/>
        <w:spacing w:after="0"/>
        <w:jc w:val="left"/>
        <w:rPr>
          <w:sz w:val="24"/>
          <w:szCs w:val="24"/>
        </w:rPr>
      </w:pPr>
      <w:r>
        <w:rPr>
          <w:sz w:val="24"/>
          <w:szCs w:val="24"/>
        </w:rPr>
        <w:t xml:space="preserve">The RFP, related information and load data are available from the RFP web page at  </w:t>
      </w:r>
      <w:bookmarkStart w:id="1" w:name="_Hlk17972006"/>
      <w:r w:rsidR="00DE7098">
        <w:rPr>
          <w:rStyle w:val="Hyperlink"/>
          <w:sz w:val="24"/>
          <w:szCs w:val="24"/>
        </w:rPr>
        <w:fldChar w:fldCharType="begin"/>
      </w:r>
      <w:r w:rsidR="00DE7098">
        <w:rPr>
          <w:rStyle w:val="Hyperlink"/>
          <w:sz w:val="24"/>
          <w:szCs w:val="24"/>
        </w:rPr>
        <w:instrText xml:space="preserve"> HYPERLINK "http://www.maine.gov/mpuc/electricity/rfps/so_solicitations.shtml" </w:instrText>
      </w:r>
      <w:r w:rsidR="00DE7098">
        <w:rPr>
          <w:rStyle w:val="Hyperlink"/>
          <w:sz w:val="24"/>
          <w:szCs w:val="24"/>
        </w:rPr>
        <w:fldChar w:fldCharType="separate"/>
      </w:r>
      <w:r w:rsidR="00DE7098" w:rsidRPr="009E724C">
        <w:rPr>
          <w:rStyle w:val="Hyperlink"/>
          <w:sz w:val="24"/>
          <w:szCs w:val="24"/>
        </w:rPr>
        <w:t>http://www.maine.gov/mpuc/electricity/rfps/so_solicitations.shtml</w:t>
      </w:r>
      <w:r w:rsidR="00DE7098">
        <w:rPr>
          <w:rStyle w:val="Hyperlink"/>
          <w:sz w:val="24"/>
          <w:szCs w:val="24"/>
        </w:rPr>
        <w:fldChar w:fldCharType="end"/>
      </w:r>
      <w:r w:rsidR="00DE7098">
        <w:rPr>
          <w:sz w:val="24"/>
          <w:szCs w:val="24"/>
        </w:rPr>
        <w:t xml:space="preserve"> </w:t>
      </w:r>
      <w:bookmarkEnd w:id="1"/>
    </w:p>
    <w:p w14:paraId="12EB23A7" w14:textId="60D6EA1F" w:rsidR="00D156D3" w:rsidRDefault="0078651C">
      <w:pPr>
        <w:pStyle w:val="BodyTextIndent3"/>
        <w:spacing w:after="0"/>
        <w:jc w:val="left"/>
        <w:rPr>
          <w:sz w:val="24"/>
          <w:szCs w:val="24"/>
        </w:rPr>
      </w:pPr>
      <w:r>
        <w:rPr>
          <w:sz w:val="24"/>
          <w:szCs w:val="24"/>
        </w:rPr>
        <w:t xml:space="preserve">  </w:t>
      </w:r>
    </w:p>
    <w:p w14:paraId="61C37F9A" w14:textId="77777777" w:rsidR="00D156D3" w:rsidRDefault="0078651C">
      <w:pPr>
        <w:pStyle w:val="BodyTextIndent3"/>
        <w:spacing w:after="0"/>
        <w:jc w:val="left"/>
        <w:rPr>
          <w:sz w:val="24"/>
          <w:szCs w:val="24"/>
        </w:rPr>
      </w:pPr>
      <w:r>
        <w:rPr>
          <w:sz w:val="24"/>
          <w:szCs w:val="24"/>
        </w:rPr>
        <w:t xml:space="preserve">Any modifications, corrections or clarifications to the RFP will be posted at this same location. </w:t>
      </w:r>
    </w:p>
    <w:p w14:paraId="24033128" w14:textId="77777777" w:rsidR="00D156D3" w:rsidRDefault="00D156D3">
      <w:pPr>
        <w:pStyle w:val="BodyTextIndent3"/>
        <w:spacing w:after="0"/>
        <w:jc w:val="left"/>
        <w:rPr>
          <w:sz w:val="24"/>
        </w:rPr>
      </w:pPr>
    </w:p>
    <w:p w14:paraId="298188D3" w14:textId="77777777" w:rsidR="00D156D3" w:rsidRDefault="0078651C">
      <w:pPr>
        <w:pStyle w:val="BodyTextIndent3"/>
        <w:spacing w:after="0"/>
        <w:jc w:val="left"/>
        <w:rPr>
          <w:sz w:val="24"/>
        </w:rPr>
      </w:pPr>
      <w:r>
        <w:rPr>
          <w:sz w:val="24"/>
        </w:rPr>
        <w:t xml:space="preserve">Inquiries regarding this RFP should be directed to Faith Huntington (at 207-287-1373 or </w:t>
      </w:r>
      <w:hyperlink r:id="rId11" w:history="1">
        <w:r>
          <w:rPr>
            <w:rStyle w:val="Hyperlink"/>
            <w:sz w:val="24"/>
          </w:rPr>
          <w:t>faith.huntington@maine.gov</w:t>
        </w:r>
      </w:hyperlink>
      <w:r>
        <w:rPr>
          <w:sz w:val="24"/>
        </w:rPr>
        <w:t xml:space="preserve">) or Mitch Tannenbaum (at 207-287-1391 or </w:t>
      </w:r>
      <w:hyperlink r:id="rId12" w:history="1">
        <w:r>
          <w:rPr>
            <w:rStyle w:val="Hyperlink"/>
            <w:sz w:val="24"/>
          </w:rPr>
          <w:t>mitchell.tannenbaum@maine.gov</w:t>
        </w:r>
      </w:hyperlink>
      <w:r>
        <w:rPr>
          <w:sz w:val="24"/>
        </w:rPr>
        <w:t xml:space="preserve">).  Inquiries specifically regarding load data should be directed to </w:t>
      </w:r>
      <w:hyperlink r:id="rId13" w:history="1">
        <w:r w:rsidR="001E1293" w:rsidRPr="0073354E">
          <w:rPr>
            <w:rStyle w:val="Hyperlink"/>
            <w:sz w:val="24"/>
          </w:rPr>
          <w:t>christine.r.cook@maine.gov</w:t>
        </w:r>
      </w:hyperlink>
      <w:r>
        <w:rPr>
          <w:sz w:val="24"/>
        </w:rPr>
        <w:t xml:space="preserve"> </w:t>
      </w:r>
      <w:hyperlink r:id="rId14" w:history="1"/>
      <w:r>
        <w:rPr>
          <w:sz w:val="24"/>
        </w:rPr>
        <w:t>.</w:t>
      </w:r>
    </w:p>
    <w:p w14:paraId="696AD074" w14:textId="77777777" w:rsidR="00D156D3" w:rsidRDefault="0078651C">
      <w:pPr>
        <w:pStyle w:val="BodyTextIndent3"/>
        <w:spacing w:after="0"/>
        <w:jc w:val="left"/>
        <w:rPr>
          <w:sz w:val="24"/>
        </w:rPr>
      </w:pPr>
      <w:r>
        <w:rPr>
          <w:sz w:val="24"/>
        </w:rPr>
        <w:tab/>
      </w:r>
      <w:r>
        <w:rPr>
          <w:sz w:val="24"/>
        </w:rPr>
        <w:tab/>
      </w:r>
    </w:p>
    <w:p w14:paraId="41CBEF1F" w14:textId="77777777" w:rsidR="00D156D3" w:rsidRDefault="00D156D3">
      <w:pPr>
        <w:pStyle w:val="BodyTextIndent3"/>
        <w:spacing w:after="0"/>
        <w:ind w:left="2160" w:firstLine="720"/>
        <w:jc w:val="left"/>
        <w:rPr>
          <w:sz w:val="24"/>
        </w:rPr>
      </w:pPr>
    </w:p>
    <w:p w14:paraId="47A15134" w14:textId="77777777" w:rsidR="00D156D3" w:rsidRDefault="0078651C">
      <w:pPr>
        <w:pStyle w:val="BodyTextIndent2"/>
        <w:spacing w:after="0"/>
        <w:ind w:left="720"/>
        <w:jc w:val="left"/>
        <w:rPr>
          <w:b/>
        </w:rPr>
      </w:pPr>
      <w:r>
        <w:rPr>
          <w:b/>
        </w:rPr>
        <w:t>1.3</w:t>
      </w:r>
      <w:r>
        <w:rPr>
          <w:b/>
        </w:rPr>
        <w:tab/>
        <w:t>Description of Service Area and Customer Class</w:t>
      </w:r>
      <w:r w:rsidR="000C4814">
        <w:rPr>
          <w:b/>
        </w:rPr>
        <w:t>es</w:t>
      </w:r>
    </w:p>
    <w:p w14:paraId="12B502AC" w14:textId="77777777" w:rsidR="00AD701C" w:rsidRDefault="00AD701C">
      <w:pPr>
        <w:pStyle w:val="BodyTextIndent2"/>
        <w:spacing w:after="0"/>
        <w:ind w:left="720"/>
        <w:jc w:val="left"/>
        <w:rPr>
          <w:b/>
        </w:rPr>
      </w:pPr>
    </w:p>
    <w:p w14:paraId="45343E9A" w14:textId="6E439E42" w:rsidR="00576738" w:rsidRPr="001E1293" w:rsidRDefault="006408E6">
      <w:pPr>
        <w:pStyle w:val="BodyTextIndent"/>
        <w:tabs>
          <w:tab w:val="left" w:pos="1440"/>
        </w:tabs>
        <w:ind w:left="1440"/>
        <w:jc w:val="left"/>
        <w:rPr>
          <w:rFonts w:cs="Arial"/>
          <w:sz w:val="24"/>
          <w:szCs w:val="24"/>
        </w:rPr>
      </w:pPr>
      <w:r w:rsidRPr="001E1293">
        <w:rPr>
          <w:sz w:val="24"/>
          <w:szCs w:val="24"/>
        </w:rPr>
        <w:t>MPD</w:t>
      </w:r>
      <w:r w:rsidR="0078651C" w:rsidRPr="001E1293">
        <w:rPr>
          <w:sz w:val="24"/>
          <w:szCs w:val="24"/>
        </w:rPr>
        <w:t xml:space="preserve"> is a </w:t>
      </w:r>
      <w:r w:rsidRPr="001E1293">
        <w:rPr>
          <w:sz w:val="24"/>
          <w:szCs w:val="24"/>
        </w:rPr>
        <w:t xml:space="preserve">division of </w:t>
      </w:r>
      <w:r w:rsidR="000B4365">
        <w:rPr>
          <w:sz w:val="24"/>
          <w:szCs w:val="24"/>
        </w:rPr>
        <w:t>Versant Power</w:t>
      </w:r>
      <w:r w:rsidRPr="001E1293">
        <w:rPr>
          <w:sz w:val="24"/>
          <w:szCs w:val="24"/>
        </w:rPr>
        <w:t xml:space="preserve"> and is a </w:t>
      </w:r>
      <w:r w:rsidR="0078651C" w:rsidRPr="001E1293">
        <w:rPr>
          <w:sz w:val="24"/>
          <w:szCs w:val="24"/>
        </w:rPr>
        <w:t xml:space="preserve">regulated transmission and distribution utility serving more than </w:t>
      </w:r>
      <w:r w:rsidR="0078651C" w:rsidRPr="0054586F">
        <w:rPr>
          <w:sz w:val="24"/>
          <w:szCs w:val="24"/>
        </w:rPr>
        <w:t>37,000</w:t>
      </w:r>
      <w:r w:rsidR="0078651C" w:rsidRPr="001E1293">
        <w:rPr>
          <w:sz w:val="24"/>
          <w:szCs w:val="24"/>
        </w:rPr>
        <w:t xml:space="preserve"> customers in northern Maine.</w:t>
      </w:r>
      <w:r w:rsidR="00576738" w:rsidRPr="001E1293">
        <w:rPr>
          <w:sz w:val="24"/>
          <w:szCs w:val="24"/>
        </w:rPr>
        <w:t xml:space="preserve">  </w:t>
      </w:r>
      <w:r w:rsidR="0078651C" w:rsidRPr="001E1293">
        <w:rPr>
          <w:sz w:val="24"/>
          <w:szCs w:val="24"/>
        </w:rPr>
        <w:t>The</w:t>
      </w:r>
      <w:r w:rsidR="0078651C" w:rsidRPr="001E1293">
        <w:rPr>
          <w:rFonts w:cs="Arial"/>
          <w:sz w:val="24"/>
          <w:szCs w:val="24"/>
        </w:rPr>
        <w:t xml:space="preserve"> </w:t>
      </w:r>
      <w:r w:rsidRPr="001E1293">
        <w:rPr>
          <w:rFonts w:cs="Arial"/>
          <w:sz w:val="24"/>
          <w:szCs w:val="24"/>
        </w:rPr>
        <w:t>MPD</w:t>
      </w:r>
      <w:r w:rsidR="0078651C" w:rsidRPr="001E1293">
        <w:rPr>
          <w:rFonts w:cs="Arial"/>
          <w:sz w:val="24"/>
          <w:szCs w:val="24"/>
        </w:rPr>
        <w:t xml:space="preserve"> service </w:t>
      </w:r>
      <w:r w:rsidR="00576738" w:rsidRPr="001E1293">
        <w:rPr>
          <w:rFonts w:cs="Arial"/>
          <w:sz w:val="24"/>
          <w:szCs w:val="24"/>
        </w:rPr>
        <w:t>territory covers 3,600 square miles</w:t>
      </w:r>
      <w:r w:rsidR="0078651C" w:rsidRPr="001E1293">
        <w:rPr>
          <w:rFonts w:cs="Arial"/>
          <w:sz w:val="24"/>
          <w:szCs w:val="24"/>
        </w:rPr>
        <w:t xml:space="preserve"> within the Canadian Maritimes control area and is connected to the New England Independent System Operator control area by transmission through New Brunswick. </w:t>
      </w:r>
    </w:p>
    <w:p w14:paraId="005263AE" w14:textId="77777777" w:rsidR="00576738" w:rsidRDefault="00576738">
      <w:pPr>
        <w:pStyle w:val="BodyTextIndent"/>
        <w:tabs>
          <w:tab w:val="left" w:pos="1440"/>
        </w:tabs>
        <w:ind w:left="1440"/>
        <w:jc w:val="left"/>
        <w:rPr>
          <w:rFonts w:cs="Arial"/>
          <w:sz w:val="24"/>
        </w:rPr>
      </w:pPr>
    </w:p>
    <w:p w14:paraId="73C6B37E" w14:textId="77777777" w:rsidR="000C4814" w:rsidRDefault="0078651C">
      <w:pPr>
        <w:pStyle w:val="BodyTextIndent"/>
        <w:tabs>
          <w:tab w:val="left" w:pos="1440"/>
        </w:tabs>
        <w:ind w:left="1440"/>
        <w:jc w:val="left"/>
        <w:rPr>
          <w:rFonts w:cs="Arial"/>
          <w:sz w:val="24"/>
        </w:rPr>
      </w:pPr>
      <w:r>
        <w:rPr>
          <w:rFonts w:cs="Arial"/>
          <w:sz w:val="24"/>
        </w:rPr>
        <w:t xml:space="preserve">The New Brunswick System Operator (NBSO) is the Balancing Authority for the New Brunswick, Prince Edward Island and Maine Systems radially connected to New Brunswick. The Northern Maine Independent System Administrator (NMISA) administers the bulk power and transmission systems for the region, which, in addition to </w:t>
      </w:r>
      <w:r w:rsidR="006408E6">
        <w:rPr>
          <w:rFonts w:cs="Arial"/>
          <w:sz w:val="24"/>
        </w:rPr>
        <w:t>MPD</w:t>
      </w:r>
      <w:r>
        <w:rPr>
          <w:rFonts w:cs="Arial"/>
          <w:sz w:val="24"/>
        </w:rPr>
        <w:t xml:space="preserve">, includes the service territories of three consumer-owned utilities: </w:t>
      </w:r>
      <w:r w:rsidRPr="0054586F">
        <w:rPr>
          <w:rFonts w:cs="Arial"/>
          <w:sz w:val="24"/>
        </w:rPr>
        <w:t>Houlton Water Company</w:t>
      </w:r>
      <w:r>
        <w:rPr>
          <w:rFonts w:cs="Arial"/>
          <w:sz w:val="24"/>
        </w:rPr>
        <w:t>, Van Buren Light &amp; Power District, and Eastern Maine Electric Cooperative.  The NMISA tariffs, bylaws, market rules and other relevant documents are accessible from the NMISA</w:t>
      </w:r>
      <w:smartTag w:uri="urn:schemas-microsoft-com:office:smarttags" w:element="PersonName">
        <w:r>
          <w:rPr>
            <w:rFonts w:cs="Arial"/>
            <w:sz w:val="24"/>
          </w:rPr>
          <w:t>'</w:t>
        </w:r>
      </w:smartTag>
      <w:r>
        <w:rPr>
          <w:rFonts w:cs="Arial"/>
          <w:sz w:val="24"/>
        </w:rPr>
        <w:t xml:space="preserve">s web site at </w:t>
      </w:r>
      <w:hyperlink r:id="rId15" w:history="1">
        <w:r>
          <w:rPr>
            <w:rStyle w:val="Hyperlink"/>
            <w:rFonts w:cs="Arial"/>
            <w:sz w:val="24"/>
          </w:rPr>
          <w:t>www.nmisa.com</w:t>
        </w:r>
      </w:hyperlink>
      <w:r>
        <w:rPr>
          <w:rFonts w:cs="Arial"/>
          <w:sz w:val="24"/>
        </w:rPr>
        <w:t xml:space="preserve">. </w:t>
      </w:r>
    </w:p>
    <w:p w14:paraId="28E0EC33" w14:textId="77777777" w:rsidR="00576738" w:rsidRDefault="00576738">
      <w:pPr>
        <w:pStyle w:val="BodyTextIndent"/>
        <w:tabs>
          <w:tab w:val="left" w:pos="1440"/>
        </w:tabs>
        <w:ind w:left="1440"/>
        <w:jc w:val="left"/>
        <w:rPr>
          <w:rFonts w:cs="Arial"/>
          <w:sz w:val="24"/>
        </w:rPr>
      </w:pPr>
    </w:p>
    <w:p w14:paraId="202F6C9A" w14:textId="21971103" w:rsidR="00DE7098" w:rsidRDefault="00DE7098" w:rsidP="00DE7098">
      <w:pPr>
        <w:pStyle w:val="BodyTextIndent"/>
        <w:tabs>
          <w:tab w:val="left" w:pos="1440"/>
        </w:tabs>
        <w:ind w:left="1440"/>
        <w:jc w:val="left"/>
        <w:rPr>
          <w:rFonts w:cs="Arial"/>
          <w:sz w:val="24"/>
        </w:rPr>
      </w:pPr>
      <w:bookmarkStart w:id="2" w:name="_Hlk17971808"/>
    </w:p>
    <w:p w14:paraId="56660046" w14:textId="1D11369E" w:rsidR="00DE7098" w:rsidRDefault="00DE7098" w:rsidP="00DE7098">
      <w:pPr>
        <w:pStyle w:val="BodyTextIndent"/>
        <w:tabs>
          <w:tab w:val="left" w:pos="1440"/>
        </w:tabs>
        <w:ind w:left="1440"/>
        <w:jc w:val="left"/>
        <w:rPr>
          <w:rFonts w:cs="Arial"/>
          <w:sz w:val="24"/>
        </w:rPr>
      </w:pPr>
      <w:r w:rsidRPr="00377ECC">
        <w:rPr>
          <w:rFonts w:cs="Arial"/>
          <w:sz w:val="24"/>
        </w:rPr>
        <w:t xml:space="preserve">MPD’s retail sales to </w:t>
      </w:r>
      <w:r>
        <w:rPr>
          <w:rFonts w:cs="Arial"/>
          <w:sz w:val="24"/>
        </w:rPr>
        <w:t>large commercial</w:t>
      </w:r>
      <w:r w:rsidRPr="00377ECC">
        <w:rPr>
          <w:rFonts w:cs="Arial"/>
          <w:sz w:val="24"/>
        </w:rPr>
        <w:t xml:space="preserve"> customers in calendar year 201</w:t>
      </w:r>
      <w:r w:rsidR="000B4365">
        <w:rPr>
          <w:rFonts w:cs="Arial"/>
          <w:sz w:val="24"/>
        </w:rPr>
        <w:t>9</w:t>
      </w:r>
      <w:r w:rsidRPr="00377ECC">
        <w:rPr>
          <w:rFonts w:cs="Arial"/>
          <w:sz w:val="24"/>
        </w:rPr>
        <w:t xml:space="preserve"> were about</w:t>
      </w:r>
      <w:r w:rsidR="0054586F">
        <w:rPr>
          <w:rFonts w:cs="Arial"/>
          <w:sz w:val="24"/>
        </w:rPr>
        <w:t xml:space="preserve"> </w:t>
      </w:r>
      <w:r w:rsidR="000B4365">
        <w:rPr>
          <w:rFonts w:cs="Arial"/>
          <w:sz w:val="24"/>
        </w:rPr>
        <w:t>139,490</w:t>
      </w:r>
      <w:r w:rsidRPr="00377ECC">
        <w:rPr>
          <w:rFonts w:cs="Arial"/>
          <w:sz w:val="24"/>
        </w:rPr>
        <w:t xml:space="preserve"> megawatt-hours.  Currently, about </w:t>
      </w:r>
      <w:r w:rsidR="0054586F">
        <w:rPr>
          <w:rFonts w:cs="Arial"/>
          <w:sz w:val="24"/>
        </w:rPr>
        <w:t>1%</w:t>
      </w:r>
      <w:r w:rsidRPr="00377ECC">
        <w:rPr>
          <w:rFonts w:cs="Arial"/>
          <w:sz w:val="24"/>
        </w:rPr>
        <w:t xml:space="preserve"> of the load of these customers receives standard offer service.  Additional load data is available at the RFP web page.</w:t>
      </w:r>
      <w:r>
        <w:rPr>
          <w:rFonts w:cs="Arial"/>
          <w:sz w:val="24"/>
        </w:rPr>
        <w:t xml:space="preserve">   </w:t>
      </w:r>
    </w:p>
    <w:p w14:paraId="22255D57" w14:textId="77777777" w:rsidR="000C4814" w:rsidRDefault="000C4814">
      <w:pPr>
        <w:pStyle w:val="BodyTextIndent"/>
        <w:tabs>
          <w:tab w:val="left" w:pos="1440"/>
        </w:tabs>
        <w:ind w:left="1440"/>
        <w:jc w:val="left"/>
        <w:rPr>
          <w:rFonts w:cs="Arial"/>
          <w:sz w:val="24"/>
        </w:rPr>
      </w:pPr>
    </w:p>
    <w:bookmarkEnd w:id="2"/>
    <w:p w14:paraId="0E7A9944" w14:textId="77777777" w:rsidR="00D156D3" w:rsidRDefault="00D156D3" w:rsidP="00AC57D6">
      <w:pPr>
        <w:pStyle w:val="BodyTextIndent"/>
        <w:tabs>
          <w:tab w:val="left" w:pos="1440"/>
        </w:tabs>
        <w:ind w:left="0"/>
        <w:jc w:val="left"/>
        <w:rPr>
          <w:rFonts w:cs="Arial"/>
          <w:sz w:val="24"/>
        </w:rPr>
      </w:pPr>
    </w:p>
    <w:p w14:paraId="10568432" w14:textId="77777777" w:rsidR="00D156D3" w:rsidRDefault="00D156D3">
      <w:pPr>
        <w:pStyle w:val="BodyTextIndent2"/>
        <w:spacing w:after="0"/>
        <w:jc w:val="left"/>
      </w:pPr>
    </w:p>
    <w:p w14:paraId="621A385F" w14:textId="77777777" w:rsidR="00D156D3" w:rsidRDefault="0078651C">
      <w:pPr>
        <w:ind w:left="720"/>
        <w:rPr>
          <w:rFonts w:ascii="Arial" w:hAnsi="Arial"/>
          <w:b/>
          <w:sz w:val="24"/>
        </w:rPr>
      </w:pPr>
      <w:r>
        <w:rPr>
          <w:rFonts w:ascii="Arial" w:hAnsi="Arial"/>
          <w:b/>
          <w:sz w:val="24"/>
        </w:rPr>
        <w:t>1.3</w:t>
      </w:r>
      <w:r>
        <w:rPr>
          <w:rFonts w:ascii="Arial" w:hAnsi="Arial"/>
          <w:b/>
          <w:sz w:val="24"/>
        </w:rPr>
        <w:tab/>
        <w:t xml:space="preserve">General Standard Offer Service Provisions </w:t>
      </w:r>
    </w:p>
    <w:p w14:paraId="22F175EC" w14:textId="77777777" w:rsidR="00D156D3" w:rsidRDefault="00D156D3">
      <w:pPr>
        <w:pStyle w:val="BodyTextIndent2"/>
        <w:spacing w:after="0"/>
        <w:jc w:val="left"/>
      </w:pPr>
    </w:p>
    <w:p w14:paraId="2445974F" w14:textId="77777777" w:rsidR="00D156D3" w:rsidRDefault="0078651C">
      <w:pPr>
        <w:pStyle w:val="BodyTextIndent2"/>
        <w:spacing w:after="0"/>
        <w:jc w:val="left"/>
      </w:pPr>
      <w:r>
        <w:t xml:space="preserve">Chapter 301 of the Maine PUC rules governs standard offer service and is provided as Appendix A.  A list and short description of other rules related to retail electricity supply is provided as Appendix B.  The complete text of these rules is available on the Commission’s web site at </w:t>
      </w:r>
      <w:hyperlink r:id="rId16" w:history="1">
        <w:r>
          <w:rPr>
            <w:rStyle w:val="Hyperlink"/>
          </w:rPr>
          <w:t>www.maine.gov/mpuc</w:t>
        </w:r>
      </w:hyperlink>
      <w:r>
        <w:t xml:space="preserve"> </w:t>
      </w:r>
    </w:p>
    <w:p w14:paraId="1CCA6A7F" w14:textId="77777777" w:rsidR="00D156D3" w:rsidRDefault="00D156D3">
      <w:pPr>
        <w:pStyle w:val="BodyTextIndent2"/>
        <w:spacing w:after="0"/>
        <w:jc w:val="left"/>
      </w:pPr>
    </w:p>
    <w:p w14:paraId="1C6457D7" w14:textId="77777777" w:rsidR="00D156D3" w:rsidRDefault="0078651C">
      <w:pPr>
        <w:pStyle w:val="BodyTextIndent2"/>
        <w:spacing w:after="0"/>
        <w:jc w:val="left"/>
      </w:pPr>
      <w:r>
        <w:t xml:space="preserve">The standard offer provider’s legal rights and obligations with respect to providing standard offer service are set forth in the Statement of Commitment (Appendix H) and further described in Appendix J.  Bidders must submit a signed Statement of Commitment with their proposals acknowledging and accepting these rights and obligations.  Alternative language to that contained in Appendix H will be considered.  </w:t>
      </w:r>
    </w:p>
    <w:p w14:paraId="508A9471" w14:textId="77777777" w:rsidR="00D156D3" w:rsidRDefault="00D156D3">
      <w:pPr>
        <w:pStyle w:val="BodyTextIndent2"/>
        <w:spacing w:after="0"/>
        <w:jc w:val="left"/>
      </w:pPr>
    </w:p>
    <w:p w14:paraId="6F6D9BDF" w14:textId="77777777" w:rsidR="00D156D3" w:rsidRDefault="0078651C">
      <w:pPr>
        <w:pStyle w:val="BodyTextIndent2"/>
        <w:spacing w:after="0"/>
        <w:jc w:val="left"/>
      </w:pPr>
      <w:r>
        <w:t xml:space="preserve">Standard offer service is the only type of default service in </w:t>
      </w:r>
      <w:smartTag w:uri="urn:schemas-microsoft-com:office:smarttags" w:element="place">
        <w:smartTag w:uri="urn:schemas-microsoft-com:office:smarttags" w:element="State">
          <w:r>
            <w:t>Maine</w:t>
          </w:r>
        </w:smartTag>
      </w:smartTag>
      <w:r>
        <w:t xml:space="preserve"> and is provided directly by standard offer providers to customers at retail.  Standard offer providers supply requirements service for their load share and are not assigned particular customers.</w:t>
      </w:r>
    </w:p>
    <w:p w14:paraId="5B01BEA2" w14:textId="77777777" w:rsidR="00D156D3" w:rsidRDefault="00D156D3">
      <w:pPr>
        <w:pStyle w:val="BodyTextIndent2"/>
        <w:spacing w:after="0"/>
        <w:jc w:val="left"/>
      </w:pPr>
    </w:p>
    <w:p w14:paraId="6CFB3A2B" w14:textId="77777777" w:rsidR="00D156D3" w:rsidRDefault="0078651C">
      <w:pPr>
        <w:pStyle w:val="BodyTextIndent2"/>
        <w:spacing w:after="0"/>
        <w:jc w:val="left"/>
      </w:pPr>
      <w:r w:rsidRPr="00576738">
        <w:t>Retail standard offer prices are set equal to the bid prices of winning bidders.  If there are multiple providers, retail prices are the weighted average of the providers’ prices.</w:t>
      </w:r>
      <w:r>
        <w:t xml:space="preserve"> </w:t>
      </w:r>
    </w:p>
    <w:p w14:paraId="7CF38458" w14:textId="77777777" w:rsidR="00D156D3" w:rsidRDefault="00D156D3">
      <w:pPr>
        <w:pStyle w:val="BodyTextIndent2"/>
        <w:spacing w:after="0"/>
        <w:jc w:val="left"/>
      </w:pPr>
    </w:p>
    <w:p w14:paraId="25292692" w14:textId="77777777" w:rsidR="00D156D3" w:rsidRDefault="0078651C">
      <w:pPr>
        <w:pStyle w:val="BodyTextIndent2"/>
        <w:spacing w:after="0"/>
        <w:jc w:val="left"/>
        <w:rPr>
          <w:b/>
          <w:bCs/>
        </w:rPr>
      </w:pPr>
      <w:r>
        <w:t>The standard offer provider is paid its accepted bid price less the applicable fixed percentage amount for uncollectible revenue as specified in Exhibit A to Standard Offer Provider Agreement (Appendix C).</w:t>
      </w:r>
    </w:p>
    <w:p w14:paraId="36B97998" w14:textId="77777777" w:rsidR="00D156D3" w:rsidRDefault="00D156D3">
      <w:pPr>
        <w:pStyle w:val="BodyTextIndent3"/>
        <w:spacing w:after="0"/>
        <w:ind w:left="0"/>
        <w:jc w:val="left"/>
        <w:rPr>
          <w:sz w:val="24"/>
        </w:rPr>
      </w:pPr>
    </w:p>
    <w:p w14:paraId="047A8BCC" w14:textId="6D0E14E2" w:rsidR="00D156D3" w:rsidRDefault="006408E6">
      <w:pPr>
        <w:pStyle w:val="BodyTextIndent3"/>
        <w:spacing w:after="0"/>
        <w:jc w:val="left"/>
        <w:rPr>
          <w:sz w:val="24"/>
        </w:rPr>
      </w:pPr>
      <w:r>
        <w:rPr>
          <w:sz w:val="24"/>
        </w:rPr>
        <w:t>MPD</w:t>
      </w:r>
      <w:r w:rsidR="0078651C">
        <w:rPr>
          <w:sz w:val="24"/>
        </w:rPr>
        <w:t xml:space="preserve"> will bill and collect from customers on behalf of the standard offer provider.  The Standard Service Agreement that governs these billing arrangements and other matters between the provider and </w:t>
      </w:r>
      <w:r>
        <w:rPr>
          <w:sz w:val="24"/>
        </w:rPr>
        <w:t>MPD</w:t>
      </w:r>
      <w:r w:rsidR="0078651C">
        <w:rPr>
          <w:sz w:val="24"/>
        </w:rPr>
        <w:t xml:space="preserve"> is provided as Appendix C.  </w:t>
      </w:r>
      <w:r>
        <w:rPr>
          <w:sz w:val="24"/>
        </w:rPr>
        <w:t>MPD</w:t>
      </w:r>
      <w:r w:rsidR="0078651C">
        <w:rPr>
          <w:sz w:val="24"/>
        </w:rPr>
        <w:t xml:space="preserve"> charges for the services it provides in accordance with Commission-approved Terms &amp; Conditions.  (See Appendix D.)  Bidders may propose changes to the Standard Agreement and submit them for consideration.</w:t>
      </w:r>
    </w:p>
    <w:p w14:paraId="504408FA" w14:textId="77777777" w:rsidR="006F5F38" w:rsidRDefault="006F5F38">
      <w:pPr>
        <w:pStyle w:val="BodyTextIndent3"/>
        <w:spacing w:after="0"/>
        <w:jc w:val="left"/>
        <w:rPr>
          <w:sz w:val="24"/>
        </w:rPr>
      </w:pPr>
      <w:bookmarkStart w:id="3" w:name="_GoBack"/>
      <w:bookmarkEnd w:id="3"/>
    </w:p>
    <w:p w14:paraId="6C51C0D6" w14:textId="77777777" w:rsidR="00D156D3" w:rsidRDefault="00D156D3">
      <w:pPr>
        <w:pStyle w:val="BodyTextIndent3"/>
        <w:numPr>
          <w:ilvl w:val="12"/>
          <w:numId w:val="0"/>
        </w:numPr>
        <w:spacing w:after="0"/>
        <w:rPr>
          <w:b/>
          <w:bCs/>
          <w:sz w:val="24"/>
        </w:rPr>
      </w:pPr>
    </w:p>
    <w:p w14:paraId="175FC6A2" w14:textId="77777777" w:rsidR="00D156D3" w:rsidRDefault="0078651C">
      <w:pPr>
        <w:pStyle w:val="BodyTextIndent3"/>
        <w:numPr>
          <w:ilvl w:val="12"/>
          <w:numId w:val="0"/>
        </w:numPr>
        <w:spacing w:after="0"/>
        <w:rPr>
          <w:b/>
          <w:bCs/>
          <w:sz w:val="24"/>
        </w:rPr>
      </w:pPr>
      <w:r>
        <w:rPr>
          <w:b/>
          <w:bCs/>
          <w:sz w:val="24"/>
        </w:rPr>
        <w:lastRenderedPageBreak/>
        <w:t>2.</w:t>
      </w:r>
      <w:r>
        <w:rPr>
          <w:b/>
          <w:bCs/>
          <w:sz w:val="24"/>
        </w:rPr>
        <w:tab/>
        <w:t>PROCESS AND SCHEDULE</w:t>
      </w:r>
    </w:p>
    <w:p w14:paraId="5053F61D" w14:textId="77777777" w:rsidR="00D156D3" w:rsidRDefault="00D156D3">
      <w:pPr>
        <w:pStyle w:val="BodyTextIndent3"/>
        <w:numPr>
          <w:ilvl w:val="12"/>
          <w:numId w:val="0"/>
        </w:numPr>
        <w:spacing w:after="0"/>
        <w:rPr>
          <w:b/>
          <w:bCs/>
          <w:sz w:val="24"/>
        </w:rPr>
      </w:pPr>
    </w:p>
    <w:p w14:paraId="40159864" w14:textId="77777777" w:rsidR="00D156D3" w:rsidRDefault="0078651C">
      <w:pPr>
        <w:rPr>
          <w:rFonts w:ascii="Arial" w:hAnsi="Arial"/>
          <w:b/>
          <w:sz w:val="24"/>
        </w:rPr>
      </w:pPr>
      <w:r>
        <w:rPr>
          <w:b/>
          <w:bCs/>
          <w:sz w:val="24"/>
        </w:rPr>
        <w:tab/>
        <w:t>2</w:t>
      </w:r>
      <w:r>
        <w:rPr>
          <w:rFonts w:ascii="Arial" w:hAnsi="Arial" w:cs="Arial"/>
          <w:b/>
          <w:bCs/>
          <w:sz w:val="24"/>
        </w:rPr>
        <w:t>.1</w:t>
      </w:r>
      <w:r>
        <w:rPr>
          <w:b/>
          <w:bCs/>
          <w:sz w:val="24"/>
        </w:rPr>
        <w:tab/>
      </w:r>
      <w:r>
        <w:rPr>
          <w:rFonts w:ascii="Arial" w:hAnsi="Arial" w:cs="Arial"/>
          <w:b/>
          <w:bCs/>
          <w:sz w:val="24"/>
        </w:rPr>
        <w:t xml:space="preserve">Key </w:t>
      </w:r>
      <w:r>
        <w:rPr>
          <w:rFonts w:ascii="Arial" w:hAnsi="Arial"/>
          <w:b/>
          <w:sz w:val="24"/>
        </w:rPr>
        <w:t>Events and Timing</w:t>
      </w:r>
    </w:p>
    <w:p w14:paraId="178416B6" w14:textId="77777777" w:rsidR="00D156D3" w:rsidRDefault="00D156D3">
      <w:pPr>
        <w:pStyle w:val="BodyTextIndent3"/>
        <w:spacing w:after="0"/>
        <w:ind w:left="720" w:firstLine="720"/>
        <w:rPr>
          <w:sz w:val="24"/>
        </w:rPr>
      </w:pPr>
    </w:p>
    <w:p w14:paraId="41680A8D" w14:textId="03609593" w:rsidR="00D156D3" w:rsidRDefault="0078651C">
      <w:pPr>
        <w:pStyle w:val="Heading5"/>
      </w:pPr>
      <w:r>
        <w:t xml:space="preserve">Initial proposals with indicative </w:t>
      </w:r>
      <w:r>
        <w:tab/>
      </w:r>
      <w:r>
        <w:tab/>
      </w:r>
      <w:r>
        <w:tab/>
      </w:r>
      <w:r w:rsidR="00B0593B">
        <w:t xml:space="preserve">October </w:t>
      </w:r>
      <w:r w:rsidR="000B4365">
        <w:t>7</w:t>
      </w:r>
      <w:r w:rsidR="00B0593B">
        <w:t>, 20</w:t>
      </w:r>
      <w:r w:rsidR="000B4365">
        <w:t>20</w:t>
      </w:r>
    </w:p>
    <w:p w14:paraId="4F69932C" w14:textId="77777777" w:rsidR="00D156D3" w:rsidRDefault="0078651C">
      <w:pPr>
        <w:pStyle w:val="Heading5"/>
      </w:pPr>
      <w:r>
        <w:t>prices submitted</w:t>
      </w:r>
      <w:r>
        <w:tab/>
        <w:t xml:space="preserve"> </w:t>
      </w:r>
      <w:r>
        <w:tab/>
      </w:r>
      <w:r>
        <w:tab/>
      </w:r>
      <w:r>
        <w:tab/>
      </w:r>
      <w:r>
        <w:tab/>
      </w:r>
      <w:r>
        <w:rPr>
          <w:rFonts w:cs="Arial"/>
        </w:rPr>
        <w:t>(by 4:00 p.m. EPT)</w:t>
      </w:r>
    </w:p>
    <w:p w14:paraId="203FD18F" w14:textId="77777777" w:rsidR="00D156D3" w:rsidRDefault="0078651C">
      <w:pPr>
        <w:ind w:left="1440"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tab/>
      </w:r>
      <w:r>
        <w:tab/>
      </w:r>
    </w:p>
    <w:p w14:paraId="4B5714DE" w14:textId="77777777" w:rsidR="00D156D3" w:rsidRDefault="0078651C">
      <w:pPr>
        <w:ind w:left="720" w:firstLine="720"/>
        <w:rPr>
          <w:rFonts w:ascii="Arial" w:hAnsi="Arial"/>
          <w:sz w:val="24"/>
        </w:rPr>
      </w:pPr>
      <w:r>
        <w:rPr>
          <w:rFonts w:ascii="Arial" w:hAnsi="Arial"/>
          <w:sz w:val="24"/>
        </w:rPr>
        <w:tab/>
      </w:r>
    </w:p>
    <w:p w14:paraId="66C87225" w14:textId="3D2FE491" w:rsidR="00D156D3" w:rsidRDefault="0078651C">
      <w:pPr>
        <w:ind w:left="1440"/>
        <w:rPr>
          <w:rFonts w:ascii="Arial" w:hAnsi="Arial"/>
          <w:sz w:val="24"/>
        </w:rPr>
      </w:pPr>
      <w:r>
        <w:rPr>
          <w:rFonts w:ascii="Arial" w:hAnsi="Arial"/>
          <w:sz w:val="24"/>
        </w:rPr>
        <w:t>Negotiation of non-price terms</w:t>
      </w:r>
      <w:r>
        <w:rPr>
          <w:rFonts w:ascii="Arial" w:hAnsi="Arial"/>
          <w:sz w:val="24"/>
        </w:rPr>
        <w:tab/>
      </w:r>
      <w:r>
        <w:rPr>
          <w:rFonts w:ascii="Arial" w:hAnsi="Arial"/>
          <w:sz w:val="24"/>
        </w:rPr>
        <w:tab/>
      </w:r>
      <w:r>
        <w:rPr>
          <w:rFonts w:ascii="Arial" w:hAnsi="Arial"/>
          <w:sz w:val="24"/>
        </w:rPr>
        <w:tab/>
      </w:r>
      <w:r w:rsidR="00B0593B">
        <w:rPr>
          <w:rFonts w:ascii="Arial" w:hAnsi="Arial"/>
          <w:sz w:val="24"/>
        </w:rPr>
        <w:t xml:space="preserve">October </w:t>
      </w:r>
      <w:r w:rsidR="000B4365">
        <w:rPr>
          <w:rFonts w:ascii="Arial" w:hAnsi="Arial"/>
          <w:sz w:val="24"/>
        </w:rPr>
        <w:t>8</w:t>
      </w:r>
      <w:r w:rsidR="00B0593B">
        <w:rPr>
          <w:rFonts w:ascii="Arial" w:hAnsi="Arial"/>
          <w:sz w:val="24"/>
        </w:rPr>
        <w:t>, 20</w:t>
      </w:r>
      <w:r w:rsidR="000B4365">
        <w:rPr>
          <w:rFonts w:ascii="Arial" w:hAnsi="Arial"/>
          <w:sz w:val="24"/>
        </w:rPr>
        <w:t>20</w:t>
      </w:r>
    </w:p>
    <w:p w14:paraId="32CFEC0E" w14:textId="77777777" w:rsidR="00D156D3" w:rsidRDefault="0078651C">
      <w:pPr>
        <w:ind w:left="1440" w:firstLine="720"/>
        <w:rPr>
          <w:rFonts w:ascii="Arial" w:hAnsi="Arial"/>
          <w:sz w:val="24"/>
        </w:rPr>
      </w:pPr>
      <w:r>
        <w:rPr>
          <w:rFonts w:ascii="Arial" w:hAnsi="Arial"/>
          <w:i/>
          <w:iCs/>
          <w:sz w:val="24"/>
        </w:rPr>
        <w:t>(May be with a “short-list” of</w:t>
      </w:r>
      <w:r>
        <w:rPr>
          <w:rFonts w:ascii="Arial" w:hAnsi="Arial"/>
          <w:sz w:val="24"/>
        </w:rPr>
        <w:tab/>
      </w:r>
      <w:r>
        <w:rPr>
          <w:rFonts w:ascii="Arial" w:hAnsi="Arial"/>
          <w:sz w:val="24"/>
        </w:rPr>
        <w:tab/>
        <w:t>To Completion</w:t>
      </w:r>
    </w:p>
    <w:p w14:paraId="6D9F9D2A" w14:textId="77777777" w:rsidR="00D156D3" w:rsidRDefault="0078651C">
      <w:pPr>
        <w:ind w:left="1440" w:firstLine="720"/>
        <w:rPr>
          <w:rFonts w:ascii="Arial" w:hAnsi="Arial"/>
          <w:i/>
          <w:iCs/>
          <w:sz w:val="24"/>
        </w:rPr>
      </w:pPr>
      <w:r>
        <w:rPr>
          <w:rFonts w:ascii="Arial" w:hAnsi="Arial"/>
          <w:i/>
          <w:iCs/>
          <w:sz w:val="24"/>
        </w:rPr>
        <w:t>bidders as determined by</w:t>
      </w:r>
    </w:p>
    <w:p w14:paraId="1F5D4A6C" w14:textId="77777777" w:rsidR="00D156D3" w:rsidRDefault="0078651C">
      <w:pPr>
        <w:ind w:left="1440" w:firstLine="720"/>
        <w:rPr>
          <w:rFonts w:ascii="Arial" w:hAnsi="Arial"/>
          <w:sz w:val="24"/>
        </w:rPr>
      </w:pPr>
      <w:r>
        <w:rPr>
          <w:rFonts w:ascii="Arial" w:hAnsi="Arial"/>
          <w:i/>
          <w:iCs/>
          <w:sz w:val="24"/>
        </w:rPr>
        <w:t xml:space="preserve"> indicative prices.)</w:t>
      </w:r>
    </w:p>
    <w:p w14:paraId="58FCD5F1" w14:textId="77777777" w:rsidR="00D156D3" w:rsidRDefault="00D156D3">
      <w:pPr>
        <w:pStyle w:val="Heading5"/>
      </w:pPr>
    </w:p>
    <w:p w14:paraId="76A86E0B" w14:textId="77777777" w:rsidR="00D156D3" w:rsidRDefault="0078651C">
      <w:pPr>
        <w:rPr>
          <w:rFonts w:ascii="Arial" w:hAnsi="Arial"/>
          <w:sz w:val="24"/>
        </w:rPr>
      </w:pPr>
      <w:r>
        <w:tab/>
      </w:r>
      <w:r>
        <w:tab/>
      </w:r>
      <w:r>
        <w:rPr>
          <w:rFonts w:ascii="Arial" w:hAnsi="Arial"/>
          <w:sz w:val="24"/>
        </w:rPr>
        <w:t>Final Bid Prices Due/</w:t>
      </w:r>
      <w:r>
        <w:rPr>
          <w:rFonts w:ascii="Arial" w:hAnsi="Arial"/>
          <w:sz w:val="24"/>
        </w:rPr>
        <w:tab/>
      </w:r>
      <w:r>
        <w:rPr>
          <w:rFonts w:ascii="Arial" w:hAnsi="Arial"/>
          <w:sz w:val="24"/>
        </w:rPr>
        <w:tab/>
      </w:r>
      <w:r>
        <w:rPr>
          <w:rFonts w:ascii="Arial" w:hAnsi="Arial"/>
          <w:sz w:val="24"/>
        </w:rPr>
        <w:tab/>
      </w:r>
      <w:r>
        <w:rPr>
          <w:rFonts w:ascii="Arial" w:hAnsi="Arial"/>
          <w:sz w:val="24"/>
        </w:rPr>
        <w:tab/>
        <w:t>To be determined</w:t>
      </w:r>
    </w:p>
    <w:p w14:paraId="369280A0" w14:textId="77777777" w:rsidR="00D156D3" w:rsidRDefault="0078651C">
      <w:pPr>
        <w:rPr>
          <w:rFonts w:ascii="Arial" w:hAnsi="Arial"/>
          <w:sz w:val="24"/>
        </w:rPr>
      </w:pPr>
      <w:r>
        <w:rPr>
          <w:rFonts w:ascii="Arial" w:hAnsi="Arial"/>
          <w:sz w:val="24"/>
        </w:rPr>
        <w:tab/>
      </w:r>
      <w:r>
        <w:rPr>
          <w:rFonts w:ascii="Arial" w:hAnsi="Arial"/>
          <w:sz w:val="24"/>
        </w:rPr>
        <w:tab/>
        <w:t xml:space="preserve">Commission Decision </w:t>
      </w:r>
    </w:p>
    <w:p w14:paraId="2D5D51DE" w14:textId="77777777" w:rsidR="00D156D3" w:rsidRDefault="00D156D3">
      <w:pPr>
        <w:rPr>
          <w:rFonts w:ascii="Arial" w:hAnsi="Arial"/>
          <w:sz w:val="24"/>
        </w:rPr>
      </w:pPr>
    </w:p>
    <w:p w14:paraId="701A8005" w14:textId="77777777" w:rsidR="00D156D3" w:rsidRDefault="0078651C">
      <w:pPr>
        <w:ind w:left="6480" w:hanging="5040"/>
        <w:rPr>
          <w:rFonts w:ascii="Arial" w:hAnsi="Arial"/>
          <w:sz w:val="24"/>
        </w:rPr>
      </w:pPr>
      <w:r>
        <w:rPr>
          <w:rFonts w:ascii="Arial" w:hAnsi="Arial"/>
          <w:sz w:val="24"/>
        </w:rPr>
        <w:t>Public Release of Standard Offer Prices</w:t>
      </w:r>
      <w:r>
        <w:rPr>
          <w:rFonts w:ascii="Arial" w:hAnsi="Arial"/>
          <w:sz w:val="24"/>
        </w:rPr>
        <w:tab/>
        <w:t>Date of Commission Decision</w:t>
      </w:r>
    </w:p>
    <w:p w14:paraId="43AE3FDE" w14:textId="77777777" w:rsidR="00D156D3" w:rsidRDefault="0078651C">
      <w:pPr>
        <w:ind w:left="6480" w:hanging="5040"/>
        <w:rPr>
          <w:rFonts w:ascii="Arial" w:hAnsi="Arial"/>
          <w:sz w:val="24"/>
        </w:rPr>
      </w:pPr>
      <w:r>
        <w:rPr>
          <w:rFonts w:ascii="Arial" w:hAnsi="Arial"/>
          <w:sz w:val="24"/>
        </w:rPr>
        <w:tab/>
        <w:t xml:space="preserve"> </w:t>
      </w:r>
    </w:p>
    <w:p w14:paraId="0ED511D3" w14:textId="77777777" w:rsidR="00D156D3" w:rsidRDefault="0078651C">
      <w:pPr>
        <w:pStyle w:val="Heading8"/>
        <w:jc w:val="left"/>
      </w:pPr>
      <w:r>
        <w:t>Execution of Standard Offer</w:t>
      </w:r>
      <w:r>
        <w:tab/>
      </w:r>
      <w:r>
        <w:tab/>
      </w:r>
      <w:r>
        <w:tab/>
        <w:t xml:space="preserve">Within 24 hours of </w:t>
      </w:r>
    </w:p>
    <w:p w14:paraId="1F198DE4" w14:textId="77777777" w:rsidR="00D156D3" w:rsidRDefault="0078651C">
      <w:pPr>
        <w:ind w:firstLine="720"/>
        <w:rPr>
          <w:rFonts w:ascii="Arial" w:hAnsi="Arial" w:cs="Arial"/>
          <w:sz w:val="24"/>
        </w:rPr>
      </w:pPr>
      <w:r>
        <w:tab/>
      </w:r>
      <w:r>
        <w:rPr>
          <w:rFonts w:ascii="Arial" w:hAnsi="Arial" w:cs="Arial"/>
          <w:sz w:val="24"/>
        </w:rPr>
        <w:t>Service Agreement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Commission Decision</w:t>
      </w:r>
    </w:p>
    <w:p w14:paraId="32652D2F" w14:textId="77777777" w:rsidR="00D156D3" w:rsidRDefault="00D156D3">
      <w:pPr>
        <w:ind w:left="720" w:firstLine="720"/>
        <w:rPr>
          <w:rFonts w:ascii="Arial" w:hAnsi="Arial"/>
          <w:sz w:val="24"/>
        </w:rPr>
      </w:pPr>
    </w:p>
    <w:p w14:paraId="6E83373E" w14:textId="77777777" w:rsidR="00D156D3" w:rsidRDefault="0078651C">
      <w:pPr>
        <w:ind w:left="720" w:firstLine="720"/>
        <w:rPr>
          <w:rFonts w:ascii="Arial" w:hAnsi="Arial"/>
          <w:sz w:val="24"/>
        </w:rPr>
      </w:pPr>
      <w:r>
        <w:rPr>
          <w:rFonts w:ascii="Arial" w:hAnsi="Arial"/>
          <w:sz w:val="24"/>
        </w:rPr>
        <w:t xml:space="preserve">Submission of Financial </w:t>
      </w:r>
      <w:r>
        <w:rPr>
          <w:rFonts w:ascii="Arial" w:hAnsi="Arial"/>
          <w:sz w:val="24"/>
        </w:rPr>
        <w:tab/>
      </w:r>
      <w:r>
        <w:rPr>
          <w:rFonts w:ascii="Arial" w:hAnsi="Arial"/>
          <w:sz w:val="24"/>
        </w:rPr>
        <w:tab/>
      </w:r>
      <w:r>
        <w:rPr>
          <w:rFonts w:ascii="Arial" w:hAnsi="Arial"/>
          <w:sz w:val="24"/>
        </w:rPr>
        <w:tab/>
      </w:r>
      <w:r>
        <w:rPr>
          <w:rFonts w:ascii="Arial" w:hAnsi="Arial"/>
          <w:sz w:val="24"/>
        </w:rPr>
        <w:tab/>
        <w:t xml:space="preserve">Within 5 business days of </w:t>
      </w:r>
    </w:p>
    <w:p w14:paraId="3AEB3731" w14:textId="77777777" w:rsidR="00D156D3" w:rsidRDefault="0078651C">
      <w:pPr>
        <w:rPr>
          <w:rFonts w:ascii="Arial" w:hAnsi="Arial"/>
          <w:sz w:val="24"/>
        </w:rPr>
      </w:pPr>
      <w:r>
        <w:rPr>
          <w:rFonts w:ascii="Arial" w:hAnsi="Arial"/>
          <w:sz w:val="24"/>
        </w:rPr>
        <w:tab/>
      </w:r>
      <w:r>
        <w:rPr>
          <w:rFonts w:ascii="Arial" w:hAnsi="Arial"/>
          <w:sz w:val="24"/>
        </w:rPr>
        <w:tab/>
        <w:t>Security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Commission Decision</w:t>
      </w:r>
    </w:p>
    <w:p w14:paraId="6CB11B67" w14:textId="77777777" w:rsidR="00D156D3" w:rsidRDefault="0078651C">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61753EFE" w14:textId="77777777" w:rsidR="00D156D3" w:rsidRDefault="0078651C">
      <w:pPr>
        <w:ind w:left="720" w:firstLine="720"/>
        <w:rPr>
          <w:rFonts w:ascii="Arial" w:hAnsi="Arial"/>
          <w:sz w:val="24"/>
        </w:rPr>
      </w:pPr>
      <w:r>
        <w:rPr>
          <w:rFonts w:ascii="Arial" w:hAnsi="Arial"/>
          <w:sz w:val="24"/>
        </w:rPr>
        <w:t>Public Release of Standard Offer</w:t>
      </w:r>
      <w:r>
        <w:rPr>
          <w:rFonts w:ascii="Arial" w:hAnsi="Arial"/>
          <w:sz w:val="24"/>
        </w:rPr>
        <w:tab/>
      </w:r>
      <w:r>
        <w:rPr>
          <w:rFonts w:ascii="Arial" w:hAnsi="Arial"/>
          <w:sz w:val="24"/>
        </w:rPr>
        <w:tab/>
      </w:r>
      <w:r>
        <w:rPr>
          <w:rFonts w:ascii="Arial" w:hAnsi="Arial"/>
          <w:sz w:val="24"/>
        </w:rPr>
        <w:tab/>
        <w:t xml:space="preserve">May be kept confidential </w:t>
      </w:r>
    </w:p>
    <w:p w14:paraId="69FE8AC9" w14:textId="77777777" w:rsidR="00D156D3" w:rsidRDefault="0078651C">
      <w:pPr>
        <w:ind w:left="720" w:firstLine="720"/>
        <w:rPr>
          <w:rFonts w:ascii="Arial" w:hAnsi="Arial"/>
          <w:sz w:val="24"/>
        </w:rPr>
      </w:pPr>
      <w:r>
        <w:rPr>
          <w:rFonts w:ascii="Arial" w:hAnsi="Arial"/>
          <w:sz w:val="24"/>
        </w:rPr>
        <w:t>Provider Identity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for up to 2 weeks after </w:t>
      </w:r>
    </w:p>
    <w:p w14:paraId="651F2C2A" w14:textId="77777777" w:rsidR="00D156D3" w:rsidRDefault="0078651C">
      <w:pPr>
        <w:ind w:left="5760" w:firstLine="720"/>
        <w:rPr>
          <w:rFonts w:ascii="Arial" w:hAnsi="Arial"/>
          <w:sz w:val="24"/>
        </w:rPr>
      </w:pPr>
      <w:r>
        <w:rPr>
          <w:rFonts w:ascii="Arial" w:hAnsi="Arial"/>
          <w:sz w:val="24"/>
        </w:rPr>
        <w:t xml:space="preserve">Commission Decision (at </w:t>
      </w:r>
    </w:p>
    <w:p w14:paraId="77EE3DB7" w14:textId="77777777" w:rsidR="00D156D3" w:rsidRDefault="0078651C">
      <w:pPr>
        <w:ind w:left="5760" w:firstLine="720"/>
        <w:rPr>
          <w:rFonts w:ascii="Arial" w:hAnsi="Arial"/>
          <w:sz w:val="24"/>
        </w:rPr>
      </w:pPr>
      <w:r>
        <w:rPr>
          <w:rFonts w:ascii="Arial" w:hAnsi="Arial"/>
          <w:sz w:val="24"/>
        </w:rPr>
        <w:t>provider’s request)</w:t>
      </w:r>
    </w:p>
    <w:p w14:paraId="09C29C5B" w14:textId="77777777" w:rsidR="00D156D3" w:rsidRDefault="00D156D3">
      <w:pPr>
        <w:rPr>
          <w:rFonts w:ascii="Arial" w:hAnsi="Arial"/>
          <w:sz w:val="24"/>
        </w:rPr>
      </w:pPr>
    </w:p>
    <w:p w14:paraId="09F500BD" w14:textId="71606BCF" w:rsidR="00D156D3" w:rsidRDefault="0078651C">
      <w:pPr>
        <w:rPr>
          <w:rFonts w:ascii="Arial" w:hAnsi="Arial"/>
          <w:sz w:val="24"/>
        </w:rPr>
      </w:pPr>
      <w:r>
        <w:rPr>
          <w:rFonts w:ascii="Arial" w:hAnsi="Arial"/>
          <w:sz w:val="24"/>
        </w:rPr>
        <w:tab/>
      </w:r>
      <w:r>
        <w:rPr>
          <w:rFonts w:ascii="Arial" w:hAnsi="Arial"/>
          <w:sz w:val="24"/>
        </w:rPr>
        <w:tab/>
        <w:t>Standard Offer Service Term Begins</w:t>
      </w:r>
      <w:r>
        <w:rPr>
          <w:rFonts w:ascii="Arial" w:hAnsi="Arial"/>
          <w:sz w:val="24"/>
        </w:rPr>
        <w:tab/>
      </w:r>
      <w:r>
        <w:rPr>
          <w:rFonts w:ascii="Arial" w:hAnsi="Arial"/>
          <w:sz w:val="24"/>
        </w:rPr>
        <w:tab/>
      </w:r>
      <w:r w:rsidR="00B0593B">
        <w:rPr>
          <w:rFonts w:ascii="Arial" w:hAnsi="Arial"/>
          <w:sz w:val="24"/>
        </w:rPr>
        <w:t xml:space="preserve">January 1, </w:t>
      </w:r>
      <w:r w:rsidR="000B4365">
        <w:rPr>
          <w:rFonts w:ascii="Arial" w:hAnsi="Arial"/>
          <w:sz w:val="24"/>
        </w:rPr>
        <w:t>2021</w:t>
      </w:r>
      <w:r>
        <w:rPr>
          <w:rFonts w:ascii="Arial" w:hAnsi="Arial"/>
          <w:sz w:val="24"/>
        </w:rPr>
        <w:tab/>
      </w:r>
    </w:p>
    <w:p w14:paraId="172A168C" w14:textId="77777777" w:rsidR="00D156D3" w:rsidRDefault="00D156D3">
      <w:pPr>
        <w:rPr>
          <w:rFonts w:ascii="Arial" w:hAnsi="Arial"/>
          <w:sz w:val="24"/>
        </w:rPr>
      </w:pPr>
    </w:p>
    <w:p w14:paraId="44AFC210" w14:textId="77777777" w:rsidR="00D156D3" w:rsidRDefault="0078651C">
      <w:pPr>
        <w:pStyle w:val="FootnoteText"/>
        <w:ind w:left="1440" w:hanging="720"/>
        <w:rPr>
          <w:rFonts w:ascii="Arial" w:hAnsi="Arial"/>
          <w:sz w:val="24"/>
        </w:rPr>
      </w:pPr>
      <w:r>
        <w:rPr>
          <w:rFonts w:ascii="Arial" w:hAnsi="Arial"/>
          <w:sz w:val="24"/>
        </w:rPr>
        <w:tab/>
        <w:t>Changes or updates to this schedule will be posted on the RFP web page or otherwise communicated to bidders.</w:t>
      </w:r>
    </w:p>
    <w:p w14:paraId="25B4CB69" w14:textId="77777777" w:rsidR="00D156D3" w:rsidRDefault="00D156D3">
      <w:pPr>
        <w:jc w:val="both"/>
        <w:rPr>
          <w:rFonts w:ascii="Arial" w:hAnsi="Arial"/>
          <w:sz w:val="24"/>
        </w:rPr>
      </w:pPr>
    </w:p>
    <w:p w14:paraId="23EC4EB1" w14:textId="77777777" w:rsidR="00D156D3" w:rsidRDefault="0078651C">
      <w:pPr>
        <w:pStyle w:val="BodyText2"/>
        <w:ind w:left="720"/>
      </w:pPr>
      <w:r>
        <w:rPr>
          <w:b/>
        </w:rPr>
        <w:t>2.1</w:t>
      </w:r>
      <w:r>
        <w:rPr>
          <w:b/>
        </w:rPr>
        <w:tab/>
        <w:t>Submission of Proposals</w:t>
      </w:r>
    </w:p>
    <w:p w14:paraId="3B93A415" w14:textId="77777777" w:rsidR="00D156D3" w:rsidRDefault="00D156D3">
      <w:pPr>
        <w:pStyle w:val="BodyText2"/>
        <w:ind w:left="720" w:firstLine="720"/>
      </w:pPr>
    </w:p>
    <w:p w14:paraId="2A0A93EB" w14:textId="739C5855" w:rsidR="00D156D3" w:rsidRDefault="0078651C">
      <w:pPr>
        <w:pStyle w:val="BodyText2"/>
        <w:ind w:left="1440"/>
        <w:jc w:val="left"/>
      </w:pPr>
      <w:r>
        <w:t xml:space="preserve">Proposals must be received at the Maine PUC by the times and dates indicated.   Instructions for submitting proposals will be posted on the Commission’s website at </w:t>
      </w:r>
      <w:hyperlink r:id="rId17" w:history="1">
        <w:r w:rsidR="00B0593B" w:rsidRPr="009E724C">
          <w:rPr>
            <w:rStyle w:val="Hyperlink"/>
            <w:szCs w:val="24"/>
          </w:rPr>
          <w:t>http://www.maine.gov/mpuc/electricity/rfps/so_solicitations.shtml</w:t>
        </w:r>
      </w:hyperlink>
      <w:r w:rsidR="00B0593B">
        <w:rPr>
          <w:szCs w:val="24"/>
        </w:rPr>
        <w:t xml:space="preserve">  </w:t>
      </w:r>
      <w:r>
        <w:t xml:space="preserve">or otherwise communicated to bidders. </w:t>
      </w:r>
    </w:p>
    <w:p w14:paraId="72D9737D" w14:textId="77777777" w:rsidR="00D156D3" w:rsidRDefault="00D156D3">
      <w:pPr>
        <w:pStyle w:val="BodyText2"/>
        <w:ind w:left="1440"/>
        <w:jc w:val="left"/>
        <w:rPr>
          <w:b/>
          <w:bCs/>
        </w:rPr>
      </w:pPr>
    </w:p>
    <w:p w14:paraId="1B306970" w14:textId="77777777" w:rsidR="00D156D3" w:rsidRDefault="00D156D3">
      <w:pPr>
        <w:pStyle w:val="Heading1"/>
        <w:jc w:val="left"/>
        <w:rPr>
          <w:rFonts w:ascii="Arial" w:hAnsi="Arial"/>
          <w:sz w:val="24"/>
        </w:rPr>
      </w:pPr>
    </w:p>
    <w:p w14:paraId="2B49BE3D" w14:textId="77777777" w:rsidR="00D156D3" w:rsidRDefault="0078651C">
      <w:pPr>
        <w:pStyle w:val="Heading1"/>
        <w:jc w:val="left"/>
        <w:rPr>
          <w:rFonts w:ascii="Arial" w:hAnsi="Arial"/>
          <w:sz w:val="24"/>
        </w:rPr>
      </w:pPr>
      <w:r>
        <w:rPr>
          <w:rFonts w:ascii="Arial" w:hAnsi="Arial"/>
          <w:sz w:val="24"/>
        </w:rPr>
        <w:t>3.</w:t>
      </w:r>
      <w:r>
        <w:rPr>
          <w:rFonts w:ascii="Arial" w:hAnsi="Arial"/>
          <w:sz w:val="24"/>
        </w:rPr>
        <w:tab/>
        <w:t>PROPOSAL REQUIREMENTS</w:t>
      </w:r>
    </w:p>
    <w:p w14:paraId="4713E7C0" w14:textId="77777777" w:rsidR="00D156D3" w:rsidRDefault="00D156D3"/>
    <w:p w14:paraId="61AE966D" w14:textId="77777777" w:rsidR="00D156D3" w:rsidRDefault="0078651C">
      <w:pPr>
        <w:pStyle w:val="BodyTextIndent3"/>
        <w:spacing w:after="0"/>
        <w:ind w:left="810"/>
        <w:jc w:val="left"/>
        <w:rPr>
          <w:sz w:val="24"/>
        </w:rPr>
      </w:pPr>
      <w:r>
        <w:rPr>
          <w:sz w:val="24"/>
        </w:rPr>
        <w:t>The following items should be included in the Initial proposals.</w:t>
      </w:r>
    </w:p>
    <w:p w14:paraId="01CDC019" w14:textId="77777777" w:rsidR="00D156D3" w:rsidRDefault="00D156D3">
      <w:pPr>
        <w:pStyle w:val="BodyTextIndent3"/>
        <w:spacing w:after="0"/>
        <w:ind w:left="810"/>
        <w:jc w:val="left"/>
        <w:rPr>
          <w:sz w:val="24"/>
        </w:rPr>
      </w:pPr>
    </w:p>
    <w:p w14:paraId="4D4F3328" w14:textId="77777777" w:rsidR="00D156D3" w:rsidRDefault="0078651C">
      <w:pPr>
        <w:ind w:left="1440" w:hanging="720"/>
        <w:rPr>
          <w:rFonts w:ascii="Arial" w:hAnsi="Arial"/>
          <w:b/>
          <w:bCs/>
          <w:sz w:val="24"/>
        </w:rPr>
      </w:pPr>
      <w:r>
        <w:rPr>
          <w:rFonts w:ascii="Arial" w:hAnsi="Arial"/>
          <w:b/>
          <w:bCs/>
          <w:sz w:val="24"/>
        </w:rPr>
        <w:t>3.1</w:t>
      </w:r>
      <w:r>
        <w:rPr>
          <w:rFonts w:ascii="Arial" w:hAnsi="Arial"/>
          <w:b/>
          <w:bCs/>
          <w:sz w:val="24"/>
        </w:rPr>
        <w:tab/>
        <w:t>License</w:t>
      </w:r>
    </w:p>
    <w:p w14:paraId="726A6896" w14:textId="77777777" w:rsidR="00D156D3" w:rsidRDefault="00D156D3">
      <w:pPr>
        <w:ind w:left="1440" w:hanging="720"/>
        <w:rPr>
          <w:rFonts w:ascii="Arial" w:hAnsi="Arial"/>
          <w:b/>
          <w:bCs/>
          <w:sz w:val="24"/>
        </w:rPr>
      </w:pPr>
    </w:p>
    <w:p w14:paraId="773B3847" w14:textId="77777777" w:rsidR="00D156D3" w:rsidRDefault="0078651C">
      <w:pPr>
        <w:ind w:left="1440"/>
        <w:rPr>
          <w:rFonts w:ascii="Arial" w:hAnsi="Arial"/>
          <w:sz w:val="24"/>
        </w:rPr>
      </w:pPr>
      <w:r>
        <w:rPr>
          <w:rFonts w:ascii="Arial" w:hAnsi="Arial"/>
          <w:sz w:val="24"/>
        </w:rPr>
        <w:t xml:space="preserve">Bidder should provide evidence that it has a valid license or an application pending to provide standard offer service in </w:t>
      </w:r>
      <w:smartTag w:uri="urn:schemas-microsoft-com:office:smarttags" w:element="place">
        <w:smartTag w:uri="urn:schemas-microsoft-com:office:smarttags" w:element="State">
          <w:r>
            <w:rPr>
              <w:rFonts w:ascii="Arial" w:hAnsi="Arial"/>
              <w:sz w:val="24"/>
            </w:rPr>
            <w:t>Maine</w:t>
          </w:r>
        </w:smartTag>
      </w:smartTag>
      <w:r>
        <w:rPr>
          <w:rFonts w:ascii="Arial" w:hAnsi="Arial"/>
          <w:sz w:val="24"/>
        </w:rPr>
        <w:t>.  (Chapter 305 of the Commission’s rules governs licensing requirements.)  A license application is included in Appendix F or can be obtained from the Commission’s web site.</w:t>
      </w:r>
    </w:p>
    <w:p w14:paraId="35EAEA50" w14:textId="77777777" w:rsidR="00D156D3" w:rsidRDefault="00D156D3">
      <w:pPr>
        <w:rPr>
          <w:rFonts w:ascii="Arial" w:hAnsi="Arial"/>
          <w:sz w:val="24"/>
        </w:rPr>
      </w:pPr>
    </w:p>
    <w:p w14:paraId="102BD5E8" w14:textId="77777777" w:rsidR="00D156D3" w:rsidRDefault="0078651C">
      <w:pPr>
        <w:rPr>
          <w:rFonts w:ascii="Arial" w:hAnsi="Arial"/>
          <w:b/>
          <w:bCs/>
          <w:sz w:val="24"/>
        </w:rPr>
      </w:pPr>
      <w:r>
        <w:rPr>
          <w:rFonts w:ascii="Arial" w:hAnsi="Arial"/>
          <w:sz w:val="24"/>
        </w:rPr>
        <w:tab/>
      </w:r>
      <w:r>
        <w:rPr>
          <w:rFonts w:ascii="Arial" w:hAnsi="Arial"/>
          <w:b/>
          <w:sz w:val="24"/>
        </w:rPr>
        <w:t>3</w:t>
      </w:r>
      <w:r>
        <w:rPr>
          <w:rFonts w:ascii="Arial" w:hAnsi="Arial"/>
          <w:b/>
          <w:bCs/>
          <w:sz w:val="24"/>
        </w:rPr>
        <w:t>.2</w:t>
      </w:r>
      <w:r>
        <w:rPr>
          <w:rFonts w:ascii="Arial" w:hAnsi="Arial"/>
          <w:b/>
          <w:bCs/>
          <w:sz w:val="24"/>
        </w:rPr>
        <w:tab/>
        <w:t>Financial Security</w:t>
      </w:r>
    </w:p>
    <w:p w14:paraId="7CB9ECC2" w14:textId="77777777" w:rsidR="00D156D3" w:rsidRDefault="00D156D3">
      <w:pPr>
        <w:rPr>
          <w:rFonts w:ascii="Arial" w:hAnsi="Arial"/>
          <w:b/>
          <w:bCs/>
          <w:sz w:val="24"/>
        </w:rPr>
      </w:pPr>
    </w:p>
    <w:p w14:paraId="03BCD99F" w14:textId="77777777" w:rsidR="00D156D3" w:rsidRDefault="0078651C">
      <w:pPr>
        <w:tabs>
          <w:tab w:val="left" w:pos="450"/>
        </w:tabs>
        <w:ind w:left="1440"/>
        <w:rPr>
          <w:rFonts w:ascii="Arial" w:hAnsi="Arial"/>
          <w:sz w:val="24"/>
        </w:rPr>
      </w:pPr>
      <w:r>
        <w:rPr>
          <w:rFonts w:ascii="Arial" w:hAnsi="Arial"/>
          <w:sz w:val="24"/>
        </w:rPr>
        <w:t>Bidder should provide certified statement(s) regarding its proposed financial security, including certified statement(s) by guarantors and/or financial institutions that would provide any security.  The statements must: (1) describe the amount and form of security to provided; and (2) represent that the security and the entity providing it meet the applicable requirements and specifications of Chapter 301 and this RFP.</w:t>
      </w:r>
    </w:p>
    <w:p w14:paraId="7EF56813" w14:textId="77777777" w:rsidR="00D156D3" w:rsidRDefault="00D156D3">
      <w:pPr>
        <w:tabs>
          <w:tab w:val="left" w:pos="450"/>
        </w:tabs>
        <w:ind w:left="1440"/>
        <w:rPr>
          <w:rFonts w:ascii="Arial" w:hAnsi="Arial"/>
          <w:sz w:val="24"/>
        </w:rPr>
      </w:pPr>
    </w:p>
    <w:p w14:paraId="27A68D66" w14:textId="77777777" w:rsidR="00D156D3" w:rsidRDefault="0078651C">
      <w:pPr>
        <w:pStyle w:val="BodyText"/>
        <w:ind w:left="1440"/>
        <w:jc w:val="left"/>
        <w:rPr>
          <w:sz w:val="24"/>
        </w:rPr>
      </w:pPr>
      <w:r>
        <w:rPr>
          <w:sz w:val="24"/>
        </w:rPr>
        <w:t xml:space="preserve">The initial proposal should include audited financial statements of any guarantor, e.g., annual report to stockholders, SEC Form 10K, and the guarantor’s most recent credit rating from each rating agency that has issued a rating for the guarantor.  </w:t>
      </w:r>
    </w:p>
    <w:p w14:paraId="3B8B5C7E" w14:textId="77777777" w:rsidR="00D156D3" w:rsidRDefault="00D156D3">
      <w:pPr>
        <w:pStyle w:val="BodyText"/>
        <w:ind w:left="1440"/>
        <w:jc w:val="left"/>
      </w:pPr>
    </w:p>
    <w:p w14:paraId="6C6830D4" w14:textId="77777777" w:rsidR="00D156D3" w:rsidRDefault="0078651C">
      <w:pPr>
        <w:rPr>
          <w:rFonts w:ascii="Arial" w:hAnsi="Arial"/>
          <w:b/>
          <w:bCs/>
          <w:sz w:val="24"/>
        </w:rPr>
      </w:pPr>
      <w:r>
        <w:rPr>
          <w:rFonts w:ascii="Arial" w:hAnsi="Arial"/>
          <w:sz w:val="24"/>
        </w:rPr>
        <w:tab/>
      </w:r>
      <w:r>
        <w:rPr>
          <w:rFonts w:ascii="Arial" w:hAnsi="Arial"/>
          <w:b/>
          <w:sz w:val="24"/>
        </w:rPr>
        <w:t>3</w:t>
      </w:r>
      <w:r>
        <w:rPr>
          <w:rFonts w:ascii="Arial" w:hAnsi="Arial"/>
          <w:b/>
          <w:bCs/>
          <w:sz w:val="24"/>
        </w:rPr>
        <w:t>.3</w:t>
      </w:r>
      <w:r>
        <w:rPr>
          <w:rFonts w:ascii="Arial" w:hAnsi="Arial"/>
          <w:b/>
          <w:bCs/>
          <w:sz w:val="24"/>
        </w:rPr>
        <w:tab/>
        <w:t>Statement of Commitment</w:t>
      </w:r>
    </w:p>
    <w:p w14:paraId="742613CC" w14:textId="77777777" w:rsidR="00D156D3" w:rsidRDefault="00D156D3">
      <w:pPr>
        <w:ind w:left="1440"/>
        <w:rPr>
          <w:rFonts w:ascii="Arial" w:hAnsi="Arial"/>
          <w:sz w:val="24"/>
        </w:rPr>
      </w:pPr>
    </w:p>
    <w:p w14:paraId="73D270C4" w14:textId="77777777" w:rsidR="00D156D3" w:rsidRDefault="0078651C">
      <w:pPr>
        <w:ind w:left="1440"/>
        <w:rPr>
          <w:rFonts w:ascii="Arial" w:hAnsi="Arial"/>
          <w:sz w:val="24"/>
        </w:rPr>
      </w:pPr>
      <w:r>
        <w:rPr>
          <w:rFonts w:ascii="Arial" w:hAnsi="Arial"/>
          <w:sz w:val="24"/>
        </w:rPr>
        <w:t>Bidder should provide a Statement of Commitment signed by an officer of the Company who is duly authorized to commit the Company as described in the Statement.  The Commission’s preferred Statement of Commitment is provided in Appendix H.   Alternative language will be considered.</w:t>
      </w:r>
    </w:p>
    <w:p w14:paraId="6B3D128D" w14:textId="77777777" w:rsidR="00D156D3" w:rsidRDefault="00D156D3">
      <w:pPr>
        <w:ind w:left="1440"/>
        <w:rPr>
          <w:rFonts w:ascii="Arial" w:hAnsi="Arial"/>
          <w:sz w:val="24"/>
        </w:rPr>
      </w:pPr>
    </w:p>
    <w:p w14:paraId="20FD9519" w14:textId="77777777" w:rsidR="00D156D3" w:rsidRDefault="0078651C">
      <w:pPr>
        <w:pStyle w:val="BodyText"/>
        <w:tabs>
          <w:tab w:val="left" w:pos="-900"/>
          <w:tab w:val="left" w:pos="90"/>
        </w:tabs>
        <w:jc w:val="left"/>
        <w:rPr>
          <w:b/>
          <w:bCs/>
          <w:sz w:val="24"/>
        </w:rPr>
      </w:pPr>
      <w:r>
        <w:rPr>
          <w:b/>
          <w:bCs/>
          <w:sz w:val="24"/>
        </w:rPr>
        <w:tab/>
      </w:r>
      <w:r>
        <w:rPr>
          <w:b/>
          <w:bCs/>
          <w:sz w:val="24"/>
        </w:rPr>
        <w:tab/>
        <w:t>3.4</w:t>
      </w:r>
      <w:r>
        <w:rPr>
          <w:b/>
          <w:bCs/>
          <w:sz w:val="24"/>
        </w:rPr>
        <w:tab/>
        <w:t>EBT</w:t>
      </w:r>
    </w:p>
    <w:p w14:paraId="3B4DACE2" w14:textId="77777777" w:rsidR="00D156D3" w:rsidRDefault="00D156D3">
      <w:pPr>
        <w:pStyle w:val="BodyText"/>
        <w:tabs>
          <w:tab w:val="left" w:pos="-900"/>
          <w:tab w:val="left" w:pos="90"/>
        </w:tabs>
        <w:jc w:val="left"/>
        <w:rPr>
          <w:b/>
          <w:bCs/>
          <w:sz w:val="24"/>
        </w:rPr>
      </w:pPr>
    </w:p>
    <w:p w14:paraId="2DEE3AE9" w14:textId="77777777" w:rsidR="00D156D3" w:rsidRDefault="0078651C">
      <w:pPr>
        <w:pStyle w:val="BodyText"/>
        <w:tabs>
          <w:tab w:val="left" w:pos="-900"/>
          <w:tab w:val="left" w:pos="90"/>
        </w:tabs>
        <w:ind w:left="1440" w:hanging="1440"/>
        <w:jc w:val="left"/>
        <w:rPr>
          <w:b/>
          <w:bCs/>
          <w:sz w:val="24"/>
        </w:rPr>
      </w:pPr>
      <w:r>
        <w:rPr>
          <w:b/>
          <w:bCs/>
          <w:sz w:val="24"/>
        </w:rPr>
        <w:tab/>
      </w:r>
      <w:r>
        <w:rPr>
          <w:b/>
          <w:bCs/>
          <w:sz w:val="24"/>
        </w:rPr>
        <w:tab/>
      </w:r>
      <w:r>
        <w:rPr>
          <w:sz w:val="24"/>
        </w:rPr>
        <w:t xml:space="preserve">Bidder should demonstrate that it has completed or is enrolled in </w:t>
      </w:r>
      <w:smartTag w:uri="urn:schemas-microsoft-com:office:smarttags" w:element="place">
        <w:smartTag w:uri="urn:schemas-microsoft-com:office:smarttags" w:element="State">
          <w:r>
            <w:rPr>
              <w:sz w:val="24"/>
            </w:rPr>
            <w:t>Maine</w:t>
          </w:r>
        </w:smartTag>
      </w:smartTag>
      <w:r>
        <w:rPr>
          <w:sz w:val="24"/>
        </w:rPr>
        <w:t xml:space="preserve">’s electronic business transaction (EBT) training and testing programs.  </w:t>
      </w:r>
      <w:smartTag w:uri="urn:schemas-microsoft-com:office:smarttags" w:element="place">
        <w:smartTag w:uri="urn:schemas-microsoft-com:office:smarttags" w:element="State">
          <w:r>
            <w:rPr>
              <w:sz w:val="24"/>
            </w:rPr>
            <w:t>Maine</w:t>
          </w:r>
        </w:smartTag>
      </w:smartTag>
      <w:r>
        <w:rPr>
          <w:sz w:val="24"/>
        </w:rPr>
        <w:t xml:space="preserve">’s EBT standards and training schedules are available from the Commission’s web site or from </w:t>
      </w:r>
      <w:r w:rsidR="006408E6">
        <w:rPr>
          <w:sz w:val="24"/>
        </w:rPr>
        <w:t>MPD</w:t>
      </w:r>
      <w:r>
        <w:rPr>
          <w:sz w:val="24"/>
        </w:rPr>
        <w:t>.</w:t>
      </w:r>
    </w:p>
    <w:p w14:paraId="2756CA32" w14:textId="77777777" w:rsidR="00D156D3" w:rsidRDefault="00D156D3">
      <w:pPr>
        <w:pStyle w:val="BodyTextIndent3"/>
        <w:spacing w:after="0"/>
        <w:jc w:val="left"/>
        <w:rPr>
          <w:sz w:val="24"/>
        </w:rPr>
      </w:pPr>
    </w:p>
    <w:p w14:paraId="4797B9EE" w14:textId="77777777" w:rsidR="00D156D3" w:rsidRDefault="0078651C">
      <w:pPr>
        <w:pStyle w:val="BodyText"/>
        <w:ind w:left="1440" w:hanging="720"/>
        <w:jc w:val="left"/>
        <w:rPr>
          <w:b/>
          <w:bCs/>
          <w:sz w:val="24"/>
        </w:rPr>
      </w:pPr>
      <w:r>
        <w:rPr>
          <w:b/>
          <w:bCs/>
          <w:sz w:val="24"/>
        </w:rPr>
        <w:t>3.5</w:t>
      </w:r>
      <w:r>
        <w:rPr>
          <w:b/>
          <w:bCs/>
          <w:sz w:val="24"/>
        </w:rPr>
        <w:tab/>
        <w:t>Contingencies</w:t>
      </w:r>
    </w:p>
    <w:p w14:paraId="22C4AA2B" w14:textId="77777777" w:rsidR="00D156D3" w:rsidRDefault="00D156D3">
      <w:pPr>
        <w:pStyle w:val="BodyText"/>
        <w:ind w:left="1440" w:hanging="720"/>
        <w:jc w:val="left"/>
        <w:rPr>
          <w:b/>
          <w:bCs/>
          <w:sz w:val="24"/>
        </w:rPr>
      </w:pPr>
    </w:p>
    <w:p w14:paraId="6DC0EAC4" w14:textId="77777777" w:rsidR="00D156D3" w:rsidRDefault="0078651C">
      <w:pPr>
        <w:pStyle w:val="BodyText"/>
        <w:tabs>
          <w:tab w:val="left" w:pos="-900"/>
        </w:tabs>
        <w:ind w:left="1440" w:hanging="1440"/>
        <w:jc w:val="left"/>
        <w:rPr>
          <w:bCs/>
          <w:sz w:val="24"/>
        </w:rPr>
      </w:pPr>
      <w:r>
        <w:rPr>
          <w:b/>
          <w:sz w:val="24"/>
        </w:rPr>
        <w:tab/>
      </w:r>
      <w:r>
        <w:rPr>
          <w:bCs/>
          <w:sz w:val="24"/>
        </w:rPr>
        <w:t xml:space="preserve">Bidder should note all conditions and contingencies.  Please note that any condition or contingency must be:  (1) within the control of the Commission; or (2) known at the time final bid prices are evaluated.  </w:t>
      </w:r>
    </w:p>
    <w:p w14:paraId="1CFB556B" w14:textId="77777777" w:rsidR="00D156D3" w:rsidRDefault="0078651C">
      <w:pPr>
        <w:pStyle w:val="BodyText"/>
        <w:tabs>
          <w:tab w:val="left" w:pos="-900"/>
        </w:tabs>
        <w:ind w:left="1440" w:hanging="1440"/>
        <w:jc w:val="left"/>
        <w:rPr>
          <w:bCs/>
          <w:sz w:val="24"/>
        </w:rPr>
      </w:pPr>
      <w:r>
        <w:rPr>
          <w:bCs/>
          <w:sz w:val="24"/>
        </w:rPr>
        <w:tab/>
      </w:r>
    </w:p>
    <w:p w14:paraId="7108B938" w14:textId="77777777" w:rsidR="00D156D3" w:rsidRDefault="0078651C">
      <w:pPr>
        <w:pStyle w:val="BodyText"/>
        <w:ind w:left="1440" w:hanging="720"/>
        <w:jc w:val="left"/>
        <w:rPr>
          <w:b/>
          <w:bCs/>
          <w:sz w:val="24"/>
        </w:rPr>
      </w:pPr>
      <w:r>
        <w:rPr>
          <w:b/>
          <w:bCs/>
          <w:sz w:val="24"/>
        </w:rPr>
        <w:t>3.6</w:t>
      </w:r>
      <w:r>
        <w:rPr>
          <w:b/>
          <w:bCs/>
          <w:sz w:val="24"/>
        </w:rPr>
        <w:tab/>
        <w:t xml:space="preserve">Alternative Terms, Language </w:t>
      </w:r>
    </w:p>
    <w:p w14:paraId="76B680E4" w14:textId="77777777" w:rsidR="00D156D3" w:rsidRDefault="00D156D3">
      <w:pPr>
        <w:pStyle w:val="BodyText"/>
        <w:ind w:left="1440" w:hanging="720"/>
        <w:jc w:val="left"/>
        <w:rPr>
          <w:b/>
          <w:bCs/>
          <w:sz w:val="24"/>
        </w:rPr>
      </w:pPr>
    </w:p>
    <w:p w14:paraId="527BAC3A" w14:textId="77777777" w:rsidR="00D156D3" w:rsidRDefault="0078651C">
      <w:pPr>
        <w:pStyle w:val="BodyText"/>
        <w:ind w:left="1440"/>
        <w:jc w:val="left"/>
        <w:rPr>
          <w:sz w:val="24"/>
        </w:rPr>
      </w:pPr>
      <w:r>
        <w:rPr>
          <w:sz w:val="24"/>
        </w:rPr>
        <w:t xml:space="preserve">Bidder should provide any proposed alternative language to the Standard Agreement, (in the form of a red-line to the Standard Agreement), the </w:t>
      </w:r>
      <w:r>
        <w:rPr>
          <w:sz w:val="24"/>
        </w:rPr>
        <w:lastRenderedPageBreak/>
        <w:t>Statement of Commitment, the standard form corporate guaranty, or the standard form bidder conditions.</w:t>
      </w:r>
    </w:p>
    <w:p w14:paraId="6D8B2195" w14:textId="77777777" w:rsidR="00D156D3" w:rsidRDefault="00D156D3">
      <w:pPr>
        <w:pStyle w:val="BodyText"/>
        <w:tabs>
          <w:tab w:val="left" w:pos="1440"/>
        </w:tabs>
        <w:ind w:left="1440"/>
        <w:jc w:val="left"/>
        <w:rPr>
          <w:sz w:val="24"/>
        </w:rPr>
      </w:pPr>
    </w:p>
    <w:p w14:paraId="0D943C48" w14:textId="77777777" w:rsidR="00D156D3" w:rsidRDefault="0078651C">
      <w:pPr>
        <w:pStyle w:val="BodyText"/>
        <w:tabs>
          <w:tab w:val="left" w:pos="-900"/>
        </w:tabs>
        <w:jc w:val="left"/>
        <w:rPr>
          <w:b/>
          <w:sz w:val="24"/>
        </w:rPr>
      </w:pPr>
      <w:r>
        <w:rPr>
          <w:bCs/>
          <w:sz w:val="24"/>
        </w:rPr>
        <w:tab/>
      </w:r>
      <w:r>
        <w:rPr>
          <w:b/>
          <w:bCs/>
          <w:sz w:val="24"/>
        </w:rPr>
        <w:t>3</w:t>
      </w:r>
      <w:r>
        <w:rPr>
          <w:b/>
          <w:sz w:val="24"/>
        </w:rPr>
        <w:t>.7</w:t>
      </w:r>
      <w:r>
        <w:rPr>
          <w:b/>
          <w:sz w:val="24"/>
        </w:rPr>
        <w:tab/>
        <w:t>Pricing</w:t>
      </w:r>
    </w:p>
    <w:p w14:paraId="0AD9400B" w14:textId="77777777" w:rsidR="00D156D3" w:rsidRDefault="00D156D3">
      <w:pPr>
        <w:pStyle w:val="BodyText"/>
        <w:tabs>
          <w:tab w:val="left" w:pos="2160"/>
        </w:tabs>
        <w:ind w:left="1440"/>
        <w:jc w:val="left"/>
        <w:rPr>
          <w:bCs/>
          <w:sz w:val="24"/>
        </w:rPr>
      </w:pPr>
    </w:p>
    <w:p w14:paraId="7592A407" w14:textId="77777777" w:rsidR="00B0593B" w:rsidRDefault="00B0593B">
      <w:pPr>
        <w:pStyle w:val="BodyText"/>
        <w:tabs>
          <w:tab w:val="left" w:pos="2160"/>
        </w:tabs>
        <w:ind w:left="1440"/>
        <w:jc w:val="left"/>
        <w:rPr>
          <w:bCs/>
          <w:sz w:val="24"/>
        </w:rPr>
      </w:pPr>
    </w:p>
    <w:p w14:paraId="15ABA52B" w14:textId="0C93422A" w:rsidR="00B0593B" w:rsidRPr="00B0593B" w:rsidRDefault="00B0593B" w:rsidP="00036BC2">
      <w:pPr>
        <w:pStyle w:val="BodyText"/>
        <w:ind w:left="1440"/>
        <w:rPr>
          <w:bCs/>
          <w:sz w:val="24"/>
        </w:rPr>
      </w:pPr>
      <w:r w:rsidRPr="00B0593B">
        <w:rPr>
          <w:bCs/>
          <w:sz w:val="24"/>
        </w:rPr>
        <w:t xml:space="preserve">Bidders may only submit price proposals for 100% of the service requirement.  </w:t>
      </w:r>
    </w:p>
    <w:p w14:paraId="74EC2993" w14:textId="77777777" w:rsidR="00B0593B" w:rsidRPr="00B0593B" w:rsidRDefault="00B0593B" w:rsidP="00B0593B">
      <w:pPr>
        <w:pStyle w:val="BodyText"/>
        <w:rPr>
          <w:bCs/>
          <w:sz w:val="24"/>
        </w:rPr>
      </w:pPr>
    </w:p>
    <w:p w14:paraId="2303ED22" w14:textId="77777777" w:rsidR="00B0593B" w:rsidRPr="00B0593B" w:rsidRDefault="00B0593B" w:rsidP="00036BC2">
      <w:pPr>
        <w:pStyle w:val="BodyText"/>
        <w:ind w:left="1440"/>
        <w:rPr>
          <w:bCs/>
          <w:sz w:val="24"/>
        </w:rPr>
      </w:pPr>
      <w:r w:rsidRPr="00B0593B">
        <w:rPr>
          <w:bCs/>
          <w:sz w:val="24"/>
        </w:rPr>
        <w:t>Proposals may be in the form of fixed or indexed prices.</w:t>
      </w:r>
    </w:p>
    <w:p w14:paraId="68ACE739" w14:textId="77777777" w:rsidR="00B0593B" w:rsidRPr="00B0593B" w:rsidRDefault="00B0593B" w:rsidP="00B0593B">
      <w:pPr>
        <w:pStyle w:val="BodyText"/>
        <w:rPr>
          <w:bCs/>
          <w:sz w:val="24"/>
        </w:rPr>
      </w:pPr>
    </w:p>
    <w:p w14:paraId="4C2F668C" w14:textId="77777777" w:rsidR="00B0593B" w:rsidRPr="00B0593B" w:rsidRDefault="00B0593B" w:rsidP="00B0593B">
      <w:pPr>
        <w:pStyle w:val="BodyText"/>
        <w:numPr>
          <w:ilvl w:val="0"/>
          <w:numId w:val="13"/>
        </w:numPr>
        <w:tabs>
          <w:tab w:val="left" w:pos="2160"/>
        </w:tabs>
        <w:rPr>
          <w:bCs/>
          <w:sz w:val="24"/>
        </w:rPr>
      </w:pPr>
      <w:r w:rsidRPr="00B0593B">
        <w:rPr>
          <w:bCs/>
          <w:sz w:val="24"/>
        </w:rPr>
        <w:t xml:space="preserve">Fixed pricing bids may include prices per kW and prices per kWh, or prices per kWh only.  Any prices per kW will be billed on the same basis (i.e., billing units), as </w:t>
      </w:r>
      <w:r w:rsidR="00332F68">
        <w:rPr>
          <w:bCs/>
          <w:sz w:val="24"/>
        </w:rPr>
        <w:t>MPD</w:t>
      </w:r>
      <w:r w:rsidRPr="00B0593B">
        <w:rPr>
          <w:bCs/>
          <w:sz w:val="24"/>
        </w:rPr>
        <w:t xml:space="preserve"> uses to bill for distribution service.  Fixed pricing bids for the large standard offer class may vary by time of day; the time of day periods must correspond to, or be compatible with, </w:t>
      </w:r>
      <w:r w:rsidR="00332F68">
        <w:rPr>
          <w:bCs/>
          <w:sz w:val="24"/>
        </w:rPr>
        <w:t>MPD</w:t>
      </w:r>
      <w:r w:rsidRPr="00B0593B">
        <w:rPr>
          <w:bCs/>
          <w:sz w:val="24"/>
        </w:rPr>
        <w:t>’s time</w:t>
      </w:r>
      <w:r w:rsidRPr="00B0593B">
        <w:rPr>
          <w:bCs/>
          <w:sz w:val="24"/>
        </w:rPr>
        <w:noBreakHyphen/>
        <w:t>of</w:t>
      </w:r>
      <w:r w:rsidRPr="00B0593B">
        <w:rPr>
          <w:bCs/>
          <w:sz w:val="24"/>
        </w:rPr>
        <w:noBreakHyphen/>
        <w:t>use rate structure.</w:t>
      </w:r>
    </w:p>
    <w:p w14:paraId="517DF7D4" w14:textId="77777777" w:rsidR="00B0593B" w:rsidRPr="00B0593B" w:rsidRDefault="00B0593B" w:rsidP="00B0593B">
      <w:pPr>
        <w:pStyle w:val="BodyText"/>
        <w:tabs>
          <w:tab w:val="left" w:pos="2160"/>
        </w:tabs>
        <w:ind w:left="1440"/>
        <w:rPr>
          <w:bCs/>
          <w:sz w:val="24"/>
        </w:rPr>
      </w:pPr>
    </w:p>
    <w:p w14:paraId="68995A3A" w14:textId="77777777" w:rsidR="00B0593B" w:rsidRPr="00B0593B" w:rsidRDefault="00332F68" w:rsidP="00B0593B">
      <w:pPr>
        <w:pStyle w:val="BodyText"/>
        <w:numPr>
          <w:ilvl w:val="0"/>
          <w:numId w:val="13"/>
        </w:numPr>
        <w:tabs>
          <w:tab w:val="left" w:pos="2160"/>
        </w:tabs>
        <w:rPr>
          <w:bCs/>
          <w:sz w:val="24"/>
        </w:rPr>
      </w:pPr>
      <w:r>
        <w:rPr>
          <w:bCs/>
          <w:sz w:val="24"/>
        </w:rPr>
        <w:t>The Commission will also accept bids with an indexed pricing structure</w:t>
      </w:r>
      <w:r w:rsidR="00DC15DB">
        <w:rPr>
          <w:bCs/>
          <w:sz w:val="24"/>
        </w:rPr>
        <w:t xml:space="preserve">.  </w:t>
      </w:r>
      <w:r>
        <w:rPr>
          <w:bCs/>
          <w:sz w:val="24"/>
        </w:rPr>
        <w:t xml:space="preserve">Bids </w:t>
      </w:r>
      <w:r w:rsidRPr="002B2DB9">
        <w:rPr>
          <w:bCs/>
          <w:sz w:val="24"/>
        </w:rPr>
        <w:t xml:space="preserve">should </w:t>
      </w:r>
      <w:r>
        <w:rPr>
          <w:bCs/>
          <w:sz w:val="24"/>
        </w:rPr>
        <w:t>clearly identify the pricing methodology and underlying reference prices.</w:t>
      </w:r>
      <w:r w:rsidR="00B0593B" w:rsidRPr="00B0593B">
        <w:rPr>
          <w:bCs/>
          <w:sz w:val="24"/>
        </w:rPr>
        <w:t xml:space="preserve"> </w:t>
      </w:r>
    </w:p>
    <w:p w14:paraId="5E275795" w14:textId="77777777" w:rsidR="00B0593B" w:rsidRDefault="00B0593B">
      <w:pPr>
        <w:pStyle w:val="BodyText"/>
        <w:tabs>
          <w:tab w:val="left" w:pos="2160"/>
        </w:tabs>
        <w:ind w:left="1440"/>
        <w:jc w:val="left"/>
        <w:rPr>
          <w:bCs/>
          <w:sz w:val="24"/>
        </w:rPr>
      </w:pPr>
    </w:p>
    <w:p w14:paraId="2657DA47" w14:textId="77777777" w:rsidR="00D156D3" w:rsidRDefault="00D156D3">
      <w:pPr>
        <w:pStyle w:val="BodyText"/>
        <w:tabs>
          <w:tab w:val="left" w:pos="2160"/>
        </w:tabs>
        <w:ind w:left="1440"/>
        <w:jc w:val="left"/>
        <w:rPr>
          <w:bCs/>
          <w:sz w:val="24"/>
        </w:rPr>
      </w:pPr>
    </w:p>
    <w:p w14:paraId="15FD7F68" w14:textId="77777777" w:rsidR="00D156D3" w:rsidRDefault="00D156D3">
      <w:pPr>
        <w:pStyle w:val="BodyText"/>
        <w:tabs>
          <w:tab w:val="left" w:pos="-900"/>
        </w:tabs>
        <w:jc w:val="left"/>
        <w:outlineLvl w:val="1"/>
        <w:rPr>
          <w:sz w:val="24"/>
        </w:rPr>
      </w:pPr>
    </w:p>
    <w:p w14:paraId="390D81FD" w14:textId="77777777" w:rsidR="00D156D3" w:rsidRDefault="0078651C">
      <w:pPr>
        <w:pStyle w:val="BodyText"/>
        <w:numPr>
          <w:ilvl w:val="1"/>
          <w:numId w:val="12"/>
        </w:numPr>
        <w:ind w:hanging="90"/>
        <w:jc w:val="left"/>
        <w:rPr>
          <w:b/>
          <w:sz w:val="24"/>
        </w:rPr>
      </w:pPr>
      <w:r>
        <w:rPr>
          <w:b/>
          <w:sz w:val="24"/>
        </w:rPr>
        <w:t>Bidder Conditions</w:t>
      </w:r>
    </w:p>
    <w:p w14:paraId="56408C25" w14:textId="77777777" w:rsidR="00D156D3" w:rsidRDefault="00D156D3">
      <w:pPr>
        <w:pStyle w:val="BodyText"/>
        <w:jc w:val="left"/>
        <w:rPr>
          <w:b/>
          <w:sz w:val="24"/>
        </w:rPr>
      </w:pPr>
    </w:p>
    <w:p w14:paraId="054D3AFE" w14:textId="77777777" w:rsidR="00D156D3" w:rsidRDefault="0078651C">
      <w:pPr>
        <w:pStyle w:val="BodyText"/>
        <w:tabs>
          <w:tab w:val="left" w:pos="1440"/>
        </w:tabs>
        <w:ind w:left="1440"/>
        <w:jc w:val="left"/>
        <w:rPr>
          <w:sz w:val="24"/>
        </w:rPr>
      </w:pPr>
      <w:r>
        <w:rPr>
          <w:sz w:val="24"/>
        </w:rPr>
        <w:t>Bidder may submit “bidder conditions” with its standard offer service proposal.  The bidder’s proposal may be made subject to the acceptance by the Commission of the stated conditions.  If the Commission accepts the bidder conditions, they will be expressly incorporated into the Commission’s order designating the winning bidder.  A set of standard form bidder conditions is attached as Appendix L; bidders may propose modifications, if desired.</w:t>
      </w:r>
    </w:p>
    <w:p w14:paraId="7EDCC3B0" w14:textId="77777777" w:rsidR="00D156D3" w:rsidRDefault="00D156D3">
      <w:pPr>
        <w:pStyle w:val="BodyText"/>
        <w:tabs>
          <w:tab w:val="left" w:pos="1440"/>
        </w:tabs>
        <w:ind w:left="1440"/>
        <w:jc w:val="left"/>
        <w:rPr>
          <w:sz w:val="24"/>
        </w:rPr>
      </w:pPr>
    </w:p>
    <w:p w14:paraId="764C3796" w14:textId="77777777" w:rsidR="00D156D3" w:rsidRDefault="0078651C">
      <w:pPr>
        <w:pStyle w:val="BodyText"/>
        <w:tabs>
          <w:tab w:val="left" w:pos="720"/>
          <w:tab w:val="left" w:pos="2160"/>
        </w:tabs>
        <w:jc w:val="left"/>
        <w:rPr>
          <w:b/>
          <w:caps/>
          <w:sz w:val="24"/>
        </w:rPr>
      </w:pPr>
      <w:r>
        <w:rPr>
          <w:b/>
          <w:sz w:val="24"/>
        </w:rPr>
        <w:t xml:space="preserve">4. </w:t>
      </w:r>
      <w:r>
        <w:rPr>
          <w:b/>
          <w:sz w:val="24"/>
        </w:rPr>
        <w:tab/>
      </w:r>
      <w:r>
        <w:rPr>
          <w:b/>
          <w:caps/>
          <w:sz w:val="24"/>
        </w:rPr>
        <w:t>Standard Offer Provider Requirements</w:t>
      </w:r>
    </w:p>
    <w:p w14:paraId="64FD710C" w14:textId="77777777" w:rsidR="00D156D3" w:rsidRDefault="00D156D3">
      <w:pPr>
        <w:ind w:left="2160" w:hanging="720"/>
        <w:rPr>
          <w:rFonts w:ascii="Arial" w:hAnsi="Arial"/>
          <w:sz w:val="24"/>
        </w:rPr>
      </w:pPr>
    </w:p>
    <w:p w14:paraId="69E6C76D" w14:textId="77777777" w:rsidR="00D156D3" w:rsidRDefault="0078651C">
      <w:pPr>
        <w:tabs>
          <w:tab w:val="left" w:pos="540"/>
        </w:tabs>
        <w:rPr>
          <w:rFonts w:ascii="Arial" w:hAnsi="Arial"/>
          <w:b/>
          <w:bCs/>
          <w:sz w:val="24"/>
        </w:rPr>
      </w:pPr>
      <w:r>
        <w:rPr>
          <w:rFonts w:ascii="Arial" w:hAnsi="Arial"/>
          <w:sz w:val="24"/>
        </w:rPr>
        <w:tab/>
      </w:r>
      <w:r>
        <w:rPr>
          <w:rFonts w:ascii="Arial" w:hAnsi="Arial"/>
          <w:b/>
          <w:sz w:val="24"/>
        </w:rPr>
        <w:t>4</w:t>
      </w:r>
      <w:r>
        <w:rPr>
          <w:rFonts w:ascii="Arial" w:hAnsi="Arial"/>
          <w:b/>
          <w:bCs/>
          <w:sz w:val="24"/>
        </w:rPr>
        <w:t>.1</w:t>
      </w:r>
      <w:r>
        <w:rPr>
          <w:rFonts w:ascii="Arial" w:hAnsi="Arial"/>
          <w:b/>
          <w:bCs/>
          <w:sz w:val="24"/>
        </w:rPr>
        <w:tab/>
        <w:t>Standard Offer Obligation</w:t>
      </w:r>
    </w:p>
    <w:p w14:paraId="557D9A48" w14:textId="77777777" w:rsidR="00D156D3" w:rsidRDefault="00D156D3">
      <w:pPr>
        <w:tabs>
          <w:tab w:val="left" w:pos="540"/>
        </w:tabs>
        <w:rPr>
          <w:rFonts w:ascii="Arial" w:hAnsi="Arial"/>
          <w:b/>
          <w:bCs/>
          <w:sz w:val="24"/>
        </w:rPr>
      </w:pPr>
    </w:p>
    <w:p w14:paraId="4E949565" w14:textId="77777777" w:rsidR="00D156D3" w:rsidRDefault="0078651C">
      <w:pPr>
        <w:tabs>
          <w:tab w:val="left" w:pos="540"/>
        </w:tabs>
        <w:ind w:left="1440"/>
        <w:rPr>
          <w:rFonts w:ascii="Arial" w:hAnsi="Arial"/>
          <w:sz w:val="24"/>
        </w:rPr>
      </w:pPr>
      <w:r>
        <w:rPr>
          <w:rFonts w:ascii="Arial" w:hAnsi="Arial"/>
          <w:sz w:val="24"/>
        </w:rPr>
        <w:t xml:space="preserve">Standard offer provider must provide standard offer service in a manner that complies with </w:t>
      </w:r>
      <w:smartTag w:uri="urn:schemas-microsoft-com:office:smarttags" w:element="place">
        <w:smartTag w:uri="urn:schemas-microsoft-com:office:smarttags" w:element="State">
          <w:r>
            <w:rPr>
              <w:rFonts w:ascii="Arial" w:hAnsi="Arial"/>
              <w:sz w:val="24"/>
            </w:rPr>
            <w:t>Maine</w:t>
          </w:r>
        </w:smartTag>
      </w:smartTag>
      <w:r>
        <w:rPr>
          <w:rFonts w:ascii="Arial" w:hAnsi="Arial"/>
          <w:sz w:val="24"/>
        </w:rPr>
        <w:t xml:space="preserve"> law, Commission rules and this RFP at the prices and terms it proposed and which were accepted by the Commission.  Standard offer provider is responsible for all costs necessary to fulfill this obligation.</w:t>
      </w:r>
    </w:p>
    <w:p w14:paraId="35342A58" w14:textId="77777777" w:rsidR="00D156D3" w:rsidRDefault="0078651C">
      <w:pPr>
        <w:tabs>
          <w:tab w:val="left" w:pos="540"/>
        </w:tabs>
        <w:ind w:left="1440"/>
        <w:rPr>
          <w:rFonts w:ascii="Arial" w:hAnsi="Arial"/>
          <w:sz w:val="24"/>
        </w:rPr>
      </w:pPr>
      <w:r>
        <w:rPr>
          <w:rFonts w:ascii="Arial" w:hAnsi="Arial"/>
          <w:sz w:val="24"/>
        </w:rPr>
        <w:t xml:space="preserve"> </w:t>
      </w:r>
    </w:p>
    <w:p w14:paraId="2D4945F7" w14:textId="77777777" w:rsidR="00D156D3" w:rsidRDefault="0078651C">
      <w:pPr>
        <w:pStyle w:val="BodyTextIndent2"/>
        <w:spacing w:after="0"/>
        <w:jc w:val="left"/>
      </w:pPr>
      <w:r>
        <w:lastRenderedPageBreak/>
        <w:t xml:space="preserve">Standard offer provider is responsible for all requirements and costs (and will receive any benefits) pursuant to wholesale market rules that apply to its standard offer load obligation. </w:t>
      </w:r>
      <w:r>
        <w:rPr>
          <w:b/>
          <w:bCs/>
        </w:rPr>
        <w:t xml:space="preserve"> </w:t>
      </w:r>
    </w:p>
    <w:p w14:paraId="6F0DDFF5" w14:textId="77777777" w:rsidR="00D156D3" w:rsidRDefault="00D156D3">
      <w:pPr>
        <w:pStyle w:val="BodyTextIndent2"/>
        <w:spacing w:after="0"/>
        <w:jc w:val="left"/>
      </w:pPr>
    </w:p>
    <w:p w14:paraId="0255A1EF" w14:textId="77777777" w:rsidR="00D156D3" w:rsidRDefault="0078651C">
      <w:pPr>
        <w:pStyle w:val="Heading2"/>
        <w:numPr>
          <w:ilvl w:val="0"/>
          <w:numId w:val="0"/>
        </w:numPr>
        <w:tabs>
          <w:tab w:val="left" w:pos="0"/>
        </w:tabs>
        <w:ind w:left="720"/>
        <w:jc w:val="left"/>
        <w:rPr>
          <w:sz w:val="24"/>
        </w:rPr>
      </w:pPr>
      <w:r>
        <w:rPr>
          <w:sz w:val="24"/>
        </w:rPr>
        <w:t>4.2</w:t>
      </w:r>
      <w:r>
        <w:rPr>
          <w:sz w:val="24"/>
        </w:rPr>
        <w:tab/>
        <w:t>Form of Service</w:t>
      </w:r>
    </w:p>
    <w:p w14:paraId="2A31FEE7" w14:textId="77777777" w:rsidR="00D156D3" w:rsidRDefault="00D156D3"/>
    <w:p w14:paraId="5B0CBCC9" w14:textId="77777777" w:rsidR="00D156D3" w:rsidRDefault="0078651C">
      <w:pPr>
        <w:pStyle w:val="BodyTextIndent3"/>
        <w:spacing w:after="0"/>
        <w:jc w:val="left"/>
        <w:rPr>
          <w:sz w:val="24"/>
        </w:rPr>
      </w:pPr>
      <w:r>
        <w:rPr>
          <w:sz w:val="24"/>
        </w:rPr>
        <w:t>Standard offer service is retail all requirements service.  Standard offer service includes all obligations and charges that would be assessed to the load serving entity for the applicable load, including all energy, capacity, ancillary services and other products and charges for the load, including any new or redefined products or charges, required to supply the electrical requirements of customers receiving standard offer service at all times during the term of service in a manner that complies with all applicable rules and requirements.</w:t>
      </w:r>
    </w:p>
    <w:p w14:paraId="12B345D6" w14:textId="77777777" w:rsidR="00D156D3" w:rsidRDefault="00D156D3">
      <w:pPr>
        <w:pStyle w:val="BodyTextIndent3"/>
        <w:spacing w:after="0"/>
        <w:jc w:val="left"/>
        <w:rPr>
          <w:b/>
          <w:bCs/>
          <w:sz w:val="24"/>
        </w:rPr>
      </w:pPr>
    </w:p>
    <w:p w14:paraId="028ADBEB" w14:textId="77777777" w:rsidR="00D156D3" w:rsidRDefault="0078651C">
      <w:pPr>
        <w:pStyle w:val="BodyTextIndent3"/>
        <w:spacing w:after="0"/>
        <w:ind w:left="720"/>
        <w:jc w:val="left"/>
        <w:rPr>
          <w:b/>
          <w:sz w:val="24"/>
        </w:rPr>
      </w:pPr>
      <w:r>
        <w:rPr>
          <w:b/>
          <w:sz w:val="24"/>
        </w:rPr>
        <w:t>4.3</w:t>
      </w:r>
      <w:r>
        <w:rPr>
          <w:b/>
          <w:sz w:val="24"/>
        </w:rPr>
        <w:tab/>
        <w:t>Losses</w:t>
      </w:r>
    </w:p>
    <w:p w14:paraId="24236A30" w14:textId="77777777" w:rsidR="00D156D3" w:rsidRDefault="00D156D3">
      <w:pPr>
        <w:pStyle w:val="BodyTextIndent3"/>
        <w:spacing w:after="0"/>
        <w:ind w:left="720"/>
        <w:jc w:val="left"/>
        <w:rPr>
          <w:b/>
          <w:sz w:val="24"/>
        </w:rPr>
      </w:pPr>
    </w:p>
    <w:p w14:paraId="7DAD8688" w14:textId="77777777" w:rsidR="00D156D3" w:rsidRDefault="0078651C">
      <w:pPr>
        <w:numPr>
          <w:ilvl w:val="12"/>
          <w:numId w:val="0"/>
        </w:numPr>
        <w:ind w:left="1440"/>
        <w:rPr>
          <w:rFonts w:ascii="Arial" w:hAnsi="Arial"/>
          <w:b/>
          <w:bCs/>
          <w:sz w:val="24"/>
        </w:rPr>
      </w:pPr>
      <w:r>
        <w:rPr>
          <w:rFonts w:ascii="Arial" w:hAnsi="Arial"/>
          <w:sz w:val="24"/>
        </w:rPr>
        <w:t xml:space="preserve">Standard offer service includes all transmission and distribution line and transformer losses associated with providing standard offer service from the point of supply to the customers’ meters.  Standard offer provider must provide sufficient quantities of electric capacity, energy, ancillary and all other required products and services to cover all such losses.  The factors that are currently used to determine line and transformer losses on </w:t>
      </w:r>
      <w:r w:rsidR="006408E6">
        <w:rPr>
          <w:rFonts w:ascii="Arial" w:hAnsi="Arial"/>
          <w:sz w:val="24"/>
        </w:rPr>
        <w:t>MPD</w:t>
      </w:r>
      <w:r>
        <w:rPr>
          <w:rFonts w:ascii="Arial" w:hAnsi="Arial"/>
          <w:sz w:val="24"/>
        </w:rPr>
        <w:t>’s system</w:t>
      </w:r>
      <w:r>
        <w:rPr>
          <w:rFonts w:ascii="Arial" w:hAnsi="Arial"/>
          <w:b/>
          <w:sz w:val="24"/>
        </w:rPr>
        <w:t xml:space="preserve"> </w:t>
      </w:r>
      <w:r>
        <w:rPr>
          <w:rFonts w:ascii="Arial" w:hAnsi="Arial"/>
          <w:sz w:val="24"/>
        </w:rPr>
        <w:t>are contained in Appendix G.</w:t>
      </w:r>
    </w:p>
    <w:p w14:paraId="050F111C" w14:textId="77777777" w:rsidR="00D156D3" w:rsidRDefault="0078651C">
      <w:pPr>
        <w:tabs>
          <w:tab w:val="left" w:pos="0"/>
        </w:tabs>
        <w:spacing w:before="240"/>
        <w:ind w:left="720"/>
        <w:rPr>
          <w:rFonts w:ascii="Arial" w:hAnsi="Arial"/>
          <w:b/>
          <w:bCs/>
          <w:sz w:val="24"/>
        </w:rPr>
      </w:pPr>
      <w:r>
        <w:rPr>
          <w:rFonts w:ascii="Arial" w:hAnsi="Arial"/>
          <w:b/>
          <w:bCs/>
          <w:sz w:val="24"/>
        </w:rPr>
        <w:t>4.4</w:t>
      </w:r>
      <w:r>
        <w:rPr>
          <w:rFonts w:ascii="Arial" w:hAnsi="Arial"/>
          <w:b/>
          <w:bCs/>
          <w:sz w:val="24"/>
        </w:rPr>
        <w:tab/>
        <w:t>Market Environment/Applicable Rules</w:t>
      </w:r>
    </w:p>
    <w:p w14:paraId="2E1022D5" w14:textId="77777777" w:rsidR="00D156D3" w:rsidRDefault="006408E6">
      <w:pPr>
        <w:tabs>
          <w:tab w:val="left" w:pos="-360"/>
        </w:tabs>
        <w:spacing w:before="240"/>
        <w:ind w:left="1440"/>
        <w:rPr>
          <w:rFonts w:ascii="Arial" w:hAnsi="Arial"/>
          <w:sz w:val="24"/>
        </w:rPr>
      </w:pPr>
      <w:r>
        <w:rPr>
          <w:rFonts w:ascii="Arial" w:hAnsi="Arial"/>
          <w:sz w:val="24"/>
        </w:rPr>
        <w:t>MPD</w:t>
      </w:r>
      <w:r w:rsidR="0078651C">
        <w:rPr>
          <w:rFonts w:ascii="Arial" w:hAnsi="Arial"/>
          <w:sz w:val="24"/>
        </w:rPr>
        <w:t xml:space="preserve">’s service territory is within the system administered by the Northern Maine Independent System Administrator </w:t>
      </w:r>
      <w:r w:rsidR="0078651C" w:rsidRPr="00B6554C">
        <w:rPr>
          <w:rFonts w:ascii="Arial" w:hAnsi="Arial" w:cs="Arial"/>
          <w:sz w:val="24"/>
          <w:szCs w:val="24"/>
        </w:rPr>
        <w:t>(</w:t>
      </w:r>
      <w:hyperlink r:id="rId18" w:history="1">
        <w:r w:rsidR="0078651C" w:rsidRPr="00036BC2">
          <w:rPr>
            <w:rFonts w:ascii="Arial" w:hAnsi="Arial" w:cs="Arial"/>
            <w:sz w:val="24"/>
            <w:szCs w:val="24"/>
          </w:rPr>
          <w:t>www.nmisa.com</w:t>
        </w:r>
      </w:hyperlink>
      <w:r w:rsidR="0078651C" w:rsidRPr="00036BC2">
        <w:rPr>
          <w:rFonts w:ascii="Arial" w:hAnsi="Arial" w:cs="Arial"/>
          <w:sz w:val="24"/>
          <w:szCs w:val="24"/>
        </w:rPr>
        <w:t>).</w:t>
      </w:r>
      <w:r w:rsidR="0078651C">
        <w:rPr>
          <w:rFonts w:ascii="Arial" w:hAnsi="Arial"/>
          <w:sz w:val="24"/>
        </w:rPr>
        <w:t xml:space="preserve"> Standard offer providers must comply with all applicable NMISA tariffs, rules and requirements and are responsible for the associated costs.  </w:t>
      </w:r>
    </w:p>
    <w:p w14:paraId="3C15200B" w14:textId="77777777" w:rsidR="00D156D3" w:rsidRDefault="0078651C">
      <w:pPr>
        <w:tabs>
          <w:tab w:val="left" w:pos="-360"/>
        </w:tabs>
        <w:spacing w:before="240"/>
        <w:ind w:left="1440"/>
        <w:rPr>
          <w:rFonts w:ascii="Arial" w:hAnsi="Arial"/>
          <w:sz w:val="24"/>
        </w:rPr>
      </w:pPr>
      <w:r>
        <w:rPr>
          <w:rFonts w:ascii="Arial" w:hAnsi="Arial"/>
          <w:sz w:val="24"/>
        </w:rPr>
        <w:t xml:space="preserve"> </w:t>
      </w:r>
    </w:p>
    <w:p w14:paraId="117B1799" w14:textId="77777777" w:rsidR="00D156D3" w:rsidRDefault="0078651C">
      <w:pPr>
        <w:tabs>
          <w:tab w:val="left" w:pos="-360"/>
        </w:tabs>
        <w:spacing w:before="240"/>
        <w:ind w:left="720"/>
        <w:rPr>
          <w:rFonts w:ascii="Arial" w:hAnsi="Arial"/>
          <w:sz w:val="24"/>
        </w:rPr>
      </w:pPr>
      <w:r>
        <w:rPr>
          <w:rFonts w:ascii="Arial" w:hAnsi="Arial"/>
          <w:b/>
          <w:bCs/>
          <w:sz w:val="24"/>
        </w:rPr>
        <w:t>4.5</w:t>
      </w:r>
      <w:r>
        <w:rPr>
          <w:rFonts w:ascii="Arial" w:hAnsi="Arial"/>
          <w:b/>
          <w:bCs/>
          <w:sz w:val="24"/>
        </w:rPr>
        <w:tab/>
        <w:t>Transmission Charges</w:t>
      </w:r>
    </w:p>
    <w:p w14:paraId="3A44F4A4" w14:textId="77777777" w:rsidR="00D156D3" w:rsidRDefault="0078651C">
      <w:pPr>
        <w:tabs>
          <w:tab w:val="left" w:pos="-360"/>
        </w:tabs>
        <w:spacing w:before="240"/>
        <w:ind w:left="1440" w:hanging="720"/>
        <w:rPr>
          <w:rFonts w:ascii="Arial" w:hAnsi="Arial"/>
          <w:sz w:val="24"/>
        </w:rPr>
      </w:pPr>
      <w:r>
        <w:rPr>
          <w:rFonts w:ascii="Arial" w:hAnsi="Arial"/>
          <w:sz w:val="24"/>
        </w:rPr>
        <w:tab/>
      </w:r>
      <w:r w:rsidR="006408E6">
        <w:rPr>
          <w:rFonts w:ascii="Arial" w:hAnsi="Arial"/>
          <w:sz w:val="24"/>
        </w:rPr>
        <w:t>MPD</w:t>
      </w:r>
      <w:r>
        <w:rPr>
          <w:rFonts w:ascii="Arial" w:hAnsi="Arial"/>
          <w:sz w:val="24"/>
        </w:rPr>
        <w:t xml:space="preserve"> local transmission and distribution charges for standard offer service are paid by customers through their </w:t>
      </w:r>
      <w:r w:rsidR="006408E6">
        <w:rPr>
          <w:rFonts w:ascii="Arial" w:hAnsi="Arial"/>
          <w:sz w:val="24"/>
        </w:rPr>
        <w:t>MPD</w:t>
      </w:r>
      <w:r>
        <w:rPr>
          <w:rFonts w:ascii="Arial" w:hAnsi="Arial"/>
          <w:sz w:val="24"/>
        </w:rPr>
        <w:t xml:space="preserve"> retail rates and are not the responsibility of the standard offer provider.</w:t>
      </w:r>
    </w:p>
    <w:p w14:paraId="026A09EE" w14:textId="77777777" w:rsidR="00D156D3" w:rsidRDefault="00D156D3">
      <w:pPr>
        <w:tabs>
          <w:tab w:val="left" w:pos="-360"/>
        </w:tabs>
        <w:spacing w:before="240"/>
        <w:ind w:left="1440" w:hanging="720"/>
        <w:rPr>
          <w:rFonts w:ascii="Arial" w:hAnsi="Arial"/>
          <w:sz w:val="24"/>
        </w:rPr>
      </w:pPr>
    </w:p>
    <w:p w14:paraId="390B947A" w14:textId="77777777" w:rsidR="00D156D3" w:rsidRDefault="0078651C">
      <w:pPr>
        <w:ind w:left="720"/>
        <w:rPr>
          <w:rFonts w:ascii="Arial" w:hAnsi="Arial"/>
          <w:b/>
          <w:bCs/>
          <w:sz w:val="24"/>
        </w:rPr>
      </w:pPr>
      <w:r>
        <w:rPr>
          <w:rFonts w:ascii="Arial" w:hAnsi="Arial"/>
          <w:b/>
          <w:bCs/>
          <w:sz w:val="24"/>
        </w:rPr>
        <w:t>4.6</w:t>
      </w:r>
      <w:r>
        <w:rPr>
          <w:rFonts w:ascii="Arial" w:hAnsi="Arial"/>
          <w:b/>
          <w:bCs/>
          <w:sz w:val="24"/>
        </w:rPr>
        <w:tab/>
        <w:t>Financial Security</w:t>
      </w:r>
    </w:p>
    <w:p w14:paraId="0C4BDBD3" w14:textId="77777777" w:rsidR="00D156D3" w:rsidRDefault="00D156D3">
      <w:pPr>
        <w:ind w:left="720"/>
        <w:rPr>
          <w:rFonts w:ascii="Arial" w:hAnsi="Arial"/>
          <w:b/>
          <w:bCs/>
          <w:sz w:val="24"/>
        </w:rPr>
      </w:pPr>
    </w:p>
    <w:p w14:paraId="553CED6A" w14:textId="77777777" w:rsidR="00D156D3" w:rsidRDefault="0078651C">
      <w:pPr>
        <w:ind w:left="1440"/>
        <w:rPr>
          <w:rFonts w:ascii="Arial" w:hAnsi="Arial"/>
          <w:sz w:val="24"/>
        </w:rPr>
      </w:pPr>
      <w:r>
        <w:rPr>
          <w:rFonts w:ascii="Arial" w:hAnsi="Arial"/>
          <w:sz w:val="24"/>
        </w:rPr>
        <w:t>Standard offer provider must provide financial security in accordance with this section and the related provisions in the Standard Agreement.</w:t>
      </w:r>
    </w:p>
    <w:p w14:paraId="1D6CEB74" w14:textId="77777777" w:rsidR="00D156D3" w:rsidRDefault="00D156D3">
      <w:pPr>
        <w:ind w:left="1440"/>
        <w:rPr>
          <w:rFonts w:ascii="Arial" w:hAnsi="Arial"/>
          <w:sz w:val="24"/>
        </w:rPr>
      </w:pPr>
    </w:p>
    <w:p w14:paraId="769182DA" w14:textId="77777777" w:rsidR="00D156D3" w:rsidRDefault="0078651C">
      <w:pPr>
        <w:ind w:left="1440"/>
        <w:rPr>
          <w:rFonts w:ascii="Arial" w:hAnsi="Arial"/>
          <w:sz w:val="24"/>
          <w:szCs w:val="24"/>
          <w:u w:val="single"/>
        </w:rPr>
      </w:pPr>
      <w:r>
        <w:rPr>
          <w:rFonts w:ascii="Arial" w:hAnsi="Arial"/>
          <w:b/>
          <w:i/>
          <w:sz w:val="24"/>
          <w:szCs w:val="24"/>
        </w:rPr>
        <w:t xml:space="preserve">1) Amount:       </w:t>
      </w:r>
    </w:p>
    <w:p w14:paraId="4755CA80" w14:textId="77777777" w:rsidR="00D156D3" w:rsidRDefault="00D156D3">
      <w:pPr>
        <w:ind w:left="2160"/>
        <w:rPr>
          <w:rFonts w:ascii="Arial" w:hAnsi="Arial"/>
          <w:sz w:val="24"/>
        </w:rPr>
      </w:pPr>
    </w:p>
    <w:p w14:paraId="41465A28" w14:textId="77777777" w:rsidR="00D156D3" w:rsidRPr="001422D7" w:rsidRDefault="0078651C">
      <w:pPr>
        <w:numPr>
          <w:ilvl w:val="0"/>
          <w:numId w:val="5"/>
        </w:numPr>
        <w:rPr>
          <w:rFonts w:ascii="Arial" w:hAnsi="Arial"/>
          <w:b/>
          <w:sz w:val="24"/>
        </w:rPr>
      </w:pPr>
      <w:r w:rsidRPr="001422D7">
        <w:rPr>
          <w:rFonts w:ascii="Arial" w:hAnsi="Arial"/>
          <w:b/>
          <w:sz w:val="24"/>
        </w:rPr>
        <w:t xml:space="preserve">Base Security </w:t>
      </w:r>
    </w:p>
    <w:p w14:paraId="42FD7936" w14:textId="77777777" w:rsidR="00D156D3" w:rsidRPr="001422D7" w:rsidRDefault="00D156D3">
      <w:pPr>
        <w:ind w:left="2160"/>
        <w:rPr>
          <w:rFonts w:ascii="Arial" w:hAnsi="Arial"/>
          <w:b/>
          <w:sz w:val="24"/>
        </w:rPr>
      </w:pPr>
    </w:p>
    <w:p w14:paraId="016FADE4" w14:textId="77777777" w:rsidR="007006EB" w:rsidRPr="008F570B" w:rsidRDefault="007006EB" w:rsidP="007006EB">
      <w:pPr>
        <w:pStyle w:val="ListParagraph"/>
        <w:numPr>
          <w:ilvl w:val="1"/>
          <w:numId w:val="5"/>
        </w:numPr>
        <w:rPr>
          <w:rFonts w:ascii="Arial" w:hAnsi="Arial"/>
          <w:sz w:val="24"/>
        </w:rPr>
      </w:pPr>
      <w:r w:rsidRPr="008F570B">
        <w:rPr>
          <w:rFonts w:ascii="Arial" w:hAnsi="Arial"/>
          <w:sz w:val="24"/>
        </w:rPr>
        <w:t xml:space="preserve">Standard offer provider must provide Base Security in the amount of $500,000.  This amount may not decline during the term of service.    </w:t>
      </w:r>
    </w:p>
    <w:p w14:paraId="20B3DECF" w14:textId="77777777" w:rsidR="00D156D3" w:rsidRDefault="00D156D3">
      <w:pPr>
        <w:ind w:left="1440"/>
        <w:rPr>
          <w:rFonts w:ascii="Arial" w:hAnsi="Arial"/>
          <w:sz w:val="24"/>
        </w:rPr>
      </w:pPr>
    </w:p>
    <w:p w14:paraId="2F777CF3" w14:textId="77777777" w:rsidR="00D156D3" w:rsidRDefault="0078651C">
      <w:pPr>
        <w:numPr>
          <w:ilvl w:val="0"/>
          <w:numId w:val="5"/>
        </w:numPr>
        <w:rPr>
          <w:rFonts w:ascii="Arial" w:hAnsi="Arial"/>
          <w:b/>
          <w:sz w:val="24"/>
        </w:rPr>
      </w:pPr>
      <w:r>
        <w:rPr>
          <w:rFonts w:ascii="Arial" w:hAnsi="Arial"/>
          <w:b/>
          <w:sz w:val="24"/>
        </w:rPr>
        <w:t>Excess Market Exposure Security</w:t>
      </w:r>
    </w:p>
    <w:p w14:paraId="16013BC7" w14:textId="77777777" w:rsidR="00D156D3" w:rsidRDefault="00D156D3">
      <w:pPr>
        <w:ind w:left="2160"/>
        <w:rPr>
          <w:rFonts w:ascii="Arial" w:hAnsi="Arial"/>
          <w:b/>
          <w:sz w:val="24"/>
        </w:rPr>
      </w:pPr>
    </w:p>
    <w:p w14:paraId="485EF3AF" w14:textId="5CCD9062" w:rsidR="00D156D3" w:rsidRDefault="0078651C" w:rsidP="00E10B19">
      <w:pPr>
        <w:ind w:left="1440"/>
        <w:rPr>
          <w:rFonts w:ascii="Arial" w:hAnsi="Arial"/>
          <w:sz w:val="24"/>
        </w:rPr>
      </w:pPr>
      <w:r>
        <w:rPr>
          <w:rFonts w:ascii="Arial" w:hAnsi="Arial"/>
          <w:sz w:val="24"/>
        </w:rPr>
        <w:t>The incremental replacement cost of standard offer supply during the remaining term of service in excess of the Base Security for the class, as determined from time to time using commercially reasonable practices,</w:t>
      </w:r>
    </w:p>
    <w:p w14:paraId="7DB74D1C" w14:textId="77777777" w:rsidR="00D156D3" w:rsidRDefault="0078651C">
      <w:pPr>
        <w:ind w:left="2880"/>
        <w:rPr>
          <w:rFonts w:ascii="Arial" w:hAnsi="Arial"/>
          <w:sz w:val="24"/>
        </w:rPr>
      </w:pPr>
      <w:r>
        <w:rPr>
          <w:rFonts w:ascii="Arial" w:hAnsi="Arial"/>
          <w:sz w:val="24"/>
        </w:rPr>
        <w:t xml:space="preserve">   </w:t>
      </w:r>
    </w:p>
    <w:p w14:paraId="7C162D18" w14:textId="77777777" w:rsidR="00D156D3" w:rsidRDefault="0078651C">
      <w:pPr>
        <w:ind w:left="1440"/>
        <w:rPr>
          <w:rFonts w:ascii="Arial" w:hAnsi="Arial"/>
          <w:sz w:val="24"/>
        </w:rPr>
      </w:pPr>
      <w:r>
        <w:rPr>
          <w:rFonts w:ascii="Arial" w:hAnsi="Arial"/>
          <w:sz w:val="24"/>
        </w:rPr>
        <w:t xml:space="preserve">The Base Security must be furnished to </w:t>
      </w:r>
      <w:r w:rsidR="006408E6">
        <w:rPr>
          <w:rFonts w:ascii="Arial" w:hAnsi="Arial"/>
          <w:sz w:val="24"/>
        </w:rPr>
        <w:t>MPD</w:t>
      </w:r>
      <w:r>
        <w:rPr>
          <w:rFonts w:ascii="Arial" w:hAnsi="Arial"/>
          <w:sz w:val="24"/>
        </w:rPr>
        <w:t xml:space="preserve"> with a copy to the Commission no later than three five business days after the date the Commission designates the provider such that </w:t>
      </w:r>
      <w:r w:rsidR="006408E6">
        <w:rPr>
          <w:rFonts w:ascii="Arial" w:hAnsi="Arial"/>
          <w:sz w:val="24"/>
        </w:rPr>
        <w:t>MPD</w:t>
      </w:r>
      <w:r>
        <w:rPr>
          <w:rFonts w:ascii="Arial" w:hAnsi="Arial"/>
          <w:sz w:val="24"/>
        </w:rPr>
        <w:t xml:space="preserve"> can access the full amount of the financial security on that date.  Any Excess Market Exposure Security required during the term of the obligation must be furnished to </w:t>
      </w:r>
      <w:r w:rsidR="006408E6">
        <w:rPr>
          <w:rFonts w:ascii="Arial" w:hAnsi="Arial"/>
          <w:sz w:val="24"/>
        </w:rPr>
        <w:t>MPD</w:t>
      </w:r>
      <w:r>
        <w:rPr>
          <w:rFonts w:ascii="Arial" w:hAnsi="Arial"/>
          <w:sz w:val="24"/>
        </w:rPr>
        <w:t xml:space="preserve"> no later than five business days after </w:t>
      </w:r>
      <w:r w:rsidR="006408E6">
        <w:rPr>
          <w:rFonts w:ascii="Arial" w:hAnsi="Arial"/>
          <w:sz w:val="24"/>
        </w:rPr>
        <w:t>MPD</w:t>
      </w:r>
      <w:r>
        <w:rPr>
          <w:rFonts w:ascii="Arial" w:hAnsi="Arial"/>
          <w:sz w:val="24"/>
        </w:rPr>
        <w:t xml:space="preserve"> provides notification.  The Base Security and, if applicable,  Excess Market Exposure Security cannot expire or be cancelled prior to the date 30 days after the end of the applicable term of service unless replacement financial security that meets the requirements of Chapter 301 and this RFP and is accepted by the Commission is provided.  The expiration or termination of the financial security shall not affect obligations incurred while the financial security was in effect.  The Commission retains the right to obtain further information about any financial security furnished by standard offer provider, and final acceptance shall be at the sole discretion of the Commission.</w:t>
      </w:r>
    </w:p>
    <w:p w14:paraId="79CCF0B8" w14:textId="77777777" w:rsidR="00D156D3" w:rsidRDefault="0078651C">
      <w:pPr>
        <w:ind w:left="1440"/>
        <w:rPr>
          <w:rFonts w:ascii="Arial" w:hAnsi="Arial"/>
          <w:sz w:val="24"/>
        </w:rPr>
      </w:pPr>
      <w:r>
        <w:rPr>
          <w:rFonts w:ascii="Arial" w:hAnsi="Arial"/>
          <w:sz w:val="24"/>
        </w:rPr>
        <w:t xml:space="preserve"> </w:t>
      </w:r>
    </w:p>
    <w:p w14:paraId="463BBE8D" w14:textId="77777777" w:rsidR="00D156D3" w:rsidRDefault="0078651C">
      <w:pPr>
        <w:ind w:left="1440"/>
        <w:rPr>
          <w:rFonts w:ascii="Arial" w:hAnsi="Arial"/>
          <w:sz w:val="24"/>
        </w:rPr>
      </w:pPr>
      <w:r>
        <w:rPr>
          <w:rFonts w:ascii="Arial" w:hAnsi="Arial"/>
          <w:b/>
          <w:sz w:val="24"/>
        </w:rPr>
        <w:t xml:space="preserve">2) </w:t>
      </w:r>
      <w:r>
        <w:rPr>
          <w:rFonts w:ascii="Arial" w:hAnsi="Arial"/>
          <w:b/>
          <w:i/>
          <w:sz w:val="24"/>
          <w:szCs w:val="24"/>
        </w:rPr>
        <w:t>Instrument:</w:t>
      </w:r>
      <w:r>
        <w:rPr>
          <w:rFonts w:ascii="Arial" w:hAnsi="Arial"/>
          <w:sz w:val="24"/>
        </w:rPr>
        <w:br/>
      </w:r>
    </w:p>
    <w:p w14:paraId="7275B8B6" w14:textId="77777777" w:rsidR="00E70EA0" w:rsidRPr="00E70EA0" w:rsidRDefault="00E70EA0" w:rsidP="00E70EA0">
      <w:pPr>
        <w:tabs>
          <w:tab w:val="left" w:pos="1440"/>
        </w:tabs>
        <w:ind w:left="1440"/>
        <w:rPr>
          <w:rFonts w:ascii="Arial" w:hAnsi="Arial"/>
          <w:sz w:val="24"/>
        </w:rPr>
      </w:pPr>
      <w:r w:rsidRPr="00E70EA0">
        <w:rPr>
          <w:rFonts w:ascii="Arial" w:hAnsi="Arial"/>
          <w:sz w:val="24"/>
        </w:rPr>
        <w:t>Financial security must be provided by cash; an irrevocable letter of credit from a federal or state licensed financial institution satisfying the requirements of section 3 of Chapter 301; or a corporate guarantee.</w:t>
      </w:r>
    </w:p>
    <w:p w14:paraId="293C23B7" w14:textId="77777777" w:rsidR="00E70EA0" w:rsidRPr="00E70EA0" w:rsidRDefault="00E70EA0" w:rsidP="00E70EA0">
      <w:pPr>
        <w:tabs>
          <w:tab w:val="left" w:pos="1440"/>
        </w:tabs>
        <w:ind w:left="1440"/>
        <w:rPr>
          <w:rFonts w:ascii="Arial" w:hAnsi="Arial"/>
          <w:sz w:val="24"/>
        </w:rPr>
      </w:pPr>
    </w:p>
    <w:p w14:paraId="02D95428" w14:textId="77777777" w:rsidR="00DE39D6" w:rsidRPr="00DE39D6" w:rsidRDefault="00E70EA0" w:rsidP="00DE39D6">
      <w:pPr>
        <w:tabs>
          <w:tab w:val="left" w:pos="1440"/>
        </w:tabs>
        <w:ind w:left="1440"/>
        <w:rPr>
          <w:rFonts w:ascii="Arial" w:hAnsi="Arial"/>
          <w:sz w:val="24"/>
        </w:rPr>
      </w:pPr>
      <w:r w:rsidRPr="00E70EA0">
        <w:rPr>
          <w:rFonts w:ascii="Arial" w:hAnsi="Arial"/>
          <w:sz w:val="24"/>
        </w:rPr>
        <w:t>Any irrevocable letter of credit provided must (</w:t>
      </w:r>
      <w:proofErr w:type="spellStart"/>
      <w:r w:rsidRPr="00E70EA0">
        <w:rPr>
          <w:rFonts w:ascii="Arial" w:hAnsi="Arial"/>
          <w:sz w:val="24"/>
        </w:rPr>
        <w:t>i</w:t>
      </w:r>
      <w:proofErr w:type="spellEnd"/>
      <w:r w:rsidRPr="00E70EA0">
        <w:rPr>
          <w:rFonts w:ascii="Arial" w:hAnsi="Arial"/>
          <w:sz w:val="24"/>
        </w:rPr>
        <w:t xml:space="preserve">) unconditionally obligate the issuing commercial bank(s) to honor drafts drawn on such letter(s) for the purpose of paying the costs of replacement standard offer service; (ii) be issued by commercial bank(s) with a minimum corporate debt rating of “BBB+” by Standard &amp; Poor’s or Fitch or “Baa1” by Moody’s, or an equivalent short term debt rating by one of these agencies and (iii) include the following language:  “This letter of credit binds the insurer to pay one or more drafts drawn by </w:t>
      </w:r>
      <w:r>
        <w:rPr>
          <w:rFonts w:ascii="Arial" w:hAnsi="Arial"/>
          <w:sz w:val="24"/>
        </w:rPr>
        <w:t>Versant Power</w:t>
      </w:r>
      <w:r w:rsidRPr="00E70EA0">
        <w:rPr>
          <w:rFonts w:ascii="Arial" w:hAnsi="Arial"/>
          <w:sz w:val="24"/>
        </w:rPr>
        <w:t xml:space="preserve"> as long as the drafts do not exceed the total amount of the letter of credit; and that any draft presented by </w:t>
      </w:r>
      <w:r>
        <w:rPr>
          <w:rFonts w:ascii="Arial" w:hAnsi="Arial"/>
          <w:sz w:val="24"/>
        </w:rPr>
        <w:t>Versant Power</w:t>
      </w:r>
      <w:r w:rsidRPr="00E70EA0">
        <w:rPr>
          <w:rFonts w:ascii="Arial" w:hAnsi="Arial"/>
          <w:sz w:val="24"/>
        </w:rPr>
        <w:t xml:space="preserve"> will be honored by the issuer upon presentation.”</w:t>
      </w:r>
      <w:r w:rsidR="00DE39D6">
        <w:rPr>
          <w:rFonts w:ascii="Arial" w:hAnsi="Arial"/>
          <w:sz w:val="24"/>
        </w:rPr>
        <w:t xml:space="preserve">  </w:t>
      </w:r>
      <w:r w:rsidR="00DE39D6" w:rsidRPr="00DE39D6">
        <w:rPr>
          <w:rFonts w:ascii="Arial" w:hAnsi="Arial"/>
          <w:sz w:val="24"/>
        </w:rPr>
        <w:t xml:space="preserve">If the </w:t>
      </w:r>
      <w:r w:rsidR="00DE39D6" w:rsidRPr="00DE39D6">
        <w:rPr>
          <w:rFonts w:ascii="Arial" w:hAnsi="Arial"/>
          <w:sz w:val="24"/>
        </w:rPr>
        <w:lastRenderedPageBreak/>
        <w:t>corporate debt ratings of an issuing bank drop below the above specified levels, the standard offer provider shall promptly: (1) notify the Commission’s Director of Electricity and Natural Gas and MPD in writing; and (2) provide replacement security that satisfies the requirements of Chapter 301 and this RFP.</w:t>
      </w:r>
    </w:p>
    <w:p w14:paraId="0332F83A" w14:textId="318BE2D3" w:rsidR="00E70EA0" w:rsidRPr="00E70EA0" w:rsidRDefault="00E70EA0" w:rsidP="00E70EA0">
      <w:pPr>
        <w:tabs>
          <w:tab w:val="left" w:pos="1440"/>
        </w:tabs>
        <w:ind w:left="1440"/>
        <w:rPr>
          <w:rFonts w:ascii="Arial" w:hAnsi="Arial"/>
          <w:sz w:val="24"/>
        </w:rPr>
      </w:pPr>
    </w:p>
    <w:p w14:paraId="55698D41" w14:textId="77777777" w:rsidR="00E70EA0" w:rsidRPr="00E70EA0" w:rsidRDefault="00E70EA0" w:rsidP="00E70EA0">
      <w:pPr>
        <w:tabs>
          <w:tab w:val="left" w:pos="1440"/>
        </w:tabs>
        <w:ind w:left="1440"/>
        <w:rPr>
          <w:rFonts w:ascii="Arial" w:hAnsi="Arial"/>
          <w:sz w:val="24"/>
        </w:rPr>
      </w:pPr>
    </w:p>
    <w:p w14:paraId="04DA5FDA" w14:textId="77777777" w:rsidR="00E70EA0" w:rsidRDefault="00E70EA0" w:rsidP="00E70EA0">
      <w:pPr>
        <w:tabs>
          <w:tab w:val="left" w:pos="1440"/>
        </w:tabs>
        <w:ind w:left="1440"/>
        <w:rPr>
          <w:rFonts w:ascii="Arial" w:hAnsi="Arial"/>
          <w:sz w:val="24"/>
        </w:rPr>
      </w:pPr>
      <w:r w:rsidRPr="00E70EA0">
        <w:rPr>
          <w:rFonts w:ascii="Arial" w:hAnsi="Arial"/>
          <w:sz w:val="24"/>
        </w:rPr>
        <w:t>A corporate guarantee must (</w:t>
      </w:r>
      <w:proofErr w:type="spellStart"/>
      <w:r w:rsidRPr="00E70EA0">
        <w:rPr>
          <w:rFonts w:ascii="Arial" w:hAnsi="Arial"/>
          <w:sz w:val="24"/>
        </w:rPr>
        <w:t>i</w:t>
      </w:r>
      <w:proofErr w:type="spellEnd"/>
      <w:r w:rsidRPr="00E70EA0">
        <w:rPr>
          <w:rFonts w:ascii="Arial" w:hAnsi="Arial"/>
          <w:sz w:val="24"/>
        </w:rPr>
        <w:t>) unconditionally obligate the guarantor to pay all obligations of the standard offer provider for the costs of replacement standard offer service; (ii) be executed by a corporation with a minimum corporate debt rating of “BBB+” by Standard &amp; Poor’s or Fitch or “Baa1” by Moody’s corporate debt rating; and (iii) conform with the Standard Form Guaranty provided in Appendix K or an accepted alternative.</w:t>
      </w:r>
    </w:p>
    <w:p w14:paraId="74F326C2" w14:textId="77777777" w:rsidR="00D156D3" w:rsidRDefault="00D156D3">
      <w:pPr>
        <w:ind w:left="1440"/>
        <w:jc w:val="center"/>
        <w:rPr>
          <w:rFonts w:ascii="Arial" w:hAnsi="Arial" w:cs="Arial"/>
          <w:color w:val="000000"/>
          <w:sz w:val="24"/>
          <w:szCs w:val="28"/>
        </w:rPr>
      </w:pPr>
    </w:p>
    <w:p w14:paraId="658A3123" w14:textId="5C14536C" w:rsidR="00D156D3" w:rsidRDefault="00D156D3">
      <w:pPr>
        <w:ind w:left="1440"/>
        <w:rPr>
          <w:rFonts w:ascii="Arial" w:hAnsi="Arial" w:cs="Arial"/>
          <w:color w:val="000000"/>
          <w:sz w:val="24"/>
          <w:szCs w:val="28"/>
        </w:rPr>
      </w:pPr>
    </w:p>
    <w:p w14:paraId="018C08C6" w14:textId="77777777" w:rsidR="00D156D3" w:rsidRDefault="00D156D3">
      <w:pPr>
        <w:ind w:left="1440"/>
        <w:rPr>
          <w:rFonts w:ascii="Arial" w:hAnsi="Arial" w:cs="Arial"/>
          <w:bCs/>
          <w:color w:val="000000"/>
          <w:sz w:val="24"/>
          <w:szCs w:val="24"/>
        </w:rPr>
      </w:pPr>
    </w:p>
    <w:p w14:paraId="12F9B5FD" w14:textId="77777777" w:rsidR="00E70EA0" w:rsidRDefault="00E70EA0">
      <w:pPr>
        <w:tabs>
          <w:tab w:val="left" w:pos="1440"/>
        </w:tabs>
        <w:ind w:left="1440"/>
        <w:rPr>
          <w:rFonts w:ascii="Arial" w:hAnsi="Arial"/>
          <w:i/>
          <w:sz w:val="24"/>
        </w:rPr>
      </w:pPr>
      <w:r>
        <w:rPr>
          <w:rFonts w:ascii="Arial" w:hAnsi="Arial"/>
          <w:b/>
          <w:i/>
          <w:sz w:val="24"/>
        </w:rPr>
        <w:t xml:space="preserve">3.  </w:t>
      </w:r>
      <w:r w:rsidR="0078651C">
        <w:rPr>
          <w:rFonts w:ascii="Arial" w:hAnsi="Arial"/>
          <w:b/>
          <w:i/>
          <w:sz w:val="24"/>
        </w:rPr>
        <w:t>Overall Exposure:</w:t>
      </w:r>
      <w:r w:rsidR="0078651C">
        <w:rPr>
          <w:rFonts w:ascii="Arial" w:hAnsi="Arial"/>
          <w:i/>
          <w:sz w:val="24"/>
        </w:rPr>
        <w:t xml:space="preserve"> </w:t>
      </w:r>
    </w:p>
    <w:p w14:paraId="4E488D6F" w14:textId="77777777" w:rsidR="00E70EA0" w:rsidRDefault="00E70EA0">
      <w:pPr>
        <w:tabs>
          <w:tab w:val="left" w:pos="1440"/>
        </w:tabs>
        <w:ind w:left="1440"/>
        <w:rPr>
          <w:rFonts w:ascii="Arial" w:hAnsi="Arial"/>
          <w:sz w:val="24"/>
        </w:rPr>
      </w:pPr>
    </w:p>
    <w:p w14:paraId="74394D79" w14:textId="71805B98" w:rsidR="00D156D3" w:rsidRDefault="0078651C">
      <w:pPr>
        <w:tabs>
          <w:tab w:val="left" w:pos="1440"/>
        </w:tabs>
        <w:ind w:left="1440"/>
        <w:rPr>
          <w:rFonts w:ascii="Arial" w:hAnsi="Arial"/>
          <w:sz w:val="24"/>
        </w:rPr>
      </w:pPr>
      <w:r>
        <w:rPr>
          <w:rFonts w:ascii="Arial" w:hAnsi="Arial"/>
          <w:sz w:val="24"/>
        </w:rPr>
        <w:t>In addition, the overall guarantee exposure to any specific guarantor shall be analyzed under the asset test and the common equity test described in the Commission’s Rule 301 §§ (3)(B)(3)(b)(ii)</w:t>
      </w:r>
      <w:r w:rsidR="00DE39D6">
        <w:rPr>
          <w:rFonts w:ascii="Arial" w:hAnsi="Arial"/>
          <w:sz w:val="24"/>
        </w:rPr>
        <w:t xml:space="preserve"> </w:t>
      </w:r>
      <w:r>
        <w:rPr>
          <w:rFonts w:ascii="Arial" w:hAnsi="Arial"/>
          <w:sz w:val="24"/>
        </w:rPr>
        <w:t>and (iii) respectively. If the aggregate of all guarantees provided by a guarantor for standard offer service in a particular utility’s service area fail either test a corporate guarantee will not constitute acceptable security, or will be limited in amount to the level where the test can still be met. Additionally, the Commission, at its discretion, may otherwise limit guarantee amounts.  Suppliers that intend to rely on a corporate guarantee must provide sufficient information with their indicative bid to allow the Commission to evaluate their guarantor.</w:t>
      </w:r>
    </w:p>
    <w:p w14:paraId="555E07FA" w14:textId="77777777" w:rsidR="00D156D3" w:rsidRDefault="00D156D3">
      <w:pPr>
        <w:ind w:left="1440"/>
        <w:rPr>
          <w:rFonts w:ascii="Arial" w:hAnsi="Arial"/>
          <w:sz w:val="24"/>
        </w:rPr>
      </w:pPr>
    </w:p>
    <w:p w14:paraId="5F132B23" w14:textId="77777777" w:rsidR="00D156D3" w:rsidRDefault="00D156D3">
      <w:pPr>
        <w:tabs>
          <w:tab w:val="left" w:pos="90"/>
        </w:tabs>
        <w:rPr>
          <w:rFonts w:ascii="Arial" w:hAnsi="Arial"/>
          <w:sz w:val="24"/>
        </w:rPr>
      </w:pPr>
    </w:p>
    <w:p w14:paraId="018C5A36" w14:textId="77777777" w:rsidR="00D156D3" w:rsidRDefault="0078651C">
      <w:pPr>
        <w:pStyle w:val="BlockText"/>
        <w:spacing w:line="240" w:lineRule="auto"/>
        <w:ind w:left="0"/>
      </w:pPr>
      <w:r>
        <w:tab/>
      </w:r>
      <w:r>
        <w:tab/>
      </w:r>
    </w:p>
    <w:p w14:paraId="006D7A66" w14:textId="77777777" w:rsidR="00D156D3" w:rsidRDefault="0078651C">
      <w:pPr>
        <w:ind w:firstLine="720"/>
        <w:rPr>
          <w:rFonts w:ascii="Arial" w:hAnsi="Arial"/>
          <w:b/>
          <w:bCs/>
          <w:sz w:val="24"/>
        </w:rPr>
      </w:pPr>
      <w:r>
        <w:rPr>
          <w:rFonts w:ascii="Arial" w:hAnsi="Arial"/>
          <w:b/>
          <w:bCs/>
          <w:sz w:val="24"/>
        </w:rPr>
        <w:t>4.7</w:t>
      </w:r>
      <w:r>
        <w:rPr>
          <w:rFonts w:ascii="Arial" w:hAnsi="Arial"/>
          <w:b/>
          <w:bCs/>
          <w:sz w:val="24"/>
        </w:rPr>
        <w:tab/>
        <w:t>License</w:t>
      </w:r>
    </w:p>
    <w:p w14:paraId="02FD580D" w14:textId="77777777" w:rsidR="00D156D3" w:rsidRDefault="00D156D3">
      <w:pPr>
        <w:ind w:left="2160" w:hanging="720"/>
        <w:rPr>
          <w:rFonts w:ascii="Arial" w:hAnsi="Arial"/>
          <w:b/>
          <w:bCs/>
          <w:sz w:val="24"/>
        </w:rPr>
      </w:pPr>
    </w:p>
    <w:p w14:paraId="4C27A427" w14:textId="77777777" w:rsidR="00D156D3" w:rsidRDefault="0078651C">
      <w:pPr>
        <w:ind w:left="1440"/>
        <w:rPr>
          <w:rFonts w:ascii="Arial" w:hAnsi="Arial"/>
          <w:sz w:val="24"/>
        </w:rPr>
      </w:pPr>
      <w:r>
        <w:rPr>
          <w:rFonts w:ascii="Arial" w:hAnsi="Arial"/>
          <w:sz w:val="24"/>
        </w:rPr>
        <w:t>Standard offer provider must at all times during the term of service possess a valid license, pursuant to Chapter 305 of the Commission’s rules, to provide standard offer service.  Standard offer provider’s license must be effective as of the date it is designated a standard offer provider.</w:t>
      </w:r>
    </w:p>
    <w:p w14:paraId="27D14AED" w14:textId="77777777" w:rsidR="00D156D3" w:rsidRDefault="00D156D3">
      <w:pPr>
        <w:tabs>
          <w:tab w:val="left" w:pos="0"/>
        </w:tabs>
        <w:rPr>
          <w:rFonts w:ascii="Arial" w:hAnsi="Arial"/>
          <w:b/>
          <w:bCs/>
          <w:sz w:val="24"/>
        </w:rPr>
      </w:pPr>
    </w:p>
    <w:p w14:paraId="23342FE7" w14:textId="77777777" w:rsidR="00D156D3" w:rsidRDefault="0078651C">
      <w:pPr>
        <w:tabs>
          <w:tab w:val="left" w:pos="0"/>
        </w:tabs>
        <w:ind w:left="720"/>
        <w:rPr>
          <w:rFonts w:ascii="Arial" w:hAnsi="Arial"/>
          <w:b/>
          <w:bCs/>
          <w:sz w:val="24"/>
        </w:rPr>
      </w:pPr>
      <w:r>
        <w:rPr>
          <w:rFonts w:ascii="Arial" w:hAnsi="Arial"/>
          <w:b/>
          <w:bCs/>
          <w:sz w:val="24"/>
        </w:rPr>
        <w:t>4.8</w:t>
      </w:r>
      <w:r>
        <w:rPr>
          <w:rFonts w:ascii="Arial" w:hAnsi="Arial"/>
          <w:b/>
          <w:bCs/>
          <w:sz w:val="24"/>
        </w:rPr>
        <w:tab/>
        <w:t>Standard Offer Service Agreement</w:t>
      </w:r>
    </w:p>
    <w:p w14:paraId="241E8789" w14:textId="77777777" w:rsidR="00D156D3" w:rsidRDefault="00D156D3">
      <w:pPr>
        <w:tabs>
          <w:tab w:val="left" w:pos="0"/>
        </w:tabs>
        <w:ind w:left="1440"/>
        <w:rPr>
          <w:rFonts w:ascii="Arial" w:hAnsi="Arial"/>
          <w:b/>
          <w:bCs/>
          <w:sz w:val="24"/>
        </w:rPr>
      </w:pPr>
    </w:p>
    <w:p w14:paraId="42426BB6" w14:textId="77777777" w:rsidR="00D156D3" w:rsidRDefault="0078651C">
      <w:pPr>
        <w:tabs>
          <w:tab w:val="left" w:pos="0"/>
        </w:tabs>
        <w:ind w:left="1440"/>
        <w:rPr>
          <w:rFonts w:ascii="Arial" w:hAnsi="Arial"/>
          <w:sz w:val="24"/>
        </w:rPr>
      </w:pPr>
      <w:r>
        <w:rPr>
          <w:rFonts w:ascii="Arial" w:hAnsi="Arial"/>
          <w:sz w:val="24"/>
        </w:rPr>
        <w:t xml:space="preserve">Standard offer provider must have an executed Service Agreement with </w:t>
      </w:r>
      <w:r w:rsidR="006408E6">
        <w:rPr>
          <w:rFonts w:ascii="Arial" w:hAnsi="Arial"/>
          <w:sz w:val="24"/>
        </w:rPr>
        <w:t>MPD</w:t>
      </w:r>
      <w:r>
        <w:rPr>
          <w:rFonts w:ascii="Arial" w:hAnsi="Arial"/>
          <w:sz w:val="24"/>
        </w:rPr>
        <w:t xml:space="preserve"> within 24 hours of being designated.  (See Appendix C for a Standard Form Service Agreement.)</w:t>
      </w:r>
    </w:p>
    <w:p w14:paraId="092AEFE6" w14:textId="77777777" w:rsidR="00D156D3" w:rsidRDefault="00D156D3">
      <w:pPr>
        <w:rPr>
          <w:rFonts w:ascii="Arial" w:hAnsi="Arial"/>
          <w:sz w:val="24"/>
        </w:rPr>
      </w:pPr>
    </w:p>
    <w:p w14:paraId="4F4208AB" w14:textId="77777777" w:rsidR="00D156D3" w:rsidRDefault="0078651C">
      <w:pPr>
        <w:ind w:firstLine="720"/>
        <w:rPr>
          <w:rFonts w:ascii="Arial" w:hAnsi="Arial"/>
          <w:b/>
          <w:bCs/>
          <w:sz w:val="24"/>
        </w:rPr>
      </w:pPr>
      <w:r>
        <w:rPr>
          <w:rFonts w:ascii="Arial" w:hAnsi="Arial"/>
          <w:b/>
          <w:bCs/>
          <w:sz w:val="24"/>
        </w:rPr>
        <w:lastRenderedPageBreak/>
        <w:t>4.9</w:t>
      </w:r>
      <w:r>
        <w:rPr>
          <w:rFonts w:ascii="Arial" w:hAnsi="Arial"/>
          <w:b/>
          <w:bCs/>
          <w:sz w:val="24"/>
        </w:rPr>
        <w:tab/>
        <w:t>Resource Portfolio Requirement</w:t>
      </w:r>
    </w:p>
    <w:p w14:paraId="33537837" w14:textId="77777777" w:rsidR="00D156D3" w:rsidRDefault="00D156D3">
      <w:pPr>
        <w:ind w:firstLine="720"/>
        <w:rPr>
          <w:rFonts w:ascii="Arial" w:hAnsi="Arial"/>
          <w:b/>
          <w:bCs/>
          <w:sz w:val="24"/>
        </w:rPr>
      </w:pPr>
    </w:p>
    <w:p w14:paraId="2437A5A2" w14:textId="35FC2034" w:rsidR="00D156D3" w:rsidRDefault="0078651C">
      <w:pPr>
        <w:ind w:left="1440"/>
        <w:rPr>
          <w:rFonts w:ascii="Arial" w:hAnsi="Arial"/>
          <w:b/>
          <w:i/>
          <w:sz w:val="24"/>
          <w:shd w:val="clear" w:color="auto" w:fill="FFFF99"/>
        </w:rPr>
      </w:pPr>
      <w:r>
        <w:rPr>
          <w:rFonts w:ascii="Arial" w:hAnsi="Arial"/>
          <w:sz w:val="24"/>
        </w:rPr>
        <w:t>Standard offer provider must comply with the resource portfolio requirements of Chapter 311 of the Commission’s Rules.</w:t>
      </w:r>
      <w:r w:rsidR="00036BC2">
        <w:rPr>
          <w:rStyle w:val="FootnoteReference"/>
          <w:rFonts w:ascii="Arial" w:hAnsi="Arial"/>
          <w:sz w:val="24"/>
        </w:rPr>
        <w:footnoteReference w:id="1"/>
      </w:r>
      <w:r>
        <w:rPr>
          <w:rFonts w:ascii="Arial" w:hAnsi="Arial"/>
          <w:sz w:val="24"/>
        </w:rPr>
        <w:t xml:space="preserve">  </w:t>
      </w:r>
    </w:p>
    <w:p w14:paraId="05D9EE8E" w14:textId="77777777" w:rsidR="00D156D3" w:rsidRDefault="00D156D3">
      <w:pPr>
        <w:ind w:left="1440"/>
        <w:rPr>
          <w:rFonts w:ascii="Arial" w:hAnsi="Arial"/>
          <w:sz w:val="24"/>
        </w:rPr>
      </w:pPr>
    </w:p>
    <w:p w14:paraId="14A161A1" w14:textId="77777777" w:rsidR="00D156D3" w:rsidRDefault="0078651C">
      <w:pPr>
        <w:ind w:firstLine="720"/>
        <w:rPr>
          <w:rFonts w:ascii="Arial" w:hAnsi="Arial"/>
          <w:b/>
          <w:bCs/>
          <w:sz w:val="24"/>
        </w:rPr>
      </w:pPr>
      <w:r>
        <w:rPr>
          <w:rFonts w:ascii="Arial" w:hAnsi="Arial"/>
          <w:b/>
          <w:bCs/>
          <w:sz w:val="24"/>
        </w:rPr>
        <w:t>4.10    Disclosure Requirement</w:t>
      </w:r>
    </w:p>
    <w:p w14:paraId="0E2B1F21" w14:textId="77777777" w:rsidR="00D156D3" w:rsidRDefault="00D156D3">
      <w:pPr>
        <w:ind w:firstLine="720"/>
        <w:rPr>
          <w:rFonts w:ascii="Arial" w:hAnsi="Arial"/>
          <w:b/>
          <w:bCs/>
          <w:sz w:val="24"/>
        </w:rPr>
      </w:pPr>
    </w:p>
    <w:p w14:paraId="2755ECF6" w14:textId="77777777" w:rsidR="00D156D3" w:rsidRDefault="0078651C">
      <w:pPr>
        <w:ind w:left="1440" w:hanging="720"/>
        <w:rPr>
          <w:rFonts w:ascii="Arial" w:hAnsi="Arial"/>
          <w:sz w:val="24"/>
        </w:rPr>
      </w:pPr>
      <w:r>
        <w:rPr>
          <w:rFonts w:ascii="Arial" w:hAnsi="Arial"/>
          <w:b/>
          <w:bCs/>
          <w:sz w:val="24"/>
        </w:rPr>
        <w:tab/>
      </w:r>
      <w:r w:rsidR="006408E6">
        <w:rPr>
          <w:rFonts w:ascii="Arial" w:hAnsi="Arial"/>
          <w:bCs/>
          <w:sz w:val="24"/>
        </w:rPr>
        <w:t>MPD</w:t>
      </w:r>
      <w:r>
        <w:rPr>
          <w:rFonts w:ascii="Arial" w:hAnsi="Arial"/>
          <w:sz w:val="24"/>
        </w:rPr>
        <w:t xml:space="preserve"> will produce and make available on its website standard offer service disclosure labels for the small class on behalf of standard offer provider pursuant to Chapter 306 of the Commission’s rules.  Provider must supply </w:t>
      </w:r>
      <w:r w:rsidR="006408E6">
        <w:rPr>
          <w:rFonts w:ascii="Arial" w:hAnsi="Arial"/>
          <w:sz w:val="24"/>
        </w:rPr>
        <w:t>MPD</w:t>
      </w:r>
      <w:r>
        <w:rPr>
          <w:rFonts w:ascii="Arial" w:hAnsi="Arial"/>
          <w:sz w:val="24"/>
        </w:rPr>
        <w:t xml:space="preserve"> with the information needed to prepare accurate and timely labels.</w:t>
      </w:r>
    </w:p>
    <w:p w14:paraId="26706725" w14:textId="77777777" w:rsidR="00D156D3" w:rsidRDefault="00D156D3">
      <w:pPr>
        <w:rPr>
          <w:rFonts w:ascii="Arial" w:hAnsi="Arial"/>
          <w:sz w:val="24"/>
        </w:rPr>
      </w:pPr>
    </w:p>
    <w:p w14:paraId="4131BEBF" w14:textId="77777777" w:rsidR="00D156D3" w:rsidRDefault="0078651C">
      <w:pPr>
        <w:ind w:firstLine="720"/>
        <w:rPr>
          <w:rFonts w:ascii="Arial" w:hAnsi="Arial"/>
          <w:b/>
          <w:bCs/>
          <w:sz w:val="24"/>
        </w:rPr>
      </w:pPr>
      <w:r>
        <w:rPr>
          <w:rFonts w:ascii="Arial" w:hAnsi="Arial"/>
          <w:b/>
          <w:bCs/>
          <w:sz w:val="24"/>
        </w:rPr>
        <w:t>4.11</w:t>
      </w:r>
      <w:r>
        <w:rPr>
          <w:rFonts w:ascii="Arial" w:hAnsi="Arial"/>
          <w:b/>
          <w:bCs/>
          <w:sz w:val="24"/>
        </w:rPr>
        <w:tab/>
        <w:t>NMISA Requirements</w:t>
      </w:r>
    </w:p>
    <w:p w14:paraId="2C6F8A18" w14:textId="77777777" w:rsidR="00D156D3" w:rsidRDefault="00D156D3">
      <w:pPr>
        <w:ind w:firstLine="720"/>
        <w:rPr>
          <w:rFonts w:ascii="Arial" w:hAnsi="Arial"/>
          <w:b/>
          <w:bCs/>
          <w:sz w:val="24"/>
        </w:rPr>
      </w:pPr>
    </w:p>
    <w:p w14:paraId="4E1172FD" w14:textId="77777777" w:rsidR="00D156D3" w:rsidRDefault="0078651C">
      <w:pPr>
        <w:ind w:left="1440"/>
        <w:rPr>
          <w:rFonts w:ascii="Arial" w:hAnsi="Arial"/>
          <w:sz w:val="24"/>
        </w:rPr>
      </w:pPr>
      <w:r>
        <w:rPr>
          <w:rFonts w:ascii="Arial" w:hAnsi="Arial"/>
          <w:sz w:val="24"/>
        </w:rPr>
        <w:t xml:space="preserve">Standard offer provider must comply with all applicable NMISA requirements, (and those of any successor entity or entities), and shall be the designated load serving entity for the applicable standard offer load.  Standard offer provider must have all necessary NMISA designations, approvals and accounts at least 30 business days prior to </w:t>
      </w:r>
      <w:r w:rsidR="001E1293">
        <w:rPr>
          <w:rFonts w:ascii="Arial" w:hAnsi="Arial"/>
          <w:sz w:val="24"/>
        </w:rPr>
        <w:t>November 1, 2016</w:t>
      </w:r>
      <w:r>
        <w:rPr>
          <w:rFonts w:ascii="Arial" w:hAnsi="Arial"/>
          <w:sz w:val="24"/>
        </w:rPr>
        <w:t>.</w:t>
      </w:r>
    </w:p>
    <w:p w14:paraId="0E753D90" w14:textId="77777777" w:rsidR="00D156D3" w:rsidRDefault="00D156D3">
      <w:pPr>
        <w:ind w:left="1440"/>
        <w:rPr>
          <w:rFonts w:ascii="Arial" w:hAnsi="Arial"/>
          <w:sz w:val="24"/>
        </w:rPr>
      </w:pPr>
    </w:p>
    <w:p w14:paraId="42C77522" w14:textId="77777777" w:rsidR="00D156D3" w:rsidRDefault="00D156D3">
      <w:pPr>
        <w:ind w:left="1440"/>
        <w:rPr>
          <w:rFonts w:ascii="Arial" w:hAnsi="Arial"/>
          <w:sz w:val="24"/>
        </w:rPr>
      </w:pPr>
    </w:p>
    <w:p w14:paraId="78E57F8D" w14:textId="77777777" w:rsidR="00D156D3" w:rsidRDefault="0078651C">
      <w:pPr>
        <w:tabs>
          <w:tab w:val="left" w:pos="-360"/>
          <w:tab w:val="left" w:pos="720"/>
        </w:tabs>
        <w:rPr>
          <w:rFonts w:ascii="Arial" w:hAnsi="Arial"/>
          <w:b/>
          <w:bCs/>
          <w:sz w:val="24"/>
        </w:rPr>
      </w:pPr>
      <w:r>
        <w:rPr>
          <w:rFonts w:ascii="Arial" w:hAnsi="Arial"/>
          <w:sz w:val="24"/>
        </w:rPr>
        <w:tab/>
      </w:r>
      <w:r>
        <w:rPr>
          <w:rFonts w:ascii="Arial" w:hAnsi="Arial"/>
          <w:b/>
          <w:sz w:val="24"/>
        </w:rPr>
        <w:t>4</w:t>
      </w:r>
      <w:r>
        <w:rPr>
          <w:rFonts w:ascii="Arial" w:hAnsi="Arial"/>
          <w:b/>
          <w:bCs/>
          <w:sz w:val="24"/>
        </w:rPr>
        <w:t>.12</w:t>
      </w:r>
      <w:r>
        <w:rPr>
          <w:rFonts w:ascii="Arial" w:hAnsi="Arial"/>
          <w:b/>
          <w:bCs/>
          <w:sz w:val="24"/>
        </w:rPr>
        <w:tab/>
        <w:t>EBT</w:t>
      </w:r>
    </w:p>
    <w:p w14:paraId="175B3B23" w14:textId="77777777" w:rsidR="00D156D3" w:rsidRDefault="00D156D3">
      <w:pPr>
        <w:tabs>
          <w:tab w:val="left" w:pos="-360"/>
          <w:tab w:val="left" w:pos="540"/>
        </w:tabs>
        <w:rPr>
          <w:rFonts w:ascii="Arial" w:hAnsi="Arial"/>
          <w:b/>
          <w:bCs/>
          <w:sz w:val="24"/>
        </w:rPr>
      </w:pPr>
    </w:p>
    <w:p w14:paraId="21F86B62" w14:textId="77777777" w:rsidR="00D156D3" w:rsidRDefault="0078651C">
      <w:pPr>
        <w:tabs>
          <w:tab w:val="left" w:pos="-360"/>
          <w:tab w:val="left" w:pos="540"/>
        </w:tabs>
        <w:ind w:left="1440"/>
        <w:rPr>
          <w:rFonts w:ascii="Arial" w:hAnsi="Arial"/>
          <w:sz w:val="24"/>
        </w:rPr>
      </w:pPr>
      <w:r>
        <w:rPr>
          <w:rFonts w:ascii="Arial" w:hAnsi="Arial"/>
          <w:sz w:val="24"/>
        </w:rPr>
        <w:t xml:space="preserve">Standard offer provider must exchange data with </w:t>
      </w:r>
      <w:r w:rsidR="006408E6">
        <w:rPr>
          <w:rFonts w:ascii="Arial" w:hAnsi="Arial"/>
          <w:sz w:val="24"/>
        </w:rPr>
        <w:t>MPD</w:t>
      </w:r>
      <w:r>
        <w:rPr>
          <w:rFonts w:ascii="Arial" w:hAnsi="Arial"/>
          <w:sz w:val="24"/>
        </w:rPr>
        <w:t xml:space="preserve"> using the electronic business transactions (EBT) protocols and procedures contained in </w:t>
      </w:r>
      <w:smartTag w:uri="urn:schemas-microsoft-com:office:smarttags" w:element="place">
        <w:smartTag w:uri="urn:schemas-microsoft-com:office:smarttags" w:element="State">
          <w:r>
            <w:rPr>
              <w:rFonts w:ascii="Arial" w:hAnsi="Arial"/>
              <w:sz w:val="24"/>
            </w:rPr>
            <w:t>Maine</w:t>
          </w:r>
        </w:smartTag>
      </w:smartTag>
      <w:r>
        <w:rPr>
          <w:rFonts w:ascii="Arial" w:hAnsi="Arial"/>
          <w:sz w:val="24"/>
        </w:rPr>
        <w:t>’s EBT standards. The EBT standards are available from the Commission’s web site.</w:t>
      </w:r>
    </w:p>
    <w:p w14:paraId="523C54E2" w14:textId="77777777" w:rsidR="00D156D3" w:rsidRDefault="00D156D3">
      <w:pPr>
        <w:tabs>
          <w:tab w:val="left" w:pos="-360"/>
          <w:tab w:val="left" w:pos="540"/>
        </w:tabs>
        <w:ind w:left="1440"/>
        <w:rPr>
          <w:rFonts w:ascii="Arial" w:hAnsi="Arial"/>
          <w:sz w:val="24"/>
        </w:rPr>
      </w:pPr>
    </w:p>
    <w:p w14:paraId="6F914A79" w14:textId="77777777" w:rsidR="00D156D3" w:rsidRDefault="0078651C">
      <w:pPr>
        <w:tabs>
          <w:tab w:val="left" w:pos="-360"/>
          <w:tab w:val="left" w:pos="720"/>
        </w:tabs>
        <w:ind w:left="720"/>
        <w:rPr>
          <w:rFonts w:ascii="Arial" w:hAnsi="Arial"/>
          <w:sz w:val="24"/>
        </w:rPr>
      </w:pPr>
      <w:r>
        <w:rPr>
          <w:rFonts w:ascii="Arial" w:hAnsi="Arial"/>
          <w:b/>
          <w:bCs/>
          <w:sz w:val="24"/>
        </w:rPr>
        <w:t>4.13</w:t>
      </w:r>
      <w:r>
        <w:rPr>
          <w:rFonts w:ascii="Arial" w:hAnsi="Arial"/>
          <w:b/>
          <w:bCs/>
          <w:sz w:val="24"/>
        </w:rPr>
        <w:tab/>
        <w:t>Net Billing, Small Generator Aggregation</w:t>
      </w:r>
    </w:p>
    <w:p w14:paraId="33E30522" w14:textId="77777777" w:rsidR="00D156D3" w:rsidRDefault="00D156D3">
      <w:pPr>
        <w:tabs>
          <w:tab w:val="left" w:pos="-360"/>
          <w:tab w:val="left" w:pos="540"/>
        </w:tabs>
        <w:rPr>
          <w:rFonts w:ascii="Arial" w:hAnsi="Arial"/>
          <w:sz w:val="24"/>
        </w:rPr>
      </w:pPr>
    </w:p>
    <w:p w14:paraId="2748C8E3" w14:textId="523B922E" w:rsidR="00D156D3" w:rsidRDefault="0078651C">
      <w:pPr>
        <w:tabs>
          <w:tab w:val="left" w:pos="-360"/>
          <w:tab w:val="left" w:pos="540"/>
        </w:tabs>
        <w:ind w:left="1440"/>
        <w:rPr>
          <w:rFonts w:ascii="Arial" w:hAnsi="Arial"/>
          <w:sz w:val="24"/>
        </w:rPr>
      </w:pPr>
      <w:r>
        <w:rPr>
          <w:rFonts w:ascii="Arial" w:hAnsi="Arial"/>
          <w:sz w:val="24"/>
        </w:rPr>
        <w:t xml:space="preserve">Standard offer provider must comply with the net billing requirements of Chapter 313 of the Commission’s Rules.  Specific information on net billing can be obtained from </w:t>
      </w:r>
      <w:r w:rsidR="006408E6">
        <w:rPr>
          <w:rFonts w:ascii="Arial" w:hAnsi="Arial"/>
          <w:sz w:val="24"/>
        </w:rPr>
        <w:t>MPD</w:t>
      </w:r>
      <w:r>
        <w:rPr>
          <w:rFonts w:ascii="Arial" w:hAnsi="Arial"/>
          <w:sz w:val="24"/>
        </w:rPr>
        <w:t xml:space="preserve">.  </w:t>
      </w:r>
    </w:p>
    <w:p w14:paraId="2E4F76A5" w14:textId="77777777" w:rsidR="00D156D3" w:rsidRDefault="00D156D3">
      <w:pPr>
        <w:tabs>
          <w:tab w:val="left" w:pos="-360"/>
          <w:tab w:val="left" w:pos="540"/>
        </w:tabs>
        <w:ind w:left="1440"/>
        <w:rPr>
          <w:rFonts w:ascii="Arial" w:hAnsi="Arial"/>
          <w:sz w:val="24"/>
        </w:rPr>
      </w:pPr>
    </w:p>
    <w:p w14:paraId="39876B0A" w14:textId="77777777" w:rsidR="00D156D3" w:rsidRDefault="0078651C">
      <w:pPr>
        <w:tabs>
          <w:tab w:val="left" w:pos="-360"/>
          <w:tab w:val="left" w:pos="540"/>
        </w:tabs>
        <w:ind w:left="1440"/>
        <w:rPr>
          <w:rFonts w:ascii="Arial" w:hAnsi="Arial"/>
          <w:sz w:val="24"/>
        </w:rPr>
      </w:pPr>
      <w:r>
        <w:rPr>
          <w:rFonts w:ascii="Arial" w:hAnsi="Arial"/>
          <w:sz w:val="24"/>
        </w:rPr>
        <w:t xml:space="preserve">Standard offer provider must comply with the requirements of Chapter 315 of the Commission’s Rules.  This rule requires standard offer providers to purchase the aggregated output of generators in </w:t>
      </w:r>
      <w:r w:rsidR="006408E6">
        <w:rPr>
          <w:rFonts w:ascii="Arial" w:hAnsi="Arial"/>
          <w:sz w:val="24"/>
        </w:rPr>
        <w:t>MPD</w:t>
      </w:r>
      <w:r>
        <w:rPr>
          <w:rFonts w:ascii="Arial" w:hAnsi="Arial"/>
          <w:sz w:val="24"/>
        </w:rPr>
        <w:t>’s service territory with a capacity of 5 MW or less at applicable clearing prices such that the standard offer provider is financially neutral to the transaction.  If there are multiple standard offer providers for this class, the output and corresponding purchase obligation will be allocated in proportion to each provider’s load obligation.</w:t>
      </w:r>
    </w:p>
    <w:p w14:paraId="1B2222F8" w14:textId="77777777" w:rsidR="002B2A88" w:rsidRDefault="002B2A88">
      <w:pPr>
        <w:tabs>
          <w:tab w:val="left" w:pos="-360"/>
          <w:tab w:val="left" w:pos="540"/>
        </w:tabs>
        <w:ind w:left="1440"/>
        <w:rPr>
          <w:rFonts w:ascii="Arial" w:hAnsi="Arial"/>
          <w:sz w:val="24"/>
        </w:rPr>
      </w:pPr>
    </w:p>
    <w:p w14:paraId="45BA8242" w14:textId="77777777" w:rsidR="00D156D3" w:rsidRDefault="00D156D3">
      <w:pPr>
        <w:tabs>
          <w:tab w:val="left" w:pos="-360"/>
          <w:tab w:val="left" w:pos="540"/>
        </w:tabs>
        <w:rPr>
          <w:rFonts w:ascii="Arial" w:hAnsi="Arial"/>
          <w:sz w:val="24"/>
        </w:rPr>
      </w:pPr>
    </w:p>
    <w:p w14:paraId="1F23F3C6" w14:textId="77777777" w:rsidR="00D156D3" w:rsidRDefault="0078651C">
      <w:pPr>
        <w:rPr>
          <w:rFonts w:ascii="Arial" w:hAnsi="Arial"/>
          <w:b/>
          <w:sz w:val="24"/>
        </w:rPr>
      </w:pPr>
      <w:r>
        <w:rPr>
          <w:rFonts w:ascii="Arial" w:hAnsi="Arial"/>
          <w:b/>
          <w:sz w:val="24"/>
        </w:rPr>
        <w:t>5.</w:t>
      </w:r>
      <w:r>
        <w:rPr>
          <w:rFonts w:ascii="Arial" w:hAnsi="Arial"/>
          <w:b/>
          <w:sz w:val="24"/>
        </w:rPr>
        <w:tab/>
        <w:t>BILLING AND PAYMENT</w:t>
      </w:r>
    </w:p>
    <w:p w14:paraId="414BA595" w14:textId="77777777" w:rsidR="00D156D3" w:rsidRDefault="00D156D3">
      <w:pPr>
        <w:rPr>
          <w:rFonts w:ascii="Arial" w:hAnsi="Arial"/>
          <w:b/>
          <w:sz w:val="24"/>
        </w:rPr>
      </w:pPr>
    </w:p>
    <w:p w14:paraId="0E1C16E1" w14:textId="77777777" w:rsidR="00D156D3" w:rsidRDefault="0078651C">
      <w:pPr>
        <w:rPr>
          <w:rFonts w:ascii="Arial" w:hAnsi="Arial"/>
          <w:b/>
          <w:sz w:val="24"/>
        </w:rPr>
      </w:pPr>
      <w:r>
        <w:rPr>
          <w:rFonts w:ascii="Arial" w:hAnsi="Arial"/>
          <w:b/>
          <w:sz w:val="24"/>
        </w:rPr>
        <w:tab/>
        <w:t>5.1</w:t>
      </w:r>
      <w:r>
        <w:rPr>
          <w:rFonts w:ascii="Arial" w:hAnsi="Arial"/>
          <w:b/>
          <w:sz w:val="24"/>
        </w:rPr>
        <w:tab/>
        <w:t>Allocation of Uncollectible Accounts</w:t>
      </w:r>
    </w:p>
    <w:p w14:paraId="66A66FBB" w14:textId="77777777" w:rsidR="00D156D3" w:rsidRDefault="00D156D3">
      <w:pPr>
        <w:rPr>
          <w:rFonts w:ascii="Arial" w:hAnsi="Arial"/>
          <w:b/>
          <w:sz w:val="24"/>
        </w:rPr>
      </w:pPr>
    </w:p>
    <w:p w14:paraId="1A194967" w14:textId="325D9EE0" w:rsidR="00D156D3" w:rsidRDefault="0078651C">
      <w:pPr>
        <w:ind w:left="1440"/>
        <w:rPr>
          <w:rFonts w:ascii="Arial" w:hAnsi="Arial"/>
          <w:b/>
          <w:bCs/>
          <w:snapToGrid w:val="0"/>
          <w:sz w:val="24"/>
        </w:rPr>
      </w:pPr>
      <w:r>
        <w:rPr>
          <w:rFonts w:ascii="Arial" w:hAnsi="Arial"/>
          <w:snapToGrid w:val="0"/>
          <w:sz w:val="24"/>
        </w:rPr>
        <w:t xml:space="preserve">Standard offer providers are allocated a fixed percentage amount for expected uncollectible standard offer revenue in accordance with the Service Agreement. The uncollectible percentage is specified in Exhibit A to the Standard Offer Provider Agreement (Appendix C) and will remain fixed for the provider’s term of service. </w:t>
      </w:r>
      <w:r w:rsidR="0054586F">
        <w:rPr>
          <w:rFonts w:ascii="Arial" w:hAnsi="Arial"/>
          <w:snapToGrid w:val="0"/>
          <w:sz w:val="24"/>
        </w:rPr>
        <w:t xml:space="preserve"> The uncollectible percentages specified in Exhibit A are subject to revision if a multiple-year term is selected.</w:t>
      </w:r>
    </w:p>
    <w:p w14:paraId="5721C08B" w14:textId="77777777" w:rsidR="00D156D3" w:rsidRDefault="00D156D3">
      <w:pPr>
        <w:numPr>
          <w:ilvl w:val="12"/>
          <w:numId w:val="0"/>
        </w:numPr>
        <w:rPr>
          <w:rFonts w:ascii="Arial" w:hAnsi="Arial"/>
          <w:sz w:val="24"/>
        </w:rPr>
      </w:pPr>
    </w:p>
    <w:p w14:paraId="44E48351" w14:textId="77777777" w:rsidR="00D156D3" w:rsidRDefault="0078651C">
      <w:pPr>
        <w:pStyle w:val="BodyTextIndent3"/>
        <w:spacing w:after="0"/>
        <w:ind w:left="720"/>
        <w:jc w:val="left"/>
        <w:rPr>
          <w:b/>
          <w:sz w:val="24"/>
        </w:rPr>
      </w:pPr>
      <w:r>
        <w:rPr>
          <w:b/>
          <w:sz w:val="24"/>
        </w:rPr>
        <w:t>5.2</w:t>
      </w:r>
      <w:r>
        <w:rPr>
          <w:b/>
          <w:sz w:val="24"/>
        </w:rPr>
        <w:tab/>
        <w:t>Payments for Standard Offer Service</w:t>
      </w:r>
    </w:p>
    <w:p w14:paraId="0D8E86B5" w14:textId="77777777" w:rsidR="00D156D3" w:rsidRDefault="00D156D3">
      <w:pPr>
        <w:pStyle w:val="BodyTextIndent3"/>
        <w:spacing w:after="0"/>
        <w:jc w:val="left"/>
        <w:rPr>
          <w:sz w:val="24"/>
        </w:rPr>
      </w:pPr>
    </w:p>
    <w:p w14:paraId="2FD27DC9" w14:textId="77777777" w:rsidR="00D156D3" w:rsidRDefault="006408E6">
      <w:pPr>
        <w:pStyle w:val="BodyTextIndent3"/>
        <w:spacing w:after="0"/>
        <w:jc w:val="left"/>
        <w:rPr>
          <w:sz w:val="24"/>
        </w:rPr>
      </w:pPr>
      <w:r>
        <w:rPr>
          <w:sz w:val="24"/>
        </w:rPr>
        <w:t>MPD</w:t>
      </w:r>
      <w:r w:rsidR="0078651C">
        <w:rPr>
          <w:sz w:val="24"/>
        </w:rPr>
        <w:t xml:space="preserve"> will issue bills and receive payments from customers for standard offer service and will transfer funds to the standard offer provider in accordance with the Service Agreement.</w:t>
      </w:r>
    </w:p>
    <w:p w14:paraId="39304C0E" w14:textId="77777777" w:rsidR="00D156D3" w:rsidRDefault="00D156D3">
      <w:pPr>
        <w:pStyle w:val="BodyTextIndent3"/>
        <w:spacing w:after="0"/>
        <w:jc w:val="left"/>
        <w:rPr>
          <w:sz w:val="24"/>
        </w:rPr>
      </w:pPr>
    </w:p>
    <w:p w14:paraId="0CE28C3B" w14:textId="77777777" w:rsidR="00D156D3" w:rsidRDefault="0078651C">
      <w:pPr>
        <w:pStyle w:val="BodyTextIndent3"/>
        <w:spacing w:after="0"/>
        <w:jc w:val="left"/>
        <w:rPr>
          <w:b/>
          <w:sz w:val="24"/>
        </w:rPr>
      </w:pPr>
      <w:r>
        <w:rPr>
          <w:sz w:val="24"/>
        </w:rPr>
        <w:t>Standard offer provider will receive gross revenues less uncollectible revenues for the applicable standard offer sales.  Gross revenues are the product of the provider’s accepted bid price times the applicable kilowatt and/or kilowatt</w:t>
      </w:r>
      <w:r>
        <w:rPr>
          <w:sz w:val="24"/>
        </w:rPr>
        <w:noBreakHyphen/>
        <w:t xml:space="preserve">hour sales.  Uncollectible revenues are the product of the applicable uncollectible percent times gross revenues. </w:t>
      </w:r>
    </w:p>
    <w:p w14:paraId="6A2A706C" w14:textId="77777777" w:rsidR="00D156D3" w:rsidRDefault="00D156D3">
      <w:pPr>
        <w:pStyle w:val="BodyTextIndent3"/>
        <w:spacing w:after="0"/>
        <w:ind w:left="0"/>
        <w:jc w:val="left"/>
        <w:rPr>
          <w:b/>
          <w:sz w:val="24"/>
        </w:rPr>
      </w:pPr>
    </w:p>
    <w:p w14:paraId="7927D9E4" w14:textId="77777777" w:rsidR="00D156D3" w:rsidRDefault="0078651C">
      <w:pPr>
        <w:pStyle w:val="BodyTextIndent3"/>
        <w:spacing w:after="0"/>
        <w:ind w:left="0"/>
        <w:jc w:val="left"/>
        <w:rPr>
          <w:b/>
          <w:sz w:val="24"/>
        </w:rPr>
      </w:pPr>
      <w:r>
        <w:rPr>
          <w:b/>
          <w:sz w:val="24"/>
        </w:rPr>
        <w:t>6.</w:t>
      </w:r>
      <w:r>
        <w:rPr>
          <w:b/>
          <w:sz w:val="24"/>
        </w:rPr>
        <w:tab/>
        <w:t>STANDARD OFFER PROVIDER LEGAL OBLIGATIONS</w:t>
      </w:r>
    </w:p>
    <w:p w14:paraId="08DEE6EF" w14:textId="77777777" w:rsidR="00D156D3" w:rsidRDefault="00D156D3">
      <w:pPr>
        <w:pStyle w:val="BodyTextIndent3"/>
        <w:spacing w:after="0"/>
        <w:ind w:left="0"/>
        <w:jc w:val="left"/>
        <w:rPr>
          <w:sz w:val="24"/>
        </w:rPr>
      </w:pPr>
    </w:p>
    <w:p w14:paraId="6A4E0FE6" w14:textId="77777777" w:rsidR="00D156D3" w:rsidRDefault="0078651C">
      <w:pPr>
        <w:pStyle w:val="BodyTextIndent3"/>
        <w:spacing w:after="0"/>
        <w:ind w:left="720"/>
        <w:jc w:val="left"/>
        <w:rPr>
          <w:sz w:val="24"/>
        </w:rPr>
      </w:pPr>
      <w:r>
        <w:rPr>
          <w:b/>
          <w:sz w:val="24"/>
        </w:rPr>
        <w:t>6.1</w:t>
      </w:r>
      <w:r>
        <w:rPr>
          <w:b/>
          <w:sz w:val="24"/>
        </w:rPr>
        <w:tab/>
        <w:t>Legal Obligations and Responsibilities</w:t>
      </w:r>
    </w:p>
    <w:p w14:paraId="4FC4E9C8" w14:textId="77777777" w:rsidR="00D156D3" w:rsidRDefault="00D156D3">
      <w:pPr>
        <w:pStyle w:val="BodyTextIndent3"/>
        <w:tabs>
          <w:tab w:val="left" w:pos="-1080"/>
          <w:tab w:val="left" w:pos="0"/>
        </w:tabs>
        <w:spacing w:after="0"/>
        <w:jc w:val="left"/>
        <w:rPr>
          <w:sz w:val="24"/>
        </w:rPr>
      </w:pPr>
    </w:p>
    <w:p w14:paraId="504987D4" w14:textId="77777777" w:rsidR="00D156D3" w:rsidRDefault="0078651C">
      <w:pPr>
        <w:pStyle w:val="BodyTextIndent3"/>
        <w:tabs>
          <w:tab w:val="left" w:pos="-1080"/>
          <w:tab w:val="left" w:pos="0"/>
        </w:tabs>
        <w:spacing w:after="0"/>
        <w:jc w:val="left"/>
        <w:rPr>
          <w:sz w:val="24"/>
        </w:rPr>
      </w:pPr>
      <w:r>
        <w:rPr>
          <w:sz w:val="24"/>
        </w:rPr>
        <w:t xml:space="preserve">Designation by Commission Order of a bidder as a standard offer provider legally obligates the bidder to provide standard offer service at the offered and accepted prices and terms in accordance with </w:t>
      </w:r>
      <w:smartTag w:uri="urn:schemas-microsoft-com:office:smarttags" w:element="place">
        <w:smartTag w:uri="urn:schemas-microsoft-com:office:smarttags" w:element="State">
          <w:r>
            <w:rPr>
              <w:sz w:val="24"/>
            </w:rPr>
            <w:t>Maine</w:t>
          </w:r>
        </w:smartTag>
      </w:smartTag>
      <w:r>
        <w:rPr>
          <w:sz w:val="24"/>
        </w:rPr>
        <w:t xml:space="preserve"> law and regulations and the provisions of this RFP.</w:t>
      </w:r>
    </w:p>
    <w:p w14:paraId="2FECB89E" w14:textId="77777777" w:rsidR="00D156D3" w:rsidRDefault="00D156D3">
      <w:pPr>
        <w:pStyle w:val="BodyTextIndent3"/>
        <w:tabs>
          <w:tab w:val="left" w:pos="-1080"/>
          <w:tab w:val="left" w:pos="0"/>
        </w:tabs>
        <w:spacing w:after="0"/>
        <w:jc w:val="left"/>
        <w:rPr>
          <w:sz w:val="24"/>
        </w:rPr>
      </w:pPr>
    </w:p>
    <w:p w14:paraId="27734EC1" w14:textId="77777777" w:rsidR="00D156D3" w:rsidRDefault="0078651C">
      <w:pPr>
        <w:pStyle w:val="BodyTextIndent3"/>
        <w:spacing w:after="0"/>
        <w:ind w:left="720"/>
        <w:jc w:val="left"/>
        <w:rPr>
          <w:sz w:val="24"/>
        </w:rPr>
      </w:pPr>
      <w:r>
        <w:rPr>
          <w:b/>
          <w:sz w:val="24"/>
        </w:rPr>
        <w:t>6.2</w:t>
      </w:r>
      <w:r>
        <w:rPr>
          <w:b/>
          <w:sz w:val="24"/>
        </w:rPr>
        <w:tab/>
        <w:t>Standard Offer Provider Default</w:t>
      </w:r>
    </w:p>
    <w:p w14:paraId="0DA11549" w14:textId="77777777" w:rsidR="00D156D3" w:rsidRDefault="00D156D3">
      <w:pPr>
        <w:pStyle w:val="BodyTextIndent3"/>
        <w:spacing w:after="0"/>
        <w:jc w:val="left"/>
        <w:rPr>
          <w:sz w:val="24"/>
        </w:rPr>
      </w:pPr>
    </w:p>
    <w:p w14:paraId="77BA5CD2" w14:textId="77777777" w:rsidR="00D156D3" w:rsidRDefault="0078651C">
      <w:pPr>
        <w:pStyle w:val="BodyTextIndent3"/>
        <w:spacing w:after="0"/>
        <w:jc w:val="left"/>
        <w:rPr>
          <w:sz w:val="24"/>
        </w:rPr>
      </w:pPr>
      <w:r>
        <w:rPr>
          <w:sz w:val="24"/>
        </w:rPr>
        <w:t xml:space="preserve">Upon a determination that a standard offer provider has failed to provide service as required or has otherwise failed to fulfill its standard offer obligations, the Commission may declare such provider to be in default.  If the Commission declares a standard offer provider to be in default, the Commission will take one or more actions specified in section 9 of Chapter 301. </w:t>
      </w:r>
    </w:p>
    <w:p w14:paraId="4387D32F" w14:textId="77777777" w:rsidR="00D156D3" w:rsidRDefault="00D156D3">
      <w:pPr>
        <w:pStyle w:val="BodyTextIndent3"/>
        <w:spacing w:after="0"/>
        <w:jc w:val="left"/>
        <w:rPr>
          <w:sz w:val="24"/>
        </w:rPr>
      </w:pPr>
    </w:p>
    <w:p w14:paraId="4CBD8552" w14:textId="77777777" w:rsidR="00D156D3" w:rsidRDefault="0078651C">
      <w:pPr>
        <w:pStyle w:val="BodyTextIndent3"/>
        <w:spacing w:after="0"/>
        <w:jc w:val="left"/>
        <w:rPr>
          <w:sz w:val="24"/>
        </w:rPr>
      </w:pPr>
      <w:r>
        <w:rPr>
          <w:sz w:val="24"/>
        </w:rPr>
        <w:t xml:space="preserve">The defaulting standard offer provider shall be responsible for and obligated to pay the additional costs of replacement standard offer service.  </w:t>
      </w:r>
      <w:r>
        <w:rPr>
          <w:sz w:val="24"/>
        </w:rPr>
        <w:lastRenderedPageBreak/>
        <w:t>As described in section 3 of Chapter 301, additional costs of replacement standard offer service are all costs that are incurred or will be incurred to acquire replacement standard offer service, including supply, administrative and enforcement costs, through the remaining standard offer term that exceed the amounts paid or to be paid by standard offer customers at the standard offer rates in effect at the time of the Commission’s declaration of a standard offer provider’s default.   The Commission shall determine the amount of the additional costs of replacement standard offer service and order the defaulting standard offer provider to pay that amount.</w:t>
      </w:r>
    </w:p>
    <w:p w14:paraId="1DB06D10" w14:textId="77777777" w:rsidR="00D156D3" w:rsidRDefault="00D156D3">
      <w:pPr>
        <w:pStyle w:val="BodyTextIndent3"/>
        <w:spacing w:after="0"/>
        <w:jc w:val="left"/>
        <w:rPr>
          <w:sz w:val="24"/>
        </w:rPr>
      </w:pPr>
    </w:p>
    <w:p w14:paraId="1454C33A" w14:textId="77777777" w:rsidR="00D156D3" w:rsidRDefault="0078651C">
      <w:pPr>
        <w:pStyle w:val="BodyTextIndent3"/>
        <w:spacing w:after="0"/>
        <w:jc w:val="left"/>
        <w:rPr>
          <w:sz w:val="24"/>
        </w:rPr>
      </w:pPr>
      <w:r>
        <w:rPr>
          <w:sz w:val="24"/>
        </w:rPr>
        <w:t xml:space="preserve">If the Commission declares a standard offer provider to be in default and there are additional costs of replacement standard offer service, it may direct </w:t>
      </w:r>
      <w:r w:rsidR="006408E6">
        <w:rPr>
          <w:sz w:val="24"/>
        </w:rPr>
        <w:t>MPD</w:t>
      </w:r>
      <w:r>
        <w:rPr>
          <w:sz w:val="24"/>
        </w:rPr>
        <w:t xml:space="preserve"> to (1) withhold any payments due to the defaulting standard offer provider and use those amounts to cover additional costs of replacement standard offer service; and (2) use amounts from the financial security provided by or on behalf of the defaulting standard offer provider to cover the additional costs of replacement standard offer service.</w:t>
      </w:r>
    </w:p>
    <w:p w14:paraId="12D23555" w14:textId="77777777" w:rsidR="00D156D3" w:rsidRDefault="00D156D3">
      <w:pPr>
        <w:pStyle w:val="BodyTextIndent3"/>
        <w:spacing w:after="0"/>
        <w:jc w:val="left"/>
        <w:rPr>
          <w:sz w:val="24"/>
        </w:rPr>
      </w:pPr>
    </w:p>
    <w:p w14:paraId="2554A644" w14:textId="77777777" w:rsidR="00D156D3" w:rsidRDefault="0078651C">
      <w:pPr>
        <w:pStyle w:val="BodyTextIndent3"/>
        <w:spacing w:after="0"/>
        <w:jc w:val="left"/>
        <w:rPr>
          <w:sz w:val="24"/>
        </w:rPr>
      </w:pPr>
      <w:r>
        <w:rPr>
          <w:sz w:val="24"/>
        </w:rPr>
        <w:t xml:space="preserve">In the event that the defaulting standard offer provider fails to pay the additional costs of replacement standard offer service as ordered by the Commission and the amounts obtained by </w:t>
      </w:r>
      <w:r w:rsidR="006408E6">
        <w:rPr>
          <w:sz w:val="24"/>
        </w:rPr>
        <w:t>MPD</w:t>
      </w:r>
      <w:r>
        <w:rPr>
          <w:sz w:val="24"/>
        </w:rPr>
        <w:t xml:space="preserve"> from the financial security are not sufficient to cover the additional costs of replacement standard offer service, the Commission or Maine’s Attorney General may bring legal action in Maine courts to fully recover these amounts.</w:t>
      </w:r>
    </w:p>
    <w:p w14:paraId="3B7B54DF" w14:textId="77777777" w:rsidR="00D156D3" w:rsidRDefault="00D156D3">
      <w:pPr>
        <w:pStyle w:val="BodyTextIndent3"/>
        <w:spacing w:after="0"/>
        <w:ind w:left="0"/>
        <w:jc w:val="left"/>
        <w:rPr>
          <w:b/>
          <w:caps/>
          <w:sz w:val="24"/>
          <w:szCs w:val="24"/>
        </w:rPr>
      </w:pPr>
    </w:p>
    <w:p w14:paraId="0573C482" w14:textId="77777777" w:rsidR="00D156D3" w:rsidRDefault="00D156D3">
      <w:pPr>
        <w:pStyle w:val="BodyTextIndent3"/>
        <w:spacing w:after="0"/>
        <w:ind w:left="0"/>
        <w:jc w:val="left"/>
        <w:rPr>
          <w:b/>
          <w:caps/>
          <w:sz w:val="24"/>
          <w:szCs w:val="24"/>
        </w:rPr>
      </w:pPr>
    </w:p>
    <w:p w14:paraId="45466C5E" w14:textId="77777777" w:rsidR="00D156D3" w:rsidRDefault="0078651C">
      <w:pPr>
        <w:pStyle w:val="BodyTextIndent3"/>
        <w:spacing w:after="0"/>
        <w:ind w:left="0"/>
        <w:jc w:val="left"/>
        <w:rPr>
          <w:b/>
          <w:caps/>
          <w:sz w:val="24"/>
          <w:szCs w:val="24"/>
        </w:rPr>
      </w:pPr>
      <w:r>
        <w:rPr>
          <w:b/>
          <w:caps/>
          <w:sz w:val="24"/>
          <w:szCs w:val="24"/>
        </w:rPr>
        <w:t xml:space="preserve">7. </w:t>
      </w:r>
      <w:r>
        <w:rPr>
          <w:b/>
          <w:caps/>
          <w:sz w:val="24"/>
          <w:szCs w:val="24"/>
        </w:rPr>
        <w:tab/>
        <w:t>Other RFP Provisions</w:t>
      </w:r>
    </w:p>
    <w:p w14:paraId="39B83461" w14:textId="77777777" w:rsidR="00D156D3" w:rsidRDefault="00D156D3">
      <w:pPr>
        <w:pStyle w:val="BodyTextIndent3"/>
        <w:spacing w:after="0"/>
        <w:ind w:left="0"/>
        <w:jc w:val="left"/>
        <w:rPr>
          <w:sz w:val="24"/>
        </w:rPr>
      </w:pPr>
    </w:p>
    <w:p w14:paraId="6ABE4C18" w14:textId="77777777" w:rsidR="00D156D3" w:rsidRDefault="0078651C">
      <w:pPr>
        <w:spacing w:after="240"/>
        <w:ind w:firstLine="720"/>
        <w:jc w:val="both"/>
        <w:rPr>
          <w:rFonts w:ascii="Arial" w:hAnsi="Arial"/>
          <w:b/>
          <w:sz w:val="24"/>
        </w:rPr>
      </w:pPr>
      <w:r>
        <w:rPr>
          <w:rFonts w:ascii="Arial" w:hAnsi="Arial"/>
          <w:b/>
          <w:sz w:val="24"/>
        </w:rPr>
        <w:t>7.1</w:t>
      </w:r>
      <w:r>
        <w:rPr>
          <w:rFonts w:ascii="Arial" w:hAnsi="Arial"/>
          <w:b/>
          <w:sz w:val="24"/>
        </w:rPr>
        <w:tab/>
        <w:t>Proprietary Information</w:t>
      </w:r>
    </w:p>
    <w:p w14:paraId="217A3346" w14:textId="77777777" w:rsidR="00D156D3" w:rsidRDefault="0078651C">
      <w:pPr>
        <w:pStyle w:val="BodyTextIndent3"/>
        <w:numPr>
          <w:ilvl w:val="12"/>
          <w:numId w:val="0"/>
        </w:numPr>
        <w:spacing w:after="0"/>
        <w:ind w:left="1440"/>
        <w:jc w:val="left"/>
        <w:rPr>
          <w:sz w:val="24"/>
        </w:rPr>
      </w:pPr>
      <w:r>
        <w:rPr>
          <w:sz w:val="24"/>
        </w:rPr>
        <w:t>A bidder may designate information included in its proposal as proprietary or confidential information. The Commission will take every reasonable step, consistent with law, to protect information that is clearly identified as proprietary or confidential on the page on which it appears.  The identity of bidders selected to provide standard offer service, winning bid prices and standard offer prices will be public information.</w:t>
      </w:r>
    </w:p>
    <w:p w14:paraId="680DD640" w14:textId="77777777" w:rsidR="00D156D3" w:rsidRDefault="00D156D3">
      <w:pPr>
        <w:pStyle w:val="BodyTextIndent3"/>
        <w:numPr>
          <w:ilvl w:val="12"/>
          <w:numId w:val="0"/>
        </w:numPr>
        <w:spacing w:after="0"/>
        <w:ind w:left="1440"/>
        <w:jc w:val="left"/>
        <w:rPr>
          <w:sz w:val="24"/>
        </w:rPr>
      </w:pPr>
    </w:p>
    <w:p w14:paraId="75E13C93" w14:textId="77777777" w:rsidR="00D156D3" w:rsidRDefault="0078651C">
      <w:pPr>
        <w:tabs>
          <w:tab w:val="left" w:pos="90"/>
        </w:tabs>
        <w:ind w:left="720"/>
        <w:jc w:val="both"/>
        <w:rPr>
          <w:rFonts w:ascii="Arial" w:hAnsi="Arial"/>
          <w:b/>
          <w:sz w:val="24"/>
        </w:rPr>
      </w:pPr>
      <w:r>
        <w:rPr>
          <w:rFonts w:ascii="Arial" w:hAnsi="Arial"/>
          <w:b/>
          <w:sz w:val="24"/>
        </w:rPr>
        <w:t>7.2</w:t>
      </w:r>
      <w:r>
        <w:rPr>
          <w:rFonts w:ascii="Arial" w:hAnsi="Arial"/>
          <w:b/>
          <w:sz w:val="24"/>
        </w:rPr>
        <w:tab/>
        <w:t>Proposal Costs</w:t>
      </w:r>
    </w:p>
    <w:p w14:paraId="5CDDBFBF" w14:textId="77777777" w:rsidR="00D156D3" w:rsidRDefault="00D156D3">
      <w:pPr>
        <w:ind w:left="720"/>
        <w:jc w:val="both"/>
        <w:rPr>
          <w:rFonts w:ascii="Arial" w:hAnsi="Arial"/>
          <w:b/>
          <w:sz w:val="24"/>
        </w:rPr>
      </w:pPr>
    </w:p>
    <w:p w14:paraId="4211F567" w14:textId="77777777" w:rsidR="00D156D3" w:rsidRDefault="0078651C">
      <w:pPr>
        <w:pStyle w:val="BodyTextIndent3"/>
        <w:numPr>
          <w:ilvl w:val="12"/>
          <w:numId w:val="0"/>
        </w:numPr>
        <w:spacing w:after="0"/>
        <w:ind w:left="1440"/>
        <w:jc w:val="left"/>
        <w:rPr>
          <w:sz w:val="24"/>
        </w:rPr>
      </w:pPr>
      <w:r>
        <w:rPr>
          <w:sz w:val="24"/>
        </w:rPr>
        <w:t>All costs associated with developing or submitting a proposal in response to this RFP and providing oral or written clarification of its contents are borne by bidder.</w:t>
      </w:r>
    </w:p>
    <w:p w14:paraId="4600434A" w14:textId="77777777" w:rsidR="00D156D3" w:rsidRDefault="00D156D3">
      <w:pPr>
        <w:pStyle w:val="BodyTextIndent3"/>
        <w:numPr>
          <w:ilvl w:val="12"/>
          <w:numId w:val="0"/>
        </w:numPr>
        <w:spacing w:after="0"/>
        <w:ind w:left="1440"/>
        <w:jc w:val="left"/>
        <w:rPr>
          <w:sz w:val="24"/>
        </w:rPr>
      </w:pPr>
    </w:p>
    <w:p w14:paraId="132243AE" w14:textId="77777777" w:rsidR="00D156D3" w:rsidRDefault="0078651C">
      <w:pPr>
        <w:pStyle w:val="Heading2"/>
        <w:numPr>
          <w:ilvl w:val="0"/>
          <w:numId w:val="0"/>
        </w:numPr>
        <w:ind w:left="720"/>
        <w:jc w:val="left"/>
        <w:rPr>
          <w:sz w:val="24"/>
        </w:rPr>
      </w:pPr>
      <w:r>
        <w:rPr>
          <w:sz w:val="24"/>
        </w:rPr>
        <w:t>7.3</w:t>
      </w:r>
      <w:r>
        <w:rPr>
          <w:sz w:val="24"/>
        </w:rPr>
        <w:tab/>
        <w:t>Rights of the Commission</w:t>
      </w:r>
    </w:p>
    <w:p w14:paraId="248B1CDD" w14:textId="77777777" w:rsidR="00D156D3" w:rsidRDefault="00D156D3">
      <w:pPr>
        <w:pStyle w:val="BodyTextIndent3"/>
        <w:spacing w:after="0"/>
        <w:ind w:left="720" w:firstLine="720"/>
        <w:jc w:val="left"/>
        <w:rPr>
          <w:sz w:val="24"/>
        </w:rPr>
      </w:pPr>
    </w:p>
    <w:p w14:paraId="07DF1C09" w14:textId="77777777" w:rsidR="00D156D3" w:rsidRDefault="0078651C">
      <w:pPr>
        <w:pStyle w:val="BodyTextIndent3"/>
        <w:spacing w:after="0"/>
        <w:jc w:val="left"/>
        <w:rPr>
          <w:sz w:val="24"/>
        </w:rPr>
      </w:pPr>
      <w:r>
        <w:rPr>
          <w:sz w:val="24"/>
        </w:rPr>
        <w:lastRenderedPageBreak/>
        <w:t xml:space="preserve">The Commission reserves the right to reject all proposals received in response to this RFP if in its sole determination the bid prices are unreasonably high and acceptance would not be in the public interest.  In this situation, the Commission may at its sole discretion terminate the RFP and initiate a new selection process.  </w:t>
      </w:r>
    </w:p>
    <w:p w14:paraId="15433F44" w14:textId="77777777" w:rsidR="00D156D3" w:rsidRDefault="00D156D3">
      <w:pPr>
        <w:pStyle w:val="BodyTextIndent3"/>
        <w:spacing w:after="0"/>
        <w:jc w:val="left"/>
        <w:rPr>
          <w:sz w:val="24"/>
        </w:rPr>
      </w:pPr>
    </w:p>
    <w:p w14:paraId="4FDEDDCE" w14:textId="77777777" w:rsidR="00D156D3" w:rsidRDefault="0078651C">
      <w:pPr>
        <w:pStyle w:val="BodyTextIndent3"/>
        <w:spacing w:after="0"/>
        <w:jc w:val="left"/>
        <w:rPr>
          <w:sz w:val="24"/>
        </w:rPr>
      </w:pPr>
      <w:r>
        <w:rPr>
          <w:sz w:val="24"/>
        </w:rPr>
        <w:t xml:space="preserve">The Commission reserves the right to reject any proposal that in its sole determination does not meet the requirements and specifications of this RFP, the Commission’s rules, </w:t>
      </w:r>
      <w:smartTag w:uri="urn:schemas-microsoft-com:office:smarttags" w:element="place">
        <w:smartTag w:uri="urn:schemas-microsoft-com:office:smarttags" w:element="State">
          <w:r>
            <w:rPr>
              <w:sz w:val="24"/>
            </w:rPr>
            <w:t>Maine</w:t>
          </w:r>
        </w:smartTag>
      </w:smartTag>
      <w:r>
        <w:rPr>
          <w:sz w:val="24"/>
        </w:rPr>
        <w:t xml:space="preserve"> law, or generally accepted business practices.  The Commission may ask bidders to clarify or supplement their proposals and may at its sole discretion allow bidders to conform proposals to the required specifications.  </w:t>
      </w:r>
    </w:p>
    <w:p w14:paraId="33F01A54" w14:textId="77777777" w:rsidR="00D156D3" w:rsidRDefault="00D156D3">
      <w:pPr>
        <w:pStyle w:val="BodyTextIndent3"/>
        <w:spacing w:after="0"/>
        <w:jc w:val="left"/>
        <w:rPr>
          <w:sz w:val="24"/>
        </w:rPr>
      </w:pPr>
    </w:p>
    <w:p w14:paraId="1D2ED0F9" w14:textId="77777777" w:rsidR="00D156D3" w:rsidRDefault="0078651C">
      <w:pPr>
        <w:pStyle w:val="BodyTextIndent3"/>
        <w:spacing w:after="0"/>
        <w:ind w:left="720"/>
        <w:jc w:val="left"/>
        <w:rPr>
          <w:sz w:val="24"/>
        </w:rPr>
      </w:pPr>
      <w:r>
        <w:rPr>
          <w:b/>
          <w:sz w:val="24"/>
        </w:rPr>
        <w:t>7.4</w:t>
      </w:r>
      <w:r>
        <w:rPr>
          <w:b/>
          <w:sz w:val="24"/>
        </w:rPr>
        <w:tab/>
        <w:t>State Held Harmless</w:t>
      </w:r>
    </w:p>
    <w:p w14:paraId="2813ACBC" w14:textId="77777777" w:rsidR="00D156D3" w:rsidRDefault="00D156D3">
      <w:pPr>
        <w:pStyle w:val="BodyTextIndent3"/>
        <w:spacing w:after="0"/>
        <w:ind w:left="720"/>
        <w:jc w:val="left"/>
        <w:rPr>
          <w:sz w:val="24"/>
        </w:rPr>
      </w:pPr>
    </w:p>
    <w:p w14:paraId="15D67EB1" w14:textId="77777777" w:rsidR="00D156D3" w:rsidRDefault="0078651C">
      <w:pPr>
        <w:pStyle w:val="BodyTextIndent3"/>
        <w:spacing w:after="0"/>
        <w:ind w:hanging="810"/>
        <w:jc w:val="left"/>
        <w:rPr>
          <w:sz w:val="24"/>
        </w:rPr>
      </w:pPr>
      <w:r>
        <w:rPr>
          <w:sz w:val="24"/>
        </w:rPr>
        <w:tab/>
        <w:t>The State of Maine, its officers, agents, and employees, including the Maine Public Utilities Commission, Commissioners and the employees or agents of the Maine Public Utilities Commission shall be held harmless from any and all claims, costs, expenses, injuries, liabilities, losses and damages of every kind and description resulting from or arising out of this RFP, the designation of standard offer providers or the provision of standard offer service.</w:t>
      </w:r>
    </w:p>
    <w:p w14:paraId="60C71056" w14:textId="77777777" w:rsidR="00D156D3" w:rsidRDefault="00D156D3">
      <w:pPr>
        <w:pStyle w:val="BodyTextIndent3"/>
        <w:spacing w:after="0"/>
        <w:jc w:val="left"/>
        <w:rPr>
          <w:sz w:val="24"/>
        </w:rPr>
      </w:pPr>
    </w:p>
    <w:p w14:paraId="4FCA8A62" w14:textId="77777777" w:rsidR="00D156D3" w:rsidRDefault="0078651C">
      <w:pPr>
        <w:pStyle w:val="Heading2"/>
        <w:numPr>
          <w:ilvl w:val="0"/>
          <w:numId w:val="0"/>
        </w:numPr>
        <w:ind w:left="720"/>
        <w:jc w:val="left"/>
        <w:rPr>
          <w:sz w:val="24"/>
        </w:rPr>
      </w:pPr>
      <w:r>
        <w:rPr>
          <w:sz w:val="24"/>
        </w:rPr>
        <w:t>7.5.</w:t>
      </w:r>
      <w:r>
        <w:rPr>
          <w:sz w:val="24"/>
        </w:rPr>
        <w:tab/>
        <w:t>Warranty</w:t>
      </w:r>
    </w:p>
    <w:p w14:paraId="282BB4F5" w14:textId="77777777" w:rsidR="00D156D3" w:rsidRDefault="00D156D3">
      <w:pPr>
        <w:pStyle w:val="BodyTextIndent3"/>
        <w:spacing w:after="0"/>
        <w:jc w:val="left"/>
        <w:rPr>
          <w:sz w:val="24"/>
        </w:rPr>
      </w:pPr>
    </w:p>
    <w:p w14:paraId="2FC9EF4D" w14:textId="77777777" w:rsidR="00D156D3" w:rsidRDefault="0078651C">
      <w:pPr>
        <w:pStyle w:val="BodyTextIndent3"/>
        <w:spacing w:after="0"/>
        <w:jc w:val="left"/>
        <w:rPr>
          <w:sz w:val="24"/>
        </w:rPr>
      </w:pPr>
      <w:r>
        <w:rPr>
          <w:sz w:val="24"/>
        </w:rPr>
        <w:t>The information contained in the RFP and provided subsequently is prepared to assist bidders and does not purport to contain all of the information that may be relevant to bidders.  The Commission makes no representation or warranty, expressed or implied, as to the accuracy or completeness of the information.  The Commission, its staff and its agents shall not have any liability for any representations expressed or implied in, or any omissions from, the RFP or information obtained by bidders from the Commission, its staff, its agents or any other source.</w:t>
      </w:r>
    </w:p>
    <w:p w14:paraId="70EE1DB5" w14:textId="77777777" w:rsidR="00D156D3" w:rsidRDefault="00D156D3">
      <w:pPr>
        <w:pStyle w:val="BodyTextIndent3"/>
        <w:spacing w:after="0"/>
        <w:jc w:val="left"/>
      </w:pPr>
    </w:p>
    <w:sectPr w:rsidR="00D156D3">
      <w:head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0A1A" w14:textId="77777777" w:rsidR="006E59E3" w:rsidRDefault="006E59E3">
      <w:r>
        <w:separator/>
      </w:r>
    </w:p>
  </w:endnote>
  <w:endnote w:type="continuationSeparator" w:id="0">
    <w:p w14:paraId="0D639994" w14:textId="77777777" w:rsidR="006E59E3" w:rsidRDefault="006E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33A9" w14:textId="77777777" w:rsidR="006E59E3" w:rsidRDefault="006E59E3">
      <w:r>
        <w:separator/>
      </w:r>
    </w:p>
  </w:footnote>
  <w:footnote w:type="continuationSeparator" w:id="0">
    <w:p w14:paraId="73751662" w14:textId="77777777" w:rsidR="006E59E3" w:rsidRDefault="006E59E3">
      <w:r>
        <w:continuationSeparator/>
      </w:r>
    </w:p>
  </w:footnote>
  <w:footnote w:id="1">
    <w:p w14:paraId="246C2BDB" w14:textId="56FD65E9" w:rsidR="00036BC2" w:rsidRDefault="00036BC2">
      <w:pPr>
        <w:pStyle w:val="FootnoteText"/>
      </w:pPr>
      <w:r>
        <w:rPr>
          <w:rStyle w:val="FootnoteReference"/>
        </w:rPr>
        <w:footnoteRef/>
      </w:r>
      <w:r>
        <w:t xml:space="preserve"> </w:t>
      </w:r>
      <w:r w:rsidRPr="0029184A">
        <w:rPr>
          <w:rFonts w:ascii="Arial" w:hAnsi="Arial" w:cs="Arial"/>
        </w:rPr>
        <w:t xml:space="preserve">Please note that Chapter 311 is currently under review for changes to comply with the requirements of </w:t>
      </w:r>
      <w:bookmarkStart w:id="4" w:name="_Hlk18585871"/>
      <w:r w:rsidRPr="0029184A">
        <w:rPr>
          <w:rFonts w:ascii="Arial" w:hAnsi="Arial" w:cs="Arial"/>
        </w:rPr>
        <w:t>P.L. 2019 Ch. 477</w:t>
      </w:r>
      <w:bookmarkEnd w:id="4"/>
      <w:r w:rsidRPr="0029184A">
        <w:rPr>
          <w:rFonts w:ascii="Arial" w:hAnsi="Arial" w:cs="Arial"/>
        </w:rPr>
        <w:t>.  See Commission Docket No. 2019-00177.</w:t>
      </w:r>
      <w:r>
        <w:rPr>
          <w:rFonts w:ascii="Arial" w:hAnsi="Arial" w:cs="Arial"/>
        </w:rPr>
        <w:t xml:space="preserve">  For a multi-year term, bidders should also note the portfolio requirements effective 1/1/2021 contained in </w:t>
      </w:r>
      <w:r w:rsidRPr="0029184A">
        <w:rPr>
          <w:rFonts w:ascii="Arial" w:hAnsi="Arial" w:cs="Arial"/>
        </w:rPr>
        <w:t>P.L. 2019 Ch. 477</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40A9" w14:textId="6D9CDDF6" w:rsidR="00D156D3" w:rsidRDefault="0078651C">
    <w:pPr>
      <w:pStyle w:val="Header"/>
      <w:ind w:right="360"/>
      <w:rPr>
        <w:rFonts w:ascii="Arial" w:hAnsi="Arial"/>
        <w:b/>
        <w:sz w:val="24"/>
        <w:u w:val="single"/>
      </w:rPr>
    </w:pPr>
    <w:r>
      <w:rPr>
        <w:rFonts w:ascii="Arial" w:hAnsi="Arial"/>
        <w:b/>
        <w:sz w:val="24"/>
        <w:u w:val="single"/>
      </w:rPr>
      <w:t>Request for Proposals</w:t>
    </w:r>
    <w:r>
      <w:rPr>
        <w:rFonts w:ascii="Arial" w:hAnsi="Arial"/>
        <w:b/>
        <w:snapToGrid w:val="0"/>
        <w:sz w:val="24"/>
        <w:u w:val="single"/>
      </w:rPr>
      <w:tab/>
      <w:t xml:space="preserve">- </w:t>
    </w:r>
    <w:r>
      <w:rPr>
        <w:rFonts w:ascii="Arial" w:hAnsi="Arial"/>
        <w:b/>
        <w:snapToGrid w:val="0"/>
        <w:sz w:val="24"/>
        <w:u w:val="single"/>
      </w:rPr>
      <w:fldChar w:fldCharType="begin"/>
    </w:r>
    <w:r>
      <w:rPr>
        <w:rFonts w:ascii="Arial" w:hAnsi="Arial"/>
        <w:b/>
        <w:snapToGrid w:val="0"/>
        <w:sz w:val="24"/>
        <w:u w:val="single"/>
      </w:rPr>
      <w:instrText xml:space="preserve"> PAGE </w:instrText>
    </w:r>
    <w:r>
      <w:rPr>
        <w:rFonts w:ascii="Arial" w:hAnsi="Arial"/>
        <w:b/>
        <w:snapToGrid w:val="0"/>
        <w:sz w:val="24"/>
        <w:u w:val="single"/>
      </w:rPr>
      <w:fldChar w:fldCharType="separate"/>
    </w:r>
    <w:r w:rsidR="001E1293">
      <w:rPr>
        <w:rFonts w:ascii="Arial" w:hAnsi="Arial"/>
        <w:b/>
        <w:noProof/>
        <w:snapToGrid w:val="0"/>
        <w:sz w:val="24"/>
        <w:u w:val="single"/>
      </w:rPr>
      <w:t>2</w:t>
    </w:r>
    <w:r>
      <w:rPr>
        <w:rFonts w:ascii="Arial" w:hAnsi="Arial"/>
        <w:b/>
        <w:snapToGrid w:val="0"/>
        <w:sz w:val="24"/>
        <w:u w:val="single"/>
      </w:rPr>
      <w:fldChar w:fldCharType="end"/>
    </w:r>
    <w:r>
      <w:rPr>
        <w:rFonts w:ascii="Arial" w:hAnsi="Arial"/>
        <w:b/>
        <w:snapToGrid w:val="0"/>
        <w:sz w:val="24"/>
        <w:u w:val="single"/>
      </w:rPr>
      <w:t xml:space="preserve"> -</w:t>
    </w:r>
    <w:r>
      <w:rPr>
        <w:rFonts w:ascii="Arial" w:hAnsi="Arial"/>
        <w:b/>
        <w:sz w:val="24"/>
        <w:u w:val="single"/>
      </w:rPr>
      <w:tab/>
    </w:r>
    <w:r w:rsidR="00B54ED8">
      <w:rPr>
        <w:rFonts w:ascii="Arial" w:hAnsi="Arial"/>
        <w:b/>
        <w:sz w:val="24"/>
        <w:u w:val="single"/>
      </w:rPr>
      <w:t>MPD Standard Offer</w:t>
    </w:r>
  </w:p>
  <w:p w14:paraId="4B7D7B05" w14:textId="77777777" w:rsidR="00D156D3" w:rsidRDefault="00D1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2359"/>
    <w:multiLevelType w:val="hybridMultilevel"/>
    <w:tmpl w:val="838E69A8"/>
    <w:lvl w:ilvl="0" w:tplc="B2202452">
      <w:start w:val="1"/>
      <w:numFmt w:val="bullet"/>
      <w:lvlText w:val=""/>
      <w:lvlJc w:val="left"/>
      <w:pPr>
        <w:tabs>
          <w:tab w:val="num" w:pos="4024"/>
        </w:tabs>
        <w:ind w:left="4024" w:hanging="360"/>
      </w:pPr>
      <w:rPr>
        <w:rFonts w:ascii="Symbol" w:hAnsi="Symbol" w:hint="default"/>
        <w:color w:val="auto"/>
      </w:rPr>
    </w:lvl>
    <w:lvl w:ilvl="1" w:tplc="04090003" w:tentative="1">
      <w:start w:val="1"/>
      <w:numFmt w:val="bullet"/>
      <w:lvlText w:val="o"/>
      <w:lvlJc w:val="left"/>
      <w:pPr>
        <w:tabs>
          <w:tab w:val="num" w:pos="3664"/>
        </w:tabs>
        <w:ind w:left="3664" w:hanging="360"/>
      </w:pPr>
      <w:rPr>
        <w:rFonts w:ascii="Courier New" w:hAnsi="Courier New" w:hint="default"/>
      </w:rPr>
    </w:lvl>
    <w:lvl w:ilvl="2" w:tplc="04090005" w:tentative="1">
      <w:start w:val="1"/>
      <w:numFmt w:val="bullet"/>
      <w:lvlText w:val=""/>
      <w:lvlJc w:val="left"/>
      <w:pPr>
        <w:tabs>
          <w:tab w:val="num" w:pos="4384"/>
        </w:tabs>
        <w:ind w:left="4384"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start w:val="1"/>
      <w:numFmt w:val="bullet"/>
      <w:lvlText w:val="o"/>
      <w:lvlJc w:val="left"/>
      <w:pPr>
        <w:tabs>
          <w:tab w:val="num" w:pos="5824"/>
        </w:tabs>
        <w:ind w:left="5824" w:hanging="360"/>
      </w:pPr>
      <w:rPr>
        <w:rFonts w:ascii="Courier New" w:hAnsi="Courier New" w:hint="default"/>
      </w:rPr>
    </w:lvl>
    <w:lvl w:ilvl="5" w:tplc="04090005" w:tentative="1">
      <w:start w:val="1"/>
      <w:numFmt w:val="bullet"/>
      <w:lvlText w:val=""/>
      <w:lvlJc w:val="left"/>
      <w:pPr>
        <w:tabs>
          <w:tab w:val="num" w:pos="6544"/>
        </w:tabs>
        <w:ind w:left="6544" w:hanging="360"/>
      </w:pPr>
      <w:rPr>
        <w:rFonts w:ascii="Wingdings" w:hAnsi="Wingdings" w:hint="default"/>
      </w:rPr>
    </w:lvl>
    <w:lvl w:ilvl="6" w:tplc="04090001" w:tentative="1">
      <w:start w:val="1"/>
      <w:numFmt w:val="bullet"/>
      <w:lvlText w:val=""/>
      <w:lvlJc w:val="left"/>
      <w:pPr>
        <w:tabs>
          <w:tab w:val="num" w:pos="7264"/>
        </w:tabs>
        <w:ind w:left="7264" w:hanging="360"/>
      </w:pPr>
      <w:rPr>
        <w:rFonts w:ascii="Symbol" w:hAnsi="Symbol" w:hint="default"/>
      </w:rPr>
    </w:lvl>
    <w:lvl w:ilvl="7" w:tplc="04090003" w:tentative="1">
      <w:start w:val="1"/>
      <w:numFmt w:val="bullet"/>
      <w:lvlText w:val="o"/>
      <w:lvlJc w:val="left"/>
      <w:pPr>
        <w:tabs>
          <w:tab w:val="num" w:pos="7984"/>
        </w:tabs>
        <w:ind w:left="7984" w:hanging="360"/>
      </w:pPr>
      <w:rPr>
        <w:rFonts w:ascii="Courier New" w:hAnsi="Courier New" w:hint="default"/>
      </w:rPr>
    </w:lvl>
    <w:lvl w:ilvl="8" w:tplc="04090005" w:tentative="1">
      <w:start w:val="1"/>
      <w:numFmt w:val="bullet"/>
      <w:lvlText w:val=""/>
      <w:lvlJc w:val="left"/>
      <w:pPr>
        <w:tabs>
          <w:tab w:val="num" w:pos="8704"/>
        </w:tabs>
        <w:ind w:left="8704" w:hanging="360"/>
      </w:pPr>
      <w:rPr>
        <w:rFonts w:ascii="Wingdings" w:hAnsi="Wingdings" w:hint="default"/>
      </w:rPr>
    </w:lvl>
  </w:abstractNum>
  <w:abstractNum w:abstractNumId="1" w15:restartNumberingAfterBreak="0">
    <w:nsid w:val="10A539C7"/>
    <w:multiLevelType w:val="multilevel"/>
    <w:tmpl w:val="93102F4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3BF32C3"/>
    <w:multiLevelType w:val="hybridMultilevel"/>
    <w:tmpl w:val="4FB8D6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016359"/>
    <w:multiLevelType w:val="hybridMultilevel"/>
    <w:tmpl w:val="90BAB1E4"/>
    <w:lvl w:ilvl="0" w:tplc="CF98A8B4">
      <w:start w:val="5"/>
      <w:numFmt w:val="bullet"/>
      <w:lvlText w:val="-"/>
      <w:lvlJc w:val="left"/>
      <w:pPr>
        <w:tabs>
          <w:tab w:val="num" w:pos="2520"/>
        </w:tabs>
        <w:ind w:left="2520" w:hanging="360"/>
      </w:pPr>
      <w:rPr>
        <w:rFonts w:ascii="Arial" w:eastAsia="Times New Roman" w:hAnsi="Arial" w:cs="Aria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9E205CA"/>
    <w:multiLevelType w:val="multilevel"/>
    <w:tmpl w:val="4C943970"/>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1170"/>
        </w:tabs>
        <w:ind w:left="117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C6B33A4"/>
    <w:multiLevelType w:val="multilevel"/>
    <w:tmpl w:val="920EC5C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376B4971"/>
    <w:multiLevelType w:val="multilevel"/>
    <w:tmpl w:val="69DA45B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781214A"/>
    <w:multiLevelType w:val="multilevel"/>
    <w:tmpl w:val="C382D59C"/>
    <w:lvl w:ilvl="0">
      <w:start w:val="1"/>
      <w:numFmt w:val="upperLetter"/>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8" w15:restartNumberingAfterBreak="0">
    <w:nsid w:val="447B7214"/>
    <w:multiLevelType w:val="singleLevel"/>
    <w:tmpl w:val="AC561490"/>
    <w:lvl w:ilvl="0">
      <w:start w:val="1"/>
      <w:numFmt w:val="upperLetter"/>
      <w:pStyle w:val="Heading2"/>
      <w:lvlText w:val="%1."/>
      <w:lvlJc w:val="left"/>
      <w:pPr>
        <w:tabs>
          <w:tab w:val="num" w:pos="1440"/>
        </w:tabs>
        <w:ind w:left="1440" w:hanging="720"/>
      </w:pPr>
      <w:rPr>
        <w:rFonts w:hint="default"/>
      </w:rPr>
    </w:lvl>
  </w:abstractNum>
  <w:abstractNum w:abstractNumId="9" w15:restartNumberingAfterBreak="0">
    <w:nsid w:val="5C6960E9"/>
    <w:multiLevelType w:val="multilevel"/>
    <w:tmpl w:val="1522070E"/>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810"/>
        </w:tabs>
        <w:ind w:left="81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EE65597"/>
    <w:multiLevelType w:val="singleLevel"/>
    <w:tmpl w:val="44DABC6C"/>
    <w:lvl w:ilvl="0">
      <w:start w:val="1"/>
      <w:numFmt w:val="upperLetter"/>
      <w:pStyle w:val="Heading3"/>
      <w:lvlText w:val="%1."/>
      <w:lvlJc w:val="left"/>
      <w:pPr>
        <w:tabs>
          <w:tab w:val="num" w:pos="2160"/>
        </w:tabs>
        <w:ind w:left="2160" w:hanging="720"/>
      </w:pPr>
      <w:rPr>
        <w:rFonts w:hint="default"/>
      </w:rPr>
    </w:lvl>
  </w:abstractNum>
  <w:abstractNum w:abstractNumId="11" w15:restartNumberingAfterBreak="0">
    <w:nsid w:val="765146A4"/>
    <w:multiLevelType w:val="multilevel"/>
    <w:tmpl w:val="7FF4538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6D1700A"/>
    <w:multiLevelType w:val="hybridMultilevel"/>
    <w:tmpl w:val="484C0D40"/>
    <w:lvl w:ilvl="0" w:tplc="9194596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8"/>
  </w:num>
  <w:num w:numId="2">
    <w:abstractNumId w:val="10"/>
  </w:num>
  <w:num w:numId="3">
    <w:abstractNumId w:val="7"/>
  </w:num>
  <w:num w:numId="4">
    <w:abstractNumId w:val="0"/>
  </w:num>
  <w:num w:numId="5">
    <w:abstractNumId w:val="3"/>
  </w:num>
  <w:num w:numId="6">
    <w:abstractNumId w:val="5"/>
  </w:num>
  <w:num w:numId="7">
    <w:abstractNumId w:val="11"/>
  </w:num>
  <w:num w:numId="8">
    <w:abstractNumId w:val="12"/>
  </w:num>
  <w:num w:numId="9">
    <w:abstractNumId w:val="4"/>
  </w:num>
  <w:num w:numId="10">
    <w:abstractNumId w:val="1"/>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D3"/>
    <w:rsid w:val="00036BC2"/>
    <w:rsid w:val="00076A24"/>
    <w:rsid w:val="00087001"/>
    <w:rsid w:val="0009475C"/>
    <w:rsid w:val="000B4365"/>
    <w:rsid w:val="000C4814"/>
    <w:rsid w:val="001422D7"/>
    <w:rsid w:val="00164A7C"/>
    <w:rsid w:val="001D69FE"/>
    <w:rsid w:val="001E1293"/>
    <w:rsid w:val="002565DA"/>
    <w:rsid w:val="0027511E"/>
    <w:rsid w:val="002B2A88"/>
    <w:rsid w:val="002B2DB9"/>
    <w:rsid w:val="002B4ED3"/>
    <w:rsid w:val="002D68B8"/>
    <w:rsid w:val="002E6BEE"/>
    <w:rsid w:val="00332F68"/>
    <w:rsid w:val="0034504F"/>
    <w:rsid w:val="00377ECC"/>
    <w:rsid w:val="00395503"/>
    <w:rsid w:val="00412E36"/>
    <w:rsid w:val="00441E2A"/>
    <w:rsid w:val="004433CA"/>
    <w:rsid w:val="00483B50"/>
    <w:rsid w:val="004A160A"/>
    <w:rsid w:val="004C37E3"/>
    <w:rsid w:val="004C4F30"/>
    <w:rsid w:val="0054586F"/>
    <w:rsid w:val="00551D63"/>
    <w:rsid w:val="005579AC"/>
    <w:rsid w:val="00576738"/>
    <w:rsid w:val="00620636"/>
    <w:rsid w:val="00620916"/>
    <w:rsid w:val="00623432"/>
    <w:rsid w:val="006408E6"/>
    <w:rsid w:val="00673D80"/>
    <w:rsid w:val="006D1312"/>
    <w:rsid w:val="006D219F"/>
    <w:rsid w:val="006E59E3"/>
    <w:rsid w:val="006F5F38"/>
    <w:rsid w:val="007006EB"/>
    <w:rsid w:val="00735E21"/>
    <w:rsid w:val="0078651C"/>
    <w:rsid w:val="007943EB"/>
    <w:rsid w:val="0084275F"/>
    <w:rsid w:val="008A5708"/>
    <w:rsid w:val="008B4C2D"/>
    <w:rsid w:val="008C7857"/>
    <w:rsid w:val="008F570B"/>
    <w:rsid w:val="00924510"/>
    <w:rsid w:val="009445D5"/>
    <w:rsid w:val="009B07D9"/>
    <w:rsid w:val="009D3A03"/>
    <w:rsid w:val="00A003E6"/>
    <w:rsid w:val="00A24616"/>
    <w:rsid w:val="00A44A7B"/>
    <w:rsid w:val="00AC3183"/>
    <w:rsid w:val="00AC57D6"/>
    <w:rsid w:val="00AD701C"/>
    <w:rsid w:val="00AF7D9D"/>
    <w:rsid w:val="00B0593B"/>
    <w:rsid w:val="00B326C0"/>
    <w:rsid w:val="00B54ED8"/>
    <w:rsid w:val="00B63A09"/>
    <w:rsid w:val="00B6554C"/>
    <w:rsid w:val="00B84DCF"/>
    <w:rsid w:val="00BB708E"/>
    <w:rsid w:val="00C8045E"/>
    <w:rsid w:val="00C83631"/>
    <w:rsid w:val="00CC521D"/>
    <w:rsid w:val="00D11574"/>
    <w:rsid w:val="00D156D3"/>
    <w:rsid w:val="00D43B66"/>
    <w:rsid w:val="00D66240"/>
    <w:rsid w:val="00D80DA6"/>
    <w:rsid w:val="00D8567A"/>
    <w:rsid w:val="00DC15DB"/>
    <w:rsid w:val="00DE39D6"/>
    <w:rsid w:val="00DE6B78"/>
    <w:rsid w:val="00DE7098"/>
    <w:rsid w:val="00E10B19"/>
    <w:rsid w:val="00E70EA0"/>
    <w:rsid w:val="00F1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6A250D29"/>
  <w15:docId w15:val="{3FED0D1C-573A-4DA5-96EE-9D5BEB7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numPr>
        <w:numId w:val="1"/>
      </w:numPr>
      <w:jc w:val="both"/>
      <w:outlineLvl w:val="1"/>
    </w:pPr>
    <w:rPr>
      <w:rFonts w:ascii="Arial" w:hAnsi="Arial"/>
      <w:b/>
    </w:rPr>
  </w:style>
  <w:style w:type="paragraph" w:styleId="Heading3">
    <w:name w:val="heading 3"/>
    <w:basedOn w:val="Normal"/>
    <w:next w:val="Normal"/>
    <w:qFormat/>
    <w:pPr>
      <w:keepNext/>
      <w:numPr>
        <w:numId w:val="2"/>
      </w:numPr>
      <w:jc w:val="both"/>
      <w:outlineLvl w:val="2"/>
    </w:pPr>
    <w:rPr>
      <w:rFonts w:ascii="Arial" w:hAnsi="Arial"/>
      <w:b/>
    </w:rPr>
  </w:style>
  <w:style w:type="paragraph" w:styleId="Heading4">
    <w:name w:val="heading 4"/>
    <w:basedOn w:val="Normal"/>
    <w:next w:val="Normal"/>
    <w:qFormat/>
    <w:pPr>
      <w:keepNext/>
      <w:spacing w:after="240"/>
      <w:ind w:left="1440"/>
      <w:jc w:val="both"/>
      <w:outlineLvl w:val="3"/>
    </w:pPr>
    <w:rPr>
      <w:rFonts w:ascii="Arial" w:hAnsi="Arial"/>
      <w:b/>
      <w:sz w:val="22"/>
    </w:rPr>
  </w:style>
  <w:style w:type="paragraph" w:styleId="Heading5">
    <w:name w:val="heading 5"/>
    <w:basedOn w:val="Normal"/>
    <w:next w:val="Normal"/>
    <w:qFormat/>
    <w:pPr>
      <w:keepNext/>
      <w:ind w:left="720" w:firstLine="720"/>
      <w:jc w:val="both"/>
      <w:outlineLvl w:val="4"/>
    </w:pPr>
    <w:rPr>
      <w:rFonts w:ascii="Arial" w:hAnsi="Arial"/>
      <w:sz w:val="24"/>
    </w:rPr>
  </w:style>
  <w:style w:type="paragraph" w:styleId="Heading6">
    <w:name w:val="heading 6"/>
    <w:basedOn w:val="Normal"/>
    <w:next w:val="Normal"/>
    <w:qFormat/>
    <w:pPr>
      <w:keepNext/>
      <w:tabs>
        <w:tab w:val="left" w:pos="360"/>
        <w:tab w:val="left" w:pos="720"/>
      </w:tabs>
      <w:jc w:val="center"/>
      <w:outlineLvl w:val="5"/>
    </w:pPr>
    <w:rPr>
      <w:rFonts w:ascii="Arial" w:hAnsi="Arial"/>
      <w:b/>
      <w:sz w:val="24"/>
    </w:rPr>
  </w:style>
  <w:style w:type="paragraph" w:styleId="Heading7">
    <w:name w:val="heading 7"/>
    <w:basedOn w:val="Normal"/>
    <w:next w:val="Normal"/>
    <w:qFormat/>
    <w:pPr>
      <w:keepNext/>
      <w:spacing w:line="480" w:lineRule="auto"/>
      <w:outlineLvl w:val="6"/>
    </w:pPr>
    <w:rPr>
      <w:rFonts w:ascii="Arial" w:hAnsi="Arial"/>
      <w:b/>
      <w:sz w:val="24"/>
    </w:rPr>
  </w:style>
  <w:style w:type="paragraph" w:styleId="Heading8">
    <w:name w:val="heading 8"/>
    <w:basedOn w:val="Normal"/>
    <w:next w:val="Normal"/>
    <w:qFormat/>
    <w:pPr>
      <w:keepNext/>
      <w:ind w:left="1440"/>
      <w:jc w:val="both"/>
      <w:outlineLvl w:val="7"/>
    </w:pPr>
    <w:rPr>
      <w:rFonts w:ascii="Arial" w:hAnsi="Arial"/>
      <w:sz w:val="24"/>
    </w:rPr>
  </w:style>
  <w:style w:type="paragraph" w:styleId="Heading9">
    <w:name w:val="heading 9"/>
    <w:basedOn w:val="Normal"/>
    <w:next w:val="Normal"/>
    <w:qFormat/>
    <w:pPr>
      <w:keepNext/>
      <w:spacing w:line="480" w:lineRule="auto"/>
      <w:ind w:left="144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rPr>
  </w:style>
  <w:style w:type="paragraph" w:styleId="BodyTextIndent">
    <w:name w:val="Body Text Indent"/>
    <w:basedOn w:val="Normal"/>
    <w:pPr>
      <w:ind w:left="2160"/>
      <w:jc w:val="both"/>
    </w:pPr>
    <w:rPr>
      <w:rFonts w:ascii="Arial" w:hAnsi="Arial"/>
    </w:rPr>
  </w:style>
  <w:style w:type="paragraph" w:styleId="BodyText2">
    <w:name w:val="Body Text 2"/>
    <w:basedOn w:val="Normal"/>
    <w:pPr>
      <w:jc w:val="both"/>
    </w:pPr>
    <w:rPr>
      <w:rFonts w:ascii="Arial" w:hAnsi="Arial"/>
      <w:sz w:val="24"/>
    </w:rPr>
  </w:style>
  <w:style w:type="paragraph" w:styleId="BodyTextIndent2">
    <w:name w:val="Body Text Indent 2"/>
    <w:basedOn w:val="Normal"/>
    <w:pPr>
      <w:spacing w:after="120"/>
      <w:ind w:left="1440"/>
      <w:jc w:val="both"/>
    </w:pPr>
    <w:rPr>
      <w:rFonts w:ascii="Arial" w:hAnsi="Arial"/>
      <w:sz w:val="24"/>
    </w:rPr>
  </w:style>
  <w:style w:type="paragraph" w:styleId="BodyTextIndent3">
    <w:name w:val="Body Text Indent 3"/>
    <w:basedOn w:val="Normal"/>
    <w:pPr>
      <w:spacing w:after="120"/>
      <w:ind w:left="1440"/>
      <w:jc w:val="both"/>
    </w:pPr>
    <w:rPr>
      <w:rFonts w:ascii="Arial" w:hAnsi="Arial"/>
      <w:sz w:val="22"/>
    </w:rPr>
  </w:style>
  <w:style w:type="paragraph" w:styleId="BodyText3">
    <w:name w:val="Body Text 3"/>
    <w:basedOn w:val="Normal"/>
    <w:pPr>
      <w:jc w:val="both"/>
    </w:pPr>
    <w:rPr>
      <w:rFonts w:ascii="Arial" w:hAnsi="Arial"/>
      <w:sz w:val="22"/>
    </w:rPr>
  </w:style>
  <w:style w:type="character" w:styleId="Hyperlink">
    <w:name w:val="Hyperlink"/>
    <w:rPr>
      <w:color w:val="0000FF"/>
      <w:u w:val="single"/>
    </w:rPr>
  </w:style>
  <w:style w:type="paragraph" w:styleId="BlockText">
    <w:name w:val="Block Text"/>
    <w:basedOn w:val="Normal"/>
    <w:pPr>
      <w:tabs>
        <w:tab w:val="left" w:pos="0"/>
      </w:tabs>
      <w:spacing w:line="480" w:lineRule="auto"/>
      <w:ind w:left="2160" w:right="1440"/>
    </w:pPr>
    <w:rPr>
      <w:rFonts w:ascii="Arial" w:hAnsi="Arial"/>
      <w:sz w:val="24"/>
    </w:rPr>
  </w:style>
  <w:style w:type="character" w:styleId="FollowedHyperlink">
    <w:name w:val="FollowedHyperlink"/>
    <w:rPr>
      <w:color w:val="800080"/>
      <w:u w:val="single"/>
    </w:rPr>
  </w:style>
  <w:style w:type="character" w:styleId="LineNumber">
    <w:name w:val="lin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styleId="UnresolvedMention">
    <w:name w:val="Unresolved Mention"/>
    <w:basedOn w:val="DefaultParagraphFont"/>
    <w:uiPriority w:val="99"/>
    <w:semiHidden/>
    <w:unhideWhenUsed/>
    <w:rsid w:val="00E10B19"/>
    <w:rPr>
      <w:color w:val="605E5C"/>
      <w:shd w:val="clear" w:color="auto" w:fill="E1DFDD"/>
    </w:rPr>
  </w:style>
  <w:style w:type="paragraph" w:styleId="ListParagraph">
    <w:name w:val="List Paragraph"/>
    <w:basedOn w:val="Normal"/>
    <w:uiPriority w:val="34"/>
    <w:qFormat/>
    <w:rsid w:val="00700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8542">
      <w:bodyDiv w:val="1"/>
      <w:marLeft w:val="0"/>
      <w:marRight w:val="0"/>
      <w:marTop w:val="0"/>
      <w:marBottom w:val="0"/>
      <w:divBdr>
        <w:top w:val="none" w:sz="0" w:space="0" w:color="auto"/>
        <w:left w:val="none" w:sz="0" w:space="0" w:color="auto"/>
        <w:bottom w:val="none" w:sz="0" w:space="0" w:color="auto"/>
        <w:right w:val="none" w:sz="0" w:space="0" w:color="auto"/>
      </w:divBdr>
    </w:div>
    <w:div w:id="21303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r.cook@maine.gov" TargetMode="External"/><Relationship Id="rId18" Type="http://schemas.openxmlformats.org/officeDocument/2006/relationships/hyperlink" Target="http://www.nmis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tchell.tannenbaum@maine.gov" TargetMode="External"/><Relationship Id="rId17" Type="http://schemas.openxmlformats.org/officeDocument/2006/relationships/hyperlink" Target="http://www.maine.gov/mpuc/electricity/rfps/so_solicitations.shtml" TargetMode="External"/><Relationship Id="rId2" Type="http://schemas.openxmlformats.org/officeDocument/2006/relationships/customXml" Target="../customXml/item2.xml"/><Relationship Id="rId16" Type="http://schemas.openxmlformats.org/officeDocument/2006/relationships/hyperlink" Target="http://www.maine.gov/mpu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ith.huntington@maine.gov" TargetMode="External"/><Relationship Id="rId5" Type="http://schemas.openxmlformats.org/officeDocument/2006/relationships/numbering" Target="numbering.xml"/><Relationship Id="rId15" Type="http://schemas.openxmlformats.org/officeDocument/2006/relationships/hyperlink" Target="http://www.nmis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9" ma:contentTypeDescription="Create a new document." ma:contentTypeScope="" ma:versionID="8f37f37f7942d705d53f230096b740d1">
  <xsd:schema xmlns:xsd="http://www.w3.org/2001/XMLSchema" xmlns:xs="http://www.w3.org/2001/XMLSchema" xmlns:p="http://schemas.microsoft.com/office/2006/metadata/properties" xmlns:ns1="http://schemas.microsoft.com/sharepoint/v3" xmlns:ns3="67e82e13-504b-4f53-a916-abf45b08fa2c" targetNamespace="http://schemas.microsoft.com/office/2006/metadata/properties" ma:root="true" ma:fieldsID="d2771b81b041b17383ae44e39dc463a7" ns1:_="" ns3:_="">
    <xsd:import namespace="http://schemas.microsoft.com/sharepoint/v3"/>
    <xsd:import namespace="67e82e13-504b-4f53-a916-abf45b08fa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239D-A485-40C1-9929-8D2BC1DE9FF1}">
  <ds:schemaRefs>
    <ds:schemaRef ds:uri="http://schemas.microsoft.com/sharepoint/v3/contenttype/forms"/>
  </ds:schemaRefs>
</ds:datastoreItem>
</file>

<file path=customXml/itemProps2.xml><?xml version="1.0" encoding="utf-8"?>
<ds:datastoreItem xmlns:ds="http://schemas.openxmlformats.org/officeDocument/2006/customXml" ds:itemID="{2153AB5E-B8C5-42C5-AE18-3051C4899477}">
  <ds:schemaRefs>
    <ds:schemaRef ds:uri="http://purl.org/dc/terms/"/>
    <ds:schemaRef ds:uri="http://schemas.microsoft.com/sharepoint/v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7e82e13-504b-4f53-a916-abf45b08fa2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E4CAAAB-9C4E-42CB-AFC2-9BBCBC2B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8DB7E-0690-43C2-B47B-471D686F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3668</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Dell Computer Corporation</Company>
  <LinksUpToDate>false</LinksUpToDate>
  <CharactersWithSpaces>24865</CharactersWithSpaces>
  <SharedDoc>false</SharedDoc>
  <HLinks>
    <vt:vector size="48" baseType="variant">
      <vt:variant>
        <vt:i4>4390927</vt:i4>
      </vt:variant>
      <vt:variant>
        <vt:i4>21</vt:i4>
      </vt:variant>
      <vt:variant>
        <vt:i4>0</vt:i4>
      </vt:variant>
      <vt:variant>
        <vt:i4>5</vt:i4>
      </vt:variant>
      <vt:variant>
        <vt:lpwstr>http://www.nmisa.com/</vt:lpwstr>
      </vt:variant>
      <vt:variant>
        <vt:lpwstr/>
      </vt:variant>
      <vt:variant>
        <vt:i4>3276810</vt:i4>
      </vt:variant>
      <vt:variant>
        <vt:i4>18</vt:i4>
      </vt:variant>
      <vt:variant>
        <vt:i4>0</vt:i4>
      </vt:variant>
      <vt:variant>
        <vt:i4>5</vt:i4>
      </vt:variant>
      <vt:variant>
        <vt:lpwstr>http://www.maine.gov/mpuc/electricity/rfps/so_solicitations.shtml</vt:lpwstr>
      </vt:variant>
      <vt:variant>
        <vt:lpwstr/>
      </vt:variant>
      <vt:variant>
        <vt:i4>4390977</vt:i4>
      </vt:variant>
      <vt:variant>
        <vt:i4>15</vt:i4>
      </vt:variant>
      <vt:variant>
        <vt:i4>0</vt:i4>
      </vt:variant>
      <vt:variant>
        <vt:i4>5</vt:i4>
      </vt:variant>
      <vt:variant>
        <vt:lpwstr>http://www.maine.gov/mpuc</vt:lpwstr>
      </vt:variant>
      <vt:variant>
        <vt:lpwstr/>
      </vt:variant>
      <vt:variant>
        <vt:i4>4390927</vt:i4>
      </vt:variant>
      <vt:variant>
        <vt:i4>12</vt:i4>
      </vt:variant>
      <vt:variant>
        <vt:i4>0</vt:i4>
      </vt:variant>
      <vt:variant>
        <vt:i4>5</vt:i4>
      </vt:variant>
      <vt:variant>
        <vt:lpwstr>http://www.nmisa.com/</vt:lpwstr>
      </vt:variant>
      <vt:variant>
        <vt:lpwstr/>
      </vt:variant>
      <vt:variant>
        <vt:i4>6422640</vt:i4>
      </vt:variant>
      <vt:variant>
        <vt:i4>9</vt:i4>
      </vt:variant>
      <vt:variant>
        <vt:i4>0</vt:i4>
      </vt:variant>
      <vt:variant>
        <vt:i4>5</vt:i4>
      </vt:variant>
      <vt:variant>
        <vt:lpwstr>mailto:</vt:lpwstr>
      </vt:variant>
      <vt:variant>
        <vt:lpwstr/>
      </vt:variant>
      <vt:variant>
        <vt:i4>4980783</vt:i4>
      </vt:variant>
      <vt:variant>
        <vt:i4>6</vt:i4>
      </vt:variant>
      <vt:variant>
        <vt:i4>0</vt:i4>
      </vt:variant>
      <vt:variant>
        <vt:i4>5</vt:i4>
      </vt:variant>
      <vt:variant>
        <vt:lpwstr>mailto:mitchell.tannenbaum@maine.gov</vt:lpwstr>
      </vt:variant>
      <vt:variant>
        <vt:lpwstr/>
      </vt:variant>
      <vt:variant>
        <vt:i4>7077890</vt:i4>
      </vt:variant>
      <vt:variant>
        <vt:i4>3</vt:i4>
      </vt:variant>
      <vt:variant>
        <vt:i4>0</vt:i4>
      </vt:variant>
      <vt:variant>
        <vt:i4>5</vt:i4>
      </vt:variant>
      <vt:variant>
        <vt:lpwstr>mailto:faith.huntington@maine.gov</vt:lpwstr>
      </vt:variant>
      <vt:variant>
        <vt:lpwstr/>
      </vt:variant>
      <vt:variant>
        <vt:i4>6881338</vt:i4>
      </vt:variant>
      <vt:variant>
        <vt:i4>0</vt:i4>
      </vt:variant>
      <vt:variant>
        <vt:i4>0</vt:i4>
      </vt:variant>
      <vt:variant>
        <vt:i4>5</vt:i4>
      </vt:variant>
      <vt:variant>
        <vt:lpwstr>http://www.maine.gov/mpuc/industries/electricity/standard_offer/so_solicitations.html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John J. Reed</dc:creator>
  <cp:lastModifiedBy>Cook, Christine R</cp:lastModifiedBy>
  <cp:revision>4</cp:revision>
  <cp:lastPrinted>2013-09-24T21:04:00Z</cp:lastPrinted>
  <dcterms:created xsi:type="dcterms:W3CDTF">2020-09-08T13:26:00Z</dcterms:created>
  <dcterms:modified xsi:type="dcterms:W3CDTF">2020-09-08T19:03:00Z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ies>
</file>