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8E8" w:rsidRDefault="006548E8" w:rsidP="006548E8">
      <w:pPr>
        <w:autoSpaceDE w:val="0"/>
        <w:autoSpaceDN w:val="0"/>
        <w:adjustRightInd w:val="0"/>
        <w:jc w:val="center"/>
        <w:rPr>
          <w:rFonts w:eastAsia="Calibri"/>
          <w:b/>
          <w:bCs/>
          <w:sz w:val="32"/>
          <w:szCs w:val="32"/>
        </w:rPr>
      </w:pPr>
      <w:r>
        <w:rPr>
          <w:rFonts w:eastAsia="Calibri"/>
          <w:b/>
          <w:bCs/>
          <w:sz w:val="32"/>
          <w:szCs w:val="32"/>
        </w:rPr>
        <w:t>2016 Demographic Profile of Maine</w:t>
      </w:r>
    </w:p>
    <w:p w:rsidR="006548E8" w:rsidRDefault="006548E8" w:rsidP="006548E8">
      <w:pPr>
        <w:autoSpaceDE w:val="0"/>
        <w:autoSpaceDN w:val="0"/>
        <w:adjustRightInd w:val="0"/>
        <w:jc w:val="center"/>
        <w:rPr>
          <w:rFonts w:eastAsia="Calibri"/>
          <w:b/>
          <w:bCs/>
          <w:sz w:val="32"/>
          <w:szCs w:val="32"/>
        </w:rPr>
      </w:pPr>
    </w:p>
    <w:p w:rsidR="006548E8" w:rsidRDefault="006548E8" w:rsidP="006548E8">
      <w:pPr>
        <w:pStyle w:val="NoSpacing"/>
        <w:rPr>
          <w:rFonts w:ascii="Times New Roman" w:hAnsi="Times New Roman"/>
          <w:sz w:val="24"/>
          <w:szCs w:val="24"/>
        </w:rPr>
      </w:pPr>
      <w:r>
        <w:rPr>
          <w:rFonts w:ascii="Times New Roman" w:hAnsi="Times New Roman"/>
          <w:sz w:val="24"/>
          <w:szCs w:val="24"/>
        </w:rPr>
        <w:t xml:space="preserve">MaineDOT has gathered a demographic profile of the State of Maine that includes identification of the locations of minority populations in the aggregate and develops demographic maps that overlay the percent minority and non-minority and non-native populations as identified by the U.S. Census or the most relevant American Community Survey Data.  We have compiled that information by county below. </w:t>
      </w:r>
      <w:proofErr w:type="spellStart"/>
      <w:r>
        <w:rPr>
          <w:rFonts w:ascii="Times New Roman" w:hAnsi="Times New Roman"/>
          <w:sz w:val="24"/>
          <w:szCs w:val="24"/>
        </w:rPr>
        <w:t>MaineDOT’s</w:t>
      </w:r>
      <w:proofErr w:type="spellEnd"/>
      <w:r>
        <w:rPr>
          <w:rFonts w:ascii="Times New Roman" w:hAnsi="Times New Roman"/>
          <w:sz w:val="24"/>
          <w:szCs w:val="24"/>
        </w:rPr>
        <w:t xml:space="preserve"> most recent data assessment was done in 2016.  MaineDOT will update this information as it becomes available.</w:t>
      </w:r>
    </w:p>
    <w:p w:rsidR="006548E8" w:rsidRDefault="006548E8" w:rsidP="006548E8">
      <w:pPr>
        <w:pStyle w:val="NoSpacing"/>
        <w:rPr>
          <w:rStyle w:val="Hyperlink"/>
        </w:rPr>
      </w:pPr>
    </w:p>
    <w:p w:rsidR="006548E8" w:rsidRDefault="006548E8" w:rsidP="006548E8">
      <w:pPr>
        <w:autoSpaceDE w:val="0"/>
        <w:autoSpaceDN w:val="0"/>
        <w:adjustRightInd w:val="0"/>
        <w:rPr>
          <w:rFonts w:eastAsia="Calibri"/>
          <w:b/>
          <w:bCs/>
        </w:rPr>
      </w:pPr>
      <w:r>
        <w:rPr>
          <w:b/>
          <w:color w:val="000000"/>
        </w:rPr>
        <w:t xml:space="preserve">Demographic Profile of Minorities, </w:t>
      </w:r>
      <w:r>
        <w:rPr>
          <w:rFonts w:eastAsia="Calibri"/>
          <w:b/>
          <w:bCs/>
        </w:rPr>
        <w:t xml:space="preserve">Non-American National Origin and Low-Income by County. </w:t>
      </w:r>
    </w:p>
    <w:p w:rsidR="00ED0FA5" w:rsidRDefault="00ED0FA5" w:rsidP="006548E8">
      <w:pPr>
        <w:autoSpaceDE w:val="0"/>
        <w:autoSpaceDN w:val="0"/>
        <w:adjustRightInd w:val="0"/>
        <w:rPr>
          <w:rFonts w:eastAsia="Calibri"/>
          <w:b/>
          <w:bCs/>
        </w:rPr>
      </w:pPr>
    </w:p>
    <w:p w:rsidR="00ED0FA5" w:rsidRDefault="00ED0FA5" w:rsidP="006548E8">
      <w:pPr>
        <w:autoSpaceDE w:val="0"/>
        <w:autoSpaceDN w:val="0"/>
        <w:adjustRightInd w:val="0"/>
        <w:rPr>
          <w:rFonts w:eastAsia="Calibri"/>
          <w:b/>
          <w:bCs/>
        </w:rPr>
      </w:pPr>
      <w:r>
        <w:rPr>
          <w:rFonts w:eastAsia="Calibri"/>
          <w:b/>
          <w:bCs/>
        </w:rPr>
        <w:t>1.  Minority</w:t>
      </w:r>
    </w:p>
    <w:p w:rsidR="006548E8" w:rsidRDefault="006548E8" w:rsidP="006548E8">
      <w:pPr>
        <w:pStyle w:val="ListParagraph"/>
        <w:ind w:left="0"/>
        <w:rPr>
          <w:b/>
          <w:color w:val="000000"/>
        </w:rPr>
      </w:pPr>
    </w:p>
    <w:p w:rsidR="006548E8" w:rsidRDefault="006548E8" w:rsidP="006548E8">
      <w:pPr>
        <w:pStyle w:val="ListParagraph"/>
        <w:ind w:left="0"/>
        <w:rPr>
          <w:color w:val="000000"/>
        </w:rPr>
      </w:pPr>
      <w:r>
        <w:t xml:space="preserve">Based on the 2016 U.S. Census data, Maine has a small minority population that is geographically spread across the state with concentrations in urbanized areas.  </w:t>
      </w:r>
      <w:r>
        <w:rPr>
          <w:color w:val="000000"/>
        </w:rPr>
        <w:t xml:space="preserve">The summary table below shows white and non-white populations for each of the counties. Non-white populations include Black or African American, American Indian and Alaska Native, Asian, Native Hawaiian and </w:t>
      </w:r>
      <w:proofErr w:type="gramStart"/>
      <w:r>
        <w:rPr>
          <w:color w:val="000000"/>
        </w:rPr>
        <w:t>Other</w:t>
      </w:r>
      <w:proofErr w:type="gramEnd"/>
      <w:r>
        <w:rPr>
          <w:color w:val="000000"/>
        </w:rPr>
        <w:t xml:space="preserve"> Pacific Islander, and Some Other Race.  Maine </w:t>
      </w:r>
      <w:proofErr w:type="gramStart"/>
      <w:r>
        <w:rPr>
          <w:color w:val="000000"/>
        </w:rPr>
        <w:t>as a whole has</w:t>
      </w:r>
      <w:proofErr w:type="gramEnd"/>
      <w:r>
        <w:rPr>
          <w:color w:val="000000"/>
        </w:rPr>
        <w:t xml:space="preserve"> an estimated minority population of 3.3%.  Approximately 67% of Maine’s minority population lives in four counties:</w:t>
      </w:r>
    </w:p>
    <w:p w:rsidR="006548E8" w:rsidRDefault="006548E8" w:rsidP="006548E8">
      <w:pPr>
        <w:pStyle w:val="ListParagraph"/>
        <w:ind w:left="0"/>
        <w:rPr>
          <w:color w:val="000000"/>
        </w:rPr>
      </w:pPr>
    </w:p>
    <w:p w:rsidR="006548E8" w:rsidRDefault="006548E8" w:rsidP="006548E8">
      <w:pPr>
        <w:pStyle w:val="ListParagraph"/>
        <w:numPr>
          <w:ilvl w:val="0"/>
          <w:numId w:val="1"/>
        </w:numPr>
        <w:rPr>
          <w:color w:val="000000"/>
        </w:rPr>
      </w:pPr>
      <w:r>
        <w:rPr>
          <w:color w:val="000000"/>
        </w:rPr>
        <w:t>Androscoggin County: 3,219 people, of whom approximately 88% live in Auburn and Lewiston</w:t>
      </w:r>
    </w:p>
    <w:p w:rsidR="006548E8" w:rsidRDefault="006548E8" w:rsidP="006548E8">
      <w:pPr>
        <w:pStyle w:val="ListParagraph"/>
        <w:numPr>
          <w:ilvl w:val="0"/>
          <w:numId w:val="1"/>
        </w:numPr>
        <w:rPr>
          <w:color w:val="000000"/>
        </w:rPr>
      </w:pPr>
      <w:r>
        <w:rPr>
          <w:color w:val="000000"/>
        </w:rPr>
        <w:t>Cumberland County: 15,782 people, of whom approximately 76% live in Portland, Westbrook, South Portland and Scarborough.</w:t>
      </w:r>
    </w:p>
    <w:p w:rsidR="006548E8" w:rsidRDefault="006548E8" w:rsidP="006548E8">
      <w:pPr>
        <w:pStyle w:val="ListParagraph"/>
        <w:numPr>
          <w:ilvl w:val="0"/>
          <w:numId w:val="1"/>
        </w:numPr>
        <w:rPr>
          <w:color w:val="000000"/>
        </w:rPr>
      </w:pPr>
      <w:r>
        <w:rPr>
          <w:color w:val="000000"/>
        </w:rPr>
        <w:t xml:space="preserve">Penobscot County: 5062, of whom approximately 62% live in Bangor, Brewer, Old Town, </w:t>
      </w:r>
      <w:proofErr w:type="spellStart"/>
      <w:r>
        <w:rPr>
          <w:color w:val="000000"/>
        </w:rPr>
        <w:t>Orono</w:t>
      </w:r>
      <w:proofErr w:type="spellEnd"/>
      <w:r>
        <w:rPr>
          <w:color w:val="000000"/>
        </w:rPr>
        <w:t xml:space="preserve">, </w:t>
      </w:r>
      <w:proofErr w:type="spellStart"/>
      <w:r>
        <w:rPr>
          <w:color w:val="000000"/>
        </w:rPr>
        <w:t>Veazie</w:t>
      </w:r>
      <w:proofErr w:type="spellEnd"/>
      <w:r>
        <w:rPr>
          <w:color w:val="000000"/>
        </w:rPr>
        <w:t xml:space="preserve"> and Hampden.</w:t>
      </w:r>
    </w:p>
    <w:p w:rsidR="006548E8" w:rsidRDefault="006548E8" w:rsidP="006548E8">
      <w:pPr>
        <w:pStyle w:val="ListParagraph"/>
        <w:numPr>
          <w:ilvl w:val="0"/>
          <w:numId w:val="1"/>
        </w:numPr>
        <w:rPr>
          <w:color w:val="000000"/>
        </w:rPr>
      </w:pPr>
      <w:r>
        <w:rPr>
          <w:color w:val="000000"/>
        </w:rPr>
        <w:t>York County: 5,042 people, of whom approximately 35%, live in Biddeford, Saco and Old Orchard Beach.</w:t>
      </w:r>
    </w:p>
    <w:p w:rsidR="006548E8" w:rsidRDefault="006548E8" w:rsidP="006548E8">
      <w:pPr>
        <w:pStyle w:val="ListParagraph"/>
        <w:ind w:left="0"/>
        <w:rPr>
          <w:color w:val="000000"/>
        </w:rPr>
      </w:pPr>
    </w:p>
    <w:p w:rsidR="006548E8" w:rsidRDefault="006548E8" w:rsidP="006548E8">
      <w:pPr>
        <w:pStyle w:val="ListParagraph"/>
        <w:ind w:left="0"/>
        <w:rPr>
          <w:rFonts w:eastAsia="Calibri"/>
        </w:rPr>
      </w:pPr>
      <w:r>
        <w:rPr>
          <w:rFonts w:eastAsia="Calibri"/>
        </w:rPr>
        <w:t xml:space="preserve">Washington County has the greatest percentage of minority population with 6.1%.  This population is comprised primarily of the Native American Passamaquoddy Tribe, and some Penobscot and Maliseet presence.  Census tract data shows that there are also concentrations of the Houlton Band of Maliseet Indians in Aroostook County. The Penobscot Nation </w:t>
      </w:r>
      <w:proofErr w:type="gramStart"/>
      <w:r>
        <w:rPr>
          <w:rFonts w:eastAsia="Calibri"/>
        </w:rPr>
        <w:t>is located in</w:t>
      </w:r>
      <w:proofErr w:type="gramEnd"/>
      <w:r>
        <w:rPr>
          <w:rFonts w:eastAsia="Calibri"/>
        </w:rPr>
        <w:t xml:space="preserve"> Penobscot County.   Outside of Washington County, the more heavily populated and urbanized Cumberland County is the only other county with a minority population greater than 5%.</w:t>
      </w: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rFonts w:eastAsia="Calibri"/>
        </w:rPr>
      </w:pPr>
    </w:p>
    <w:p w:rsidR="006548E8" w:rsidRDefault="006548E8" w:rsidP="006548E8">
      <w:pPr>
        <w:pStyle w:val="ListParagraph"/>
        <w:ind w:left="0"/>
        <w:rPr>
          <w:color w:val="000000"/>
        </w:rPr>
      </w:pPr>
    </w:p>
    <w:tbl>
      <w:tblPr>
        <w:tblW w:w="8490" w:type="dxa"/>
        <w:tblInd w:w="115" w:type="dxa"/>
        <w:tblLayout w:type="fixed"/>
        <w:tblCellMar>
          <w:left w:w="30" w:type="dxa"/>
          <w:right w:w="30" w:type="dxa"/>
        </w:tblCellMar>
        <w:tblLook w:val="04A0" w:firstRow="1" w:lastRow="0" w:firstColumn="1" w:lastColumn="0" w:noHBand="0" w:noVBand="1"/>
      </w:tblPr>
      <w:tblGrid>
        <w:gridCol w:w="2550"/>
        <w:gridCol w:w="1710"/>
        <w:gridCol w:w="1530"/>
        <w:gridCol w:w="1260"/>
        <w:gridCol w:w="1440"/>
      </w:tblGrid>
      <w:tr w:rsidR="006548E8" w:rsidTr="006548E8">
        <w:trPr>
          <w:trHeight w:val="290"/>
        </w:trPr>
        <w:tc>
          <w:tcPr>
            <w:tcW w:w="8490" w:type="dxa"/>
            <w:gridSpan w:val="5"/>
            <w:tcBorders>
              <w:top w:val="single" w:sz="4" w:space="0" w:color="auto"/>
              <w:left w:val="single" w:sz="6"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b/>
                <w:bCs/>
                <w:color w:val="000000"/>
              </w:rPr>
            </w:pPr>
            <w:r>
              <w:rPr>
                <w:b/>
                <w:bCs/>
                <w:color w:val="000000"/>
              </w:rPr>
              <w:t>State of Maine</w:t>
            </w:r>
          </w:p>
          <w:p w:rsidR="006548E8" w:rsidRDefault="006548E8">
            <w:pPr>
              <w:autoSpaceDE w:val="0"/>
              <w:autoSpaceDN w:val="0"/>
              <w:adjustRightInd w:val="0"/>
              <w:spacing w:line="276" w:lineRule="auto"/>
              <w:jc w:val="center"/>
              <w:rPr>
                <w:rFonts w:ascii="Calibri" w:hAnsi="Calibri" w:cs="Calibri"/>
                <w:b/>
                <w:color w:val="000000"/>
              </w:rPr>
            </w:pPr>
            <w:r>
              <w:rPr>
                <w:b/>
                <w:bCs/>
                <w:color w:val="000000"/>
              </w:rPr>
              <w:t>Race Demographics by State/County</w:t>
            </w:r>
          </w:p>
        </w:tc>
      </w:tr>
      <w:tr w:rsidR="006548E8" w:rsidTr="006548E8">
        <w:trPr>
          <w:trHeight w:val="290"/>
        </w:trPr>
        <w:tc>
          <w:tcPr>
            <w:tcW w:w="2550" w:type="dxa"/>
            <w:tcBorders>
              <w:top w:val="single" w:sz="4" w:space="0" w:color="auto"/>
              <w:left w:val="single" w:sz="6" w:space="0" w:color="auto"/>
              <w:bottom w:val="single" w:sz="4" w:space="0" w:color="auto"/>
              <w:right w:val="single" w:sz="6" w:space="0" w:color="auto"/>
            </w:tcBorders>
            <w:tcMar>
              <w:top w:w="0" w:type="dxa"/>
              <w:left w:w="115" w:type="dxa"/>
              <w:bottom w:w="0" w:type="dxa"/>
              <w:right w:w="115" w:type="dxa"/>
            </w:tcMar>
          </w:tcPr>
          <w:p w:rsidR="006548E8" w:rsidRDefault="006548E8">
            <w:pPr>
              <w:autoSpaceDE w:val="0"/>
              <w:autoSpaceDN w:val="0"/>
              <w:adjustRightInd w:val="0"/>
              <w:spacing w:line="276" w:lineRule="auto"/>
              <w:jc w:val="center"/>
              <w:rPr>
                <w:b/>
                <w:color w:val="000000"/>
                <w:sz w:val="22"/>
                <w:szCs w:val="22"/>
              </w:rPr>
            </w:pPr>
          </w:p>
          <w:p w:rsidR="006548E8" w:rsidRDefault="006548E8">
            <w:pPr>
              <w:autoSpaceDE w:val="0"/>
              <w:autoSpaceDN w:val="0"/>
              <w:adjustRightInd w:val="0"/>
              <w:spacing w:line="276" w:lineRule="auto"/>
              <w:jc w:val="center"/>
              <w:rPr>
                <w:b/>
                <w:color w:val="000000"/>
                <w:sz w:val="22"/>
                <w:szCs w:val="22"/>
              </w:rPr>
            </w:pPr>
            <w:r>
              <w:rPr>
                <w:b/>
                <w:color w:val="000000"/>
                <w:sz w:val="22"/>
                <w:szCs w:val="22"/>
              </w:rPr>
              <w:t>County</w:t>
            </w:r>
          </w:p>
        </w:tc>
        <w:tc>
          <w:tcPr>
            <w:tcW w:w="1710" w:type="dxa"/>
            <w:tcBorders>
              <w:top w:val="single" w:sz="4" w:space="0" w:color="auto"/>
              <w:left w:val="nil"/>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b/>
                <w:color w:val="000000"/>
                <w:sz w:val="22"/>
                <w:szCs w:val="22"/>
              </w:rPr>
            </w:pPr>
            <w:r>
              <w:rPr>
                <w:b/>
                <w:color w:val="000000"/>
                <w:sz w:val="22"/>
                <w:szCs w:val="22"/>
              </w:rPr>
              <w:t>Total Population</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b/>
                <w:color w:val="000000"/>
                <w:sz w:val="22"/>
                <w:szCs w:val="22"/>
              </w:rPr>
            </w:pPr>
            <w:r>
              <w:rPr>
                <w:b/>
                <w:color w:val="000000"/>
                <w:sz w:val="22"/>
                <w:szCs w:val="22"/>
              </w:rPr>
              <w:t>White</w:t>
            </w:r>
          </w:p>
          <w:p w:rsidR="006548E8" w:rsidRDefault="006548E8">
            <w:pPr>
              <w:autoSpaceDE w:val="0"/>
              <w:autoSpaceDN w:val="0"/>
              <w:adjustRightInd w:val="0"/>
              <w:spacing w:line="276" w:lineRule="auto"/>
              <w:jc w:val="center"/>
              <w:rPr>
                <w:b/>
                <w:color w:val="000000"/>
                <w:sz w:val="22"/>
                <w:szCs w:val="22"/>
              </w:rPr>
            </w:pPr>
            <w:r>
              <w:rPr>
                <w:b/>
                <w:color w:val="000000"/>
                <w:sz w:val="22"/>
                <w:szCs w:val="22"/>
              </w:rPr>
              <w:t>#</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b/>
                <w:color w:val="000000"/>
                <w:sz w:val="22"/>
                <w:szCs w:val="22"/>
              </w:rPr>
            </w:pPr>
            <w:r>
              <w:rPr>
                <w:b/>
                <w:color w:val="000000"/>
                <w:sz w:val="22"/>
                <w:szCs w:val="22"/>
              </w:rPr>
              <w:t>Minority</w:t>
            </w:r>
          </w:p>
          <w:p w:rsidR="006548E8" w:rsidRDefault="006548E8">
            <w:pPr>
              <w:autoSpaceDE w:val="0"/>
              <w:autoSpaceDN w:val="0"/>
              <w:adjustRightInd w:val="0"/>
              <w:spacing w:line="276" w:lineRule="auto"/>
              <w:jc w:val="center"/>
              <w:rPr>
                <w:b/>
                <w:color w:val="000000"/>
                <w:sz w:val="22"/>
                <w:szCs w:val="22"/>
              </w:rPr>
            </w:pPr>
            <w:r>
              <w:rPr>
                <w:b/>
                <w:color w:val="000000"/>
                <w:sz w:val="22"/>
                <w:szCs w:val="22"/>
              </w:rPr>
              <w:t>#</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b/>
                <w:color w:val="000000"/>
                <w:sz w:val="22"/>
                <w:szCs w:val="22"/>
              </w:rPr>
            </w:pPr>
            <w:r>
              <w:rPr>
                <w:b/>
                <w:color w:val="000000"/>
                <w:sz w:val="22"/>
                <w:szCs w:val="22"/>
              </w:rPr>
              <w:t>Minority</w:t>
            </w:r>
          </w:p>
          <w:p w:rsidR="006548E8" w:rsidRDefault="006548E8">
            <w:pPr>
              <w:autoSpaceDE w:val="0"/>
              <w:autoSpaceDN w:val="0"/>
              <w:adjustRightInd w:val="0"/>
              <w:spacing w:line="276" w:lineRule="auto"/>
              <w:jc w:val="center"/>
              <w:rPr>
                <w:b/>
                <w:color w:val="000000"/>
                <w:sz w:val="22"/>
                <w:szCs w:val="22"/>
              </w:rPr>
            </w:pPr>
            <w:r>
              <w:rPr>
                <w:b/>
                <w:color w:val="000000"/>
                <w:sz w:val="22"/>
                <w:szCs w:val="22"/>
              </w:rPr>
              <w:t>%</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rsidR="006548E8" w:rsidRDefault="006548E8">
            <w:pPr>
              <w:autoSpaceDE w:val="0"/>
              <w:autoSpaceDN w:val="0"/>
              <w:adjustRightInd w:val="0"/>
              <w:spacing w:line="276" w:lineRule="auto"/>
              <w:jc w:val="center"/>
              <w:rPr>
                <w:b/>
                <w:color w:val="000000"/>
                <w:sz w:val="22"/>
                <w:szCs w:val="22"/>
              </w:rPr>
            </w:pPr>
            <w:r>
              <w:rPr>
                <w:b/>
                <w:color w:val="000000"/>
                <w:sz w:val="22"/>
                <w:szCs w:val="22"/>
              </w:rPr>
              <w:t>Maine</w:t>
            </w:r>
          </w:p>
        </w:tc>
        <w:tc>
          <w:tcPr>
            <w:tcW w:w="171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rsidR="006548E8" w:rsidRDefault="006548E8">
            <w:pPr>
              <w:autoSpaceDE w:val="0"/>
              <w:autoSpaceDN w:val="0"/>
              <w:adjustRightInd w:val="0"/>
              <w:spacing w:line="276" w:lineRule="auto"/>
              <w:jc w:val="center"/>
              <w:rPr>
                <w:b/>
                <w:color w:val="000000"/>
                <w:sz w:val="22"/>
                <w:szCs w:val="22"/>
              </w:rPr>
            </w:pPr>
            <w:r>
              <w:rPr>
                <w:b/>
                <w:color w:val="000000"/>
                <w:sz w:val="22"/>
                <w:szCs w:val="22"/>
              </w:rPr>
              <w:t>1,329,923</w:t>
            </w:r>
          </w:p>
        </w:tc>
        <w:tc>
          <w:tcPr>
            <w:tcW w:w="153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rsidR="006548E8" w:rsidRDefault="006548E8">
            <w:pPr>
              <w:autoSpaceDE w:val="0"/>
              <w:autoSpaceDN w:val="0"/>
              <w:adjustRightInd w:val="0"/>
              <w:spacing w:line="276" w:lineRule="auto"/>
              <w:jc w:val="center"/>
              <w:rPr>
                <w:b/>
                <w:color w:val="000000"/>
                <w:sz w:val="22"/>
                <w:szCs w:val="22"/>
              </w:rPr>
            </w:pPr>
            <w:r>
              <w:rPr>
                <w:b/>
                <w:color w:val="000000"/>
                <w:sz w:val="22"/>
                <w:szCs w:val="22"/>
              </w:rPr>
              <w:t>1,286,400</w:t>
            </w:r>
          </w:p>
        </w:tc>
        <w:tc>
          <w:tcPr>
            <w:tcW w:w="126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rsidR="006548E8" w:rsidRDefault="006548E8">
            <w:pPr>
              <w:autoSpaceDE w:val="0"/>
              <w:autoSpaceDN w:val="0"/>
              <w:adjustRightInd w:val="0"/>
              <w:spacing w:line="276" w:lineRule="auto"/>
              <w:jc w:val="center"/>
              <w:rPr>
                <w:b/>
                <w:color w:val="000000"/>
                <w:sz w:val="22"/>
                <w:szCs w:val="22"/>
              </w:rPr>
            </w:pPr>
            <w:r>
              <w:rPr>
                <w:b/>
                <w:color w:val="000000"/>
                <w:sz w:val="22"/>
                <w:szCs w:val="22"/>
              </w:rPr>
              <w:t>43,523</w:t>
            </w:r>
          </w:p>
        </w:tc>
        <w:tc>
          <w:tcPr>
            <w:tcW w:w="1440" w:type="dxa"/>
            <w:tcBorders>
              <w:top w:val="single" w:sz="4" w:space="0" w:color="auto"/>
              <w:left w:val="single" w:sz="4" w:space="0" w:color="auto"/>
              <w:bottom w:val="single" w:sz="4" w:space="0" w:color="auto"/>
              <w:right w:val="single" w:sz="4" w:space="0" w:color="auto"/>
            </w:tcBorders>
            <w:shd w:val="pct25" w:color="auto" w:fill="auto"/>
            <w:tcMar>
              <w:top w:w="0" w:type="dxa"/>
              <w:left w:w="115" w:type="dxa"/>
              <w:bottom w:w="0" w:type="dxa"/>
              <w:right w:w="115" w:type="dxa"/>
            </w:tcMar>
            <w:hideMark/>
          </w:tcPr>
          <w:p w:rsidR="006548E8" w:rsidRDefault="006548E8">
            <w:pPr>
              <w:autoSpaceDE w:val="0"/>
              <w:autoSpaceDN w:val="0"/>
              <w:adjustRightInd w:val="0"/>
              <w:spacing w:line="276" w:lineRule="auto"/>
              <w:jc w:val="center"/>
              <w:rPr>
                <w:b/>
                <w:color w:val="000000"/>
                <w:sz w:val="22"/>
                <w:szCs w:val="22"/>
              </w:rPr>
            </w:pPr>
            <w:r>
              <w:rPr>
                <w:b/>
                <w:color w:val="000000"/>
                <w:sz w:val="22"/>
                <w:szCs w:val="22"/>
              </w:rPr>
              <w:t>3.3</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Androscoggin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107,376</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104,157</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3,219</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3.0</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Aroostook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69,405</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67,173</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2,242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3.2</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Cumberland</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288,204</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272,422</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15,782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5.5</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Franklin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30,270</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29,739</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531</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1.8</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Hancock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54,483</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53,258</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1,225</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2.2</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Kennebec</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120,953</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117,374</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3,579</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3.0</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Knox</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39,717</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38,945</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772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1.9</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Lincoln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34,165</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33,418</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747</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2.2</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Oxford</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57,299</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56,325</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974</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1.7</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Penobscot</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152,978</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147,916</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5,062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3.3</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Piscataquis</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17,044</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16,695</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349</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2.0</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Sagadahoc</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35,134</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34,446</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668</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1.9</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Somerset</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51,363</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50,651</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802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1.4</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Waldo</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39,071</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38,391</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680</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1.7</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Washington</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31,925</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29,986</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1,939</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6.1</w:t>
            </w:r>
          </w:p>
        </w:tc>
      </w:tr>
      <w:tr w:rsidR="006548E8" w:rsidTr="006548E8">
        <w:trPr>
          <w:trHeight w:val="290"/>
        </w:trPr>
        <w:tc>
          <w:tcPr>
            <w:tcW w:w="255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York</w:t>
            </w:r>
          </w:p>
        </w:tc>
        <w:tc>
          <w:tcPr>
            <w:tcW w:w="17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200,536</w:t>
            </w:r>
          </w:p>
        </w:tc>
        <w:tc>
          <w:tcPr>
            <w:tcW w:w="153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195,494</w:t>
            </w:r>
          </w:p>
        </w:tc>
        <w:tc>
          <w:tcPr>
            <w:tcW w:w="126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5042</w:t>
            </w:r>
          </w:p>
        </w:tc>
        <w:tc>
          <w:tcPr>
            <w:tcW w:w="144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color w:val="000000"/>
                <w:sz w:val="22"/>
                <w:szCs w:val="22"/>
              </w:rPr>
            </w:pPr>
            <w:r>
              <w:rPr>
                <w:color w:val="000000"/>
                <w:sz w:val="22"/>
                <w:szCs w:val="22"/>
              </w:rPr>
              <w:t>2.5</w:t>
            </w:r>
          </w:p>
        </w:tc>
      </w:tr>
    </w:tbl>
    <w:p w:rsidR="006548E8" w:rsidRDefault="006548E8" w:rsidP="006548E8">
      <w:pPr>
        <w:pStyle w:val="ListParagraph"/>
        <w:ind w:left="0"/>
        <w:rPr>
          <w:color w:val="000000"/>
          <w:sz w:val="20"/>
          <w:szCs w:val="20"/>
        </w:rPr>
      </w:pPr>
      <w:r>
        <w:rPr>
          <w:color w:val="000000"/>
          <w:sz w:val="20"/>
          <w:szCs w:val="20"/>
        </w:rPr>
        <w:t>Source:  American Community Survey 2012-2016, DP05</w:t>
      </w:r>
    </w:p>
    <w:p w:rsidR="00ED0FA5" w:rsidRDefault="00ED0FA5" w:rsidP="006548E8">
      <w:pPr>
        <w:pStyle w:val="ListParagraph"/>
        <w:ind w:left="0"/>
        <w:rPr>
          <w:color w:val="000000"/>
          <w:sz w:val="20"/>
          <w:szCs w:val="20"/>
        </w:rPr>
      </w:pPr>
    </w:p>
    <w:p w:rsidR="00ED0FA5" w:rsidRDefault="00ED0FA5" w:rsidP="006548E8">
      <w:pPr>
        <w:pStyle w:val="ListParagraph"/>
        <w:ind w:left="0"/>
        <w:rPr>
          <w:color w:val="000000"/>
          <w:sz w:val="20"/>
          <w:szCs w:val="20"/>
        </w:rPr>
      </w:pPr>
    </w:p>
    <w:p w:rsidR="00ED0FA5" w:rsidRPr="00ED0FA5" w:rsidRDefault="00ED0FA5" w:rsidP="006548E8">
      <w:pPr>
        <w:pStyle w:val="ListParagraph"/>
        <w:ind w:left="0"/>
        <w:rPr>
          <w:color w:val="000000"/>
        </w:rPr>
      </w:pPr>
      <w:r>
        <w:rPr>
          <w:color w:val="000000"/>
        </w:rPr>
        <w:t>The map on the following page identifies minority populations by county.</w:t>
      </w:r>
    </w:p>
    <w:p w:rsidR="006548E8" w:rsidRDefault="006548E8" w:rsidP="006548E8">
      <w:pPr>
        <w:pStyle w:val="ListParagraph"/>
        <w:ind w:left="0"/>
        <w:rPr>
          <w:color w:val="000000"/>
          <w:sz w:val="18"/>
          <w:szCs w:val="18"/>
        </w:rPr>
      </w:pPr>
      <w:r>
        <w:rPr>
          <w:noProof/>
          <w:color w:val="000000"/>
        </w:rPr>
        <w:lastRenderedPageBreak/>
        <w:drawing>
          <wp:inline distT="0" distB="0" distL="0" distR="0">
            <wp:extent cx="6057900" cy="808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7900" cy="8086725"/>
                    </a:xfrm>
                    <a:prstGeom prst="rect">
                      <a:avLst/>
                    </a:prstGeom>
                    <a:noFill/>
                    <a:ln>
                      <a:noFill/>
                    </a:ln>
                  </pic:spPr>
                </pic:pic>
              </a:graphicData>
            </a:graphic>
          </wp:inline>
        </w:drawing>
      </w:r>
    </w:p>
    <w:p w:rsidR="006548E8" w:rsidRDefault="006548E8" w:rsidP="006548E8">
      <w:pPr>
        <w:autoSpaceDE w:val="0"/>
        <w:autoSpaceDN w:val="0"/>
        <w:adjustRightInd w:val="0"/>
        <w:rPr>
          <w:rFonts w:eastAsia="Calibri"/>
          <w:b/>
          <w:bCs/>
        </w:rPr>
      </w:pPr>
    </w:p>
    <w:p w:rsidR="006548E8" w:rsidRDefault="006548E8" w:rsidP="006548E8">
      <w:pPr>
        <w:autoSpaceDE w:val="0"/>
        <w:autoSpaceDN w:val="0"/>
        <w:adjustRightInd w:val="0"/>
        <w:rPr>
          <w:rFonts w:eastAsia="Calibri"/>
          <w:b/>
          <w:bCs/>
        </w:rPr>
      </w:pPr>
    </w:p>
    <w:p w:rsidR="006548E8" w:rsidRDefault="00ED0FA5" w:rsidP="006548E8">
      <w:pPr>
        <w:autoSpaceDE w:val="0"/>
        <w:autoSpaceDN w:val="0"/>
        <w:adjustRightInd w:val="0"/>
        <w:rPr>
          <w:rFonts w:eastAsia="Calibri"/>
          <w:b/>
          <w:bCs/>
        </w:rPr>
      </w:pPr>
      <w:r>
        <w:rPr>
          <w:rFonts w:eastAsia="Calibri"/>
          <w:b/>
          <w:bCs/>
        </w:rPr>
        <w:t xml:space="preserve">2.  </w:t>
      </w:r>
      <w:r w:rsidR="006548E8">
        <w:rPr>
          <w:rFonts w:eastAsia="Calibri"/>
          <w:b/>
          <w:bCs/>
        </w:rPr>
        <w:t>Non-American National Origin</w:t>
      </w:r>
    </w:p>
    <w:p w:rsidR="006548E8" w:rsidRDefault="006548E8" w:rsidP="006548E8">
      <w:pPr>
        <w:autoSpaceDE w:val="0"/>
        <w:autoSpaceDN w:val="0"/>
        <w:adjustRightInd w:val="0"/>
        <w:rPr>
          <w:rFonts w:eastAsia="Calibri"/>
          <w:b/>
          <w:bCs/>
        </w:rPr>
      </w:pPr>
    </w:p>
    <w:p w:rsidR="006548E8" w:rsidRDefault="006548E8" w:rsidP="006548E8">
      <w:pPr>
        <w:autoSpaceDE w:val="0"/>
        <w:autoSpaceDN w:val="0"/>
        <w:adjustRightInd w:val="0"/>
        <w:rPr>
          <w:rFonts w:eastAsia="Calibri"/>
        </w:rPr>
      </w:pPr>
      <w:r>
        <w:rPr>
          <w:rFonts w:eastAsia="Calibri"/>
        </w:rPr>
        <w:t xml:space="preserve">The map representing data on the national origin of Maine residents is similar in many ways to the maps of minorities. The core of Cumberland County again has the highest totals and the whole southern area has higher numbers than the rest of the state. The Saint John River Valley also has several towns in the upper categories. Towns along the Canadian border show up more prominently in this map than the minorities map, reflecting a higher representation of French Canadians. The map of concentrations of non-American born residents shows many of these Canadian border towns with percentages higher than the state average, though most of these towns are sparsely populated. Cumberland and Androscoggin Counties have concentrations of non-natives, due to the Maine Refugee Resettlement Program centered in Portland (Cumberland County) and Lewiston (Androscoggin County).  There are relatively few towns in the western and eastern areas of the state with concentrations of non-natives, other than clusters around Augusta and Bangor. </w:t>
      </w:r>
    </w:p>
    <w:p w:rsidR="006548E8" w:rsidRDefault="006548E8" w:rsidP="006548E8">
      <w:pPr>
        <w:pStyle w:val="ListParagraph"/>
        <w:ind w:left="0"/>
        <w:rPr>
          <w:b/>
          <w:color w:val="000000"/>
        </w:rPr>
      </w:pPr>
    </w:p>
    <w:tbl>
      <w:tblPr>
        <w:tblW w:w="8220" w:type="dxa"/>
        <w:tblInd w:w="-335" w:type="dxa"/>
        <w:tblLayout w:type="fixed"/>
        <w:tblCellMar>
          <w:left w:w="30" w:type="dxa"/>
          <w:right w:w="30" w:type="dxa"/>
        </w:tblCellMar>
        <w:tblLook w:val="04A0" w:firstRow="1" w:lastRow="0" w:firstColumn="1" w:lastColumn="0" w:noHBand="0" w:noVBand="1"/>
      </w:tblPr>
      <w:tblGrid>
        <w:gridCol w:w="1770"/>
        <w:gridCol w:w="1680"/>
        <w:gridCol w:w="1680"/>
        <w:gridCol w:w="1680"/>
        <w:gridCol w:w="1410"/>
      </w:tblGrid>
      <w:tr w:rsidR="006548E8" w:rsidTr="006548E8">
        <w:trPr>
          <w:trHeight w:val="290"/>
        </w:trPr>
        <w:tc>
          <w:tcPr>
            <w:tcW w:w="1770" w:type="dxa"/>
            <w:tcBorders>
              <w:top w:val="single" w:sz="4" w:space="0" w:color="auto"/>
              <w:left w:val="single" w:sz="6" w:space="0" w:color="auto"/>
              <w:bottom w:val="single" w:sz="4" w:space="0" w:color="auto"/>
              <w:right w:val="single" w:sz="6" w:space="0" w:color="auto"/>
            </w:tcBorders>
            <w:tcMar>
              <w:top w:w="0" w:type="dxa"/>
              <w:left w:w="115" w:type="dxa"/>
              <w:bottom w:w="0" w:type="dxa"/>
              <w:right w:w="115" w:type="dxa"/>
            </w:tcMar>
          </w:tcPr>
          <w:p w:rsidR="006548E8" w:rsidRDefault="006548E8">
            <w:pPr>
              <w:autoSpaceDE w:val="0"/>
              <w:autoSpaceDN w:val="0"/>
              <w:adjustRightInd w:val="0"/>
              <w:spacing w:line="276" w:lineRule="auto"/>
              <w:jc w:val="center"/>
              <w:rPr>
                <w:b/>
                <w:sz w:val="22"/>
                <w:szCs w:val="22"/>
              </w:rPr>
            </w:pPr>
          </w:p>
          <w:p w:rsidR="006548E8" w:rsidRDefault="006548E8">
            <w:pPr>
              <w:autoSpaceDE w:val="0"/>
              <w:autoSpaceDN w:val="0"/>
              <w:adjustRightInd w:val="0"/>
              <w:spacing w:line="276" w:lineRule="auto"/>
              <w:jc w:val="center"/>
              <w:rPr>
                <w:b/>
                <w:sz w:val="22"/>
                <w:szCs w:val="22"/>
              </w:rPr>
            </w:pPr>
            <w:r>
              <w:rPr>
                <w:b/>
                <w:sz w:val="22"/>
                <w:szCs w:val="22"/>
              </w:rPr>
              <w:t>County</w:t>
            </w:r>
          </w:p>
        </w:tc>
        <w:tc>
          <w:tcPr>
            <w:tcW w:w="1680" w:type="dxa"/>
            <w:tcBorders>
              <w:top w:val="single" w:sz="4" w:space="0" w:color="auto"/>
              <w:left w:val="nil"/>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b/>
                <w:sz w:val="22"/>
                <w:szCs w:val="22"/>
              </w:rPr>
            </w:pPr>
            <w:r>
              <w:rPr>
                <w:b/>
                <w:sz w:val="22"/>
                <w:szCs w:val="22"/>
              </w:rPr>
              <w:t>Total Population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b/>
                <w:sz w:val="22"/>
                <w:szCs w:val="22"/>
              </w:rPr>
            </w:pPr>
            <w:r>
              <w:rPr>
                <w:b/>
                <w:sz w:val="22"/>
                <w:szCs w:val="22"/>
              </w:rPr>
              <w:t>Native Born</w:t>
            </w:r>
          </w:p>
          <w:p w:rsidR="006548E8" w:rsidRDefault="006548E8">
            <w:pPr>
              <w:autoSpaceDE w:val="0"/>
              <w:autoSpaceDN w:val="0"/>
              <w:adjustRightInd w:val="0"/>
              <w:spacing w:line="276" w:lineRule="auto"/>
              <w:jc w:val="center"/>
              <w:rPr>
                <w:b/>
                <w:sz w:val="22"/>
                <w:szCs w:val="22"/>
              </w:rPr>
            </w:pPr>
            <w:r>
              <w:rPr>
                <w:b/>
                <w:sz w:val="22"/>
                <w:szCs w:val="22"/>
              </w:rPr>
              <w:t>#</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b/>
                <w:sz w:val="22"/>
                <w:szCs w:val="22"/>
              </w:rPr>
            </w:pPr>
            <w:r>
              <w:rPr>
                <w:b/>
                <w:sz w:val="22"/>
                <w:szCs w:val="22"/>
              </w:rPr>
              <w:t>Native Born</w:t>
            </w:r>
          </w:p>
          <w:p w:rsidR="006548E8" w:rsidRDefault="006548E8">
            <w:pPr>
              <w:autoSpaceDE w:val="0"/>
              <w:autoSpaceDN w:val="0"/>
              <w:adjustRightInd w:val="0"/>
              <w:spacing w:line="276" w:lineRule="auto"/>
              <w:jc w:val="center"/>
              <w:rPr>
                <w:b/>
                <w:sz w:val="22"/>
                <w:szCs w:val="22"/>
              </w:rPr>
            </w:pPr>
            <w:r>
              <w:rPr>
                <w:b/>
                <w:sz w:val="22"/>
                <w:szCs w:val="22"/>
              </w:rPr>
              <w:t>%</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b/>
                <w:sz w:val="22"/>
                <w:szCs w:val="22"/>
              </w:rPr>
            </w:pPr>
            <w:r>
              <w:rPr>
                <w:b/>
                <w:sz w:val="22"/>
                <w:szCs w:val="22"/>
              </w:rPr>
              <w:t>Foreign Born</w:t>
            </w:r>
          </w:p>
          <w:p w:rsidR="006548E8" w:rsidRDefault="006548E8">
            <w:pPr>
              <w:autoSpaceDE w:val="0"/>
              <w:autoSpaceDN w:val="0"/>
              <w:adjustRightInd w:val="0"/>
              <w:spacing w:line="276" w:lineRule="auto"/>
              <w:jc w:val="center"/>
              <w:rPr>
                <w:b/>
                <w:sz w:val="22"/>
                <w:szCs w:val="22"/>
              </w:rPr>
            </w:pPr>
            <w:r>
              <w:rPr>
                <w:b/>
                <w:sz w:val="22"/>
                <w:szCs w:val="22"/>
              </w:rPr>
              <w:t>%</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rsidR="006548E8" w:rsidRDefault="006548E8">
            <w:pPr>
              <w:autoSpaceDE w:val="0"/>
              <w:autoSpaceDN w:val="0"/>
              <w:adjustRightInd w:val="0"/>
              <w:spacing w:line="276" w:lineRule="auto"/>
              <w:jc w:val="center"/>
              <w:rPr>
                <w:b/>
                <w:sz w:val="22"/>
                <w:szCs w:val="22"/>
              </w:rPr>
            </w:pPr>
            <w:r>
              <w:rPr>
                <w:b/>
                <w:sz w:val="22"/>
                <w:szCs w:val="22"/>
              </w:rPr>
              <w:t>Maine</w:t>
            </w:r>
          </w:p>
        </w:tc>
        <w:tc>
          <w:tcPr>
            <w:tcW w:w="168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rsidR="006548E8" w:rsidRDefault="006548E8">
            <w:pPr>
              <w:autoSpaceDE w:val="0"/>
              <w:autoSpaceDN w:val="0"/>
              <w:adjustRightInd w:val="0"/>
              <w:spacing w:line="276" w:lineRule="auto"/>
              <w:jc w:val="center"/>
              <w:rPr>
                <w:b/>
                <w:sz w:val="22"/>
                <w:szCs w:val="22"/>
              </w:rPr>
            </w:pPr>
            <w:r>
              <w:rPr>
                <w:b/>
                <w:sz w:val="22"/>
                <w:szCs w:val="22"/>
              </w:rPr>
              <w:t>1,329,100</w:t>
            </w:r>
          </w:p>
        </w:tc>
        <w:tc>
          <w:tcPr>
            <w:tcW w:w="168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rsidR="006548E8" w:rsidRDefault="006548E8">
            <w:pPr>
              <w:autoSpaceDE w:val="0"/>
              <w:autoSpaceDN w:val="0"/>
              <w:adjustRightInd w:val="0"/>
              <w:spacing w:line="276" w:lineRule="auto"/>
              <w:jc w:val="center"/>
              <w:rPr>
                <w:b/>
                <w:sz w:val="22"/>
                <w:szCs w:val="22"/>
              </w:rPr>
            </w:pPr>
            <w:r>
              <w:rPr>
                <w:b/>
                <w:sz w:val="22"/>
                <w:szCs w:val="22"/>
              </w:rPr>
              <w:t>1,282,272</w:t>
            </w:r>
          </w:p>
        </w:tc>
        <w:tc>
          <w:tcPr>
            <w:tcW w:w="1680" w:type="dxa"/>
            <w:tcBorders>
              <w:top w:val="single" w:sz="4" w:space="0" w:color="auto"/>
              <w:left w:val="single" w:sz="4" w:space="0" w:color="auto"/>
              <w:bottom w:val="single" w:sz="4" w:space="0" w:color="auto"/>
              <w:right w:val="single" w:sz="4" w:space="0" w:color="auto"/>
            </w:tcBorders>
            <w:shd w:val="pct12" w:color="auto" w:fill="auto"/>
            <w:hideMark/>
          </w:tcPr>
          <w:p w:rsidR="006548E8" w:rsidRDefault="006548E8">
            <w:pPr>
              <w:autoSpaceDE w:val="0"/>
              <w:autoSpaceDN w:val="0"/>
              <w:adjustRightInd w:val="0"/>
              <w:spacing w:line="276" w:lineRule="auto"/>
              <w:jc w:val="center"/>
              <w:rPr>
                <w:b/>
                <w:sz w:val="22"/>
                <w:szCs w:val="22"/>
              </w:rPr>
            </w:pPr>
            <w:r>
              <w:rPr>
                <w:b/>
                <w:sz w:val="22"/>
                <w:szCs w:val="22"/>
              </w:rPr>
              <w:t>96.4%</w:t>
            </w:r>
          </w:p>
        </w:tc>
        <w:tc>
          <w:tcPr>
            <w:tcW w:w="1410" w:type="dxa"/>
            <w:tcBorders>
              <w:top w:val="single" w:sz="4" w:space="0" w:color="auto"/>
              <w:left w:val="single" w:sz="4" w:space="0" w:color="auto"/>
              <w:bottom w:val="single" w:sz="4" w:space="0" w:color="auto"/>
              <w:right w:val="single" w:sz="4" w:space="0" w:color="auto"/>
            </w:tcBorders>
            <w:shd w:val="pct12" w:color="auto" w:fill="auto"/>
            <w:tcMar>
              <w:top w:w="0" w:type="dxa"/>
              <w:left w:w="115" w:type="dxa"/>
              <w:bottom w:w="0" w:type="dxa"/>
              <w:right w:w="115" w:type="dxa"/>
            </w:tcMar>
            <w:hideMark/>
          </w:tcPr>
          <w:p w:rsidR="006548E8" w:rsidRDefault="006548E8">
            <w:pPr>
              <w:autoSpaceDE w:val="0"/>
              <w:autoSpaceDN w:val="0"/>
              <w:adjustRightInd w:val="0"/>
              <w:spacing w:line="276" w:lineRule="auto"/>
              <w:jc w:val="center"/>
              <w:rPr>
                <w:b/>
                <w:sz w:val="22"/>
                <w:szCs w:val="22"/>
              </w:rPr>
            </w:pPr>
            <w:r>
              <w:rPr>
                <w:b/>
                <w:sz w:val="22"/>
                <w:szCs w:val="22"/>
              </w:rPr>
              <w:t>3.6%</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Androscoggin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107,376</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104,169</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97.0%</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3.0%</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Aroostook</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69,405</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66,382</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95.6%</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4.4%</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Cumberland</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288,204</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270,054</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93.7%</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6.3%</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Franklin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30,270</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29,586</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97.7%</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2.3%</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Hancock</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54,483</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52,725</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96.8%</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3.2%</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Kennebec</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120,953</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118,037</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97.6%</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2.4%</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Knox</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39,717</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38,612</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97.2%</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2.8%</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Lincoln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34,165</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33,075</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96.8%</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3.2%</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Oxford</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57,299</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56,230</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98.1%</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1.9%</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Penobscot</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152,978</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148,832</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97.3%</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2.7%</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Piscataquis</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17,044</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16,752</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98.3%</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1.7%</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Sagadahoc</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35,134</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34,243</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97.5%</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2.5%</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Somerset</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51,363</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50,474</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98.3%</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1.7%</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Waldo</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39071</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38,062</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97.5%</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2.6%</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Washington</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31,925</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30,656</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96.0%</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4.0%</w:t>
            </w:r>
          </w:p>
        </w:tc>
      </w:tr>
      <w:tr w:rsidR="006548E8" w:rsidTr="006548E8">
        <w:trPr>
          <w:trHeight w:val="290"/>
        </w:trPr>
        <w:tc>
          <w:tcPr>
            <w:tcW w:w="177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rPr>
                <w:sz w:val="22"/>
                <w:szCs w:val="22"/>
              </w:rPr>
            </w:pPr>
            <w:r>
              <w:rPr>
                <w:sz w:val="22"/>
                <w:szCs w:val="22"/>
              </w:rPr>
              <w:t>York</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200,536</w:t>
            </w:r>
          </w:p>
        </w:tc>
        <w:tc>
          <w:tcPr>
            <w:tcW w:w="16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194,383</w:t>
            </w:r>
          </w:p>
        </w:tc>
        <w:tc>
          <w:tcPr>
            <w:tcW w:w="1680" w:type="dxa"/>
            <w:tcBorders>
              <w:top w:val="single" w:sz="4" w:space="0" w:color="auto"/>
              <w:left w:val="single" w:sz="4" w:space="0" w:color="auto"/>
              <w:bottom w:val="single" w:sz="4" w:space="0" w:color="auto"/>
              <w:right w:val="single" w:sz="4" w:space="0" w:color="auto"/>
            </w:tcBorders>
            <w:hideMark/>
          </w:tcPr>
          <w:p w:rsidR="006548E8" w:rsidRDefault="006548E8">
            <w:pPr>
              <w:autoSpaceDE w:val="0"/>
              <w:autoSpaceDN w:val="0"/>
              <w:adjustRightInd w:val="0"/>
              <w:spacing w:line="276" w:lineRule="auto"/>
              <w:jc w:val="center"/>
              <w:rPr>
                <w:sz w:val="22"/>
                <w:szCs w:val="22"/>
              </w:rPr>
            </w:pPr>
            <w:r>
              <w:rPr>
                <w:sz w:val="22"/>
                <w:szCs w:val="22"/>
              </w:rPr>
              <w:t>96.</w:t>
            </w:r>
          </w:p>
        </w:tc>
        <w:tc>
          <w:tcPr>
            <w:tcW w:w="141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6548E8" w:rsidRDefault="006548E8">
            <w:pPr>
              <w:autoSpaceDE w:val="0"/>
              <w:autoSpaceDN w:val="0"/>
              <w:adjustRightInd w:val="0"/>
              <w:spacing w:line="276" w:lineRule="auto"/>
              <w:jc w:val="center"/>
              <w:rPr>
                <w:sz w:val="22"/>
                <w:szCs w:val="22"/>
              </w:rPr>
            </w:pPr>
            <w:r>
              <w:rPr>
                <w:sz w:val="22"/>
                <w:szCs w:val="22"/>
              </w:rPr>
              <w:t>3.1%</w:t>
            </w:r>
          </w:p>
        </w:tc>
      </w:tr>
    </w:tbl>
    <w:p w:rsidR="00ED0FA5" w:rsidRDefault="006548E8" w:rsidP="006548E8">
      <w:pPr>
        <w:pStyle w:val="ListParagraph"/>
        <w:ind w:left="0"/>
        <w:rPr>
          <w:color w:val="000000"/>
        </w:rPr>
      </w:pPr>
      <w:r>
        <w:rPr>
          <w:color w:val="000000"/>
        </w:rPr>
        <w:t>Source:  2012-2016 American Community Survey, File DP02</w:t>
      </w:r>
    </w:p>
    <w:p w:rsidR="00ED0FA5" w:rsidRDefault="00ED0FA5" w:rsidP="006548E8">
      <w:pPr>
        <w:pStyle w:val="ListParagraph"/>
        <w:ind w:left="0"/>
        <w:rPr>
          <w:color w:val="000000"/>
        </w:rPr>
      </w:pPr>
    </w:p>
    <w:p w:rsidR="00ED0FA5" w:rsidRDefault="00ED0FA5" w:rsidP="006548E8">
      <w:pPr>
        <w:pStyle w:val="ListParagraph"/>
        <w:ind w:left="0"/>
        <w:rPr>
          <w:color w:val="000000"/>
        </w:rPr>
      </w:pPr>
    </w:p>
    <w:p w:rsidR="00ED0FA5" w:rsidRDefault="00ED0FA5" w:rsidP="00ED0FA5">
      <w:pPr>
        <w:pStyle w:val="ListParagraph"/>
        <w:ind w:left="-720"/>
        <w:rPr>
          <w:color w:val="000000"/>
        </w:rPr>
      </w:pPr>
      <w:r>
        <w:rPr>
          <w:color w:val="000000"/>
        </w:rPr>
        <w:tab/>
        <w:t>The map on the following page identifies Non-American National Origin populations by county.</w:t>
      </w:r>
    </w:p>
    <w:p w:rsidR="00ED0FA5" w:rsidRDefault="00ED0FA5" w:rsidP="006548E8">
      <w:pPr>
        <w:pStyle w:val="ListParagraph"/>
        <w:ind w:left="0"/>
        <w:rPr>
          <w:color w:val="000000"/>
        </w:rPr>
      </w:pPr>
    </w:p>
    <w:p w:rsidR="00ED0FA5" w:rsidRDefault="00ED0FA5" w:rsidP="006548E8">
      <w:pPr>
        <w:pStyle w:val="ListParagraph"/>
        <w:ind w:left="0"/>
        <w:rPr>
          <w:color w:val="000000"/>
        </w:rPr>
      </w:pPr>
    </w:p>
    <w:p w:rsidR="006548E8" w:rsidRPr="006548E8" w:rsidRDefault="006548E8" w:rsidP="006548E8">
      <w:pPr>
        <w:pStyle w:val="ListParagraph"/>
        <w:ind w:left="0"/>
        <w:rPr>
          <w:rFonts w:eastAsia="Calibri"/>
          <w:b/>
          <w:bCs/>
          <w:sz w:val="32"/>
          <w:szCs w:val="32"/>
        </w:rPr>
      </w:pPr>
      <w:r>
        <w:rPr>
          <w:color w:val="000000"/>
        </w:rPr>
        <w:br w:type="page"/>
      </w:r>
      <w:r>
        <w:rPr>
          <w:rFonts w:eastAsia="Calibri"/>
          <w:b/>
          <w:noProof/>
          <w:color w:val="FF0000"/>
        </w:rPr>
        <w:lastRenderedPageBreak/>
        <w:drawing>
          <wp:inline distT="0" distB="0" distL="0" distR="0">
            <wp:extent cx="6172200" cy="8162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0" cy="8162925"/>
                    </a:xfrm>
                    <a:prstGeom prst="rect">
                      <a:avLst/>
                    </a:prstGeom>
                    <a:noFill/>
                    <a:ln>
                      <a:noFill/>
                    </a:ln>
                  </pic:spPr>
                </pic:pic>
              </a:graphicData>
            </a:graphic>
          </wp:inline>
        </w:drawing>
      </w:r>
    </w:p>
    <w:p w:rsidR="006548E8" w:rsidRDefault="006548E8" w:rsidP="00B46AF8">
      <w:pPr>
        <w:autoSpaceDE w:val="0"/>
        <w:autoSpaceDN w:val="0"/>
        <w:adjustRightInd w:val="0"/>
        <w:rPr>
          <w:rFonts w:eastAsia="Calibri"/>
          <w:b/>
          <w:bCs/>
        </w:rPr>
      </w:pPr>
    </w:p>
    <w:p w:rsidR="006548E8" w:rsidRDefault="006548E8" w:rsidP="00B46AF8">
      <w:pPr>
        <w:autoSpaceDE w:val="0"/>
        <w:autoSpaceDN w:val="0"/>
        <w:adjustRightInd w:val="0"/>
        <w:rPr>
          <w:rFonts w:eastAsia="Calibri"/>
          <w:b/>
          <w:bCs/>
        </w:rPr>
      </w:pPr>
    </w:p>
    <w:p w:rsidR="006548E8" w:rsidRDefault="006548E8" w:rsidP="00B46AF8">
      <w:pPr>
        <w:autoSpaceDE w:val="0"/>
        <w:autoSpaceDN w:val="0"/>
        <w:adjustRightInd w:val="0"/>
        <w:rPr>
          <w:rFonts w:eastAsia="Calibri"/>
          <w:b/>
          <w:bCs/>
        </w:rPr>
      </w:pPr>
    </w:p>
    <w:p w:rsidR="006548E8" w:rsidRDefault="006548E8" w:rsidP="00B46AF8">
      <w:pPr>
        <w:autoSpaceDE w:val="0"/>
        <w:autoSpaceDN w:val="0"/>
        <w:adjustRightInd w:val="0"/>
        <w:rPr>
          <w:rFonts w:eastAsia="Calibri"/>
          <w:b/>
          <w:bCs/>
        </w:rPr>
      </w:pPr>
    </w:p>
    <w:p w:rsidR="00B46AF8" w:rsidRDefault="00ED0FA5" w:rsidP="00B46AF8">
      <w:pPr>
        <w:autoSpaceDE w:val="0"/>
        <w:autoSpaceDN w:val="0"/>
        <w:adjustRightInd w:val="0"/>
        <w:rPr>
          <w:rFonts w:eastAsia="Calibri"/>
          <w:b/>
          <w:bCs/>
        </w:rPr>
      </w:pPr>
      <w:r>
        <w:rPr>
          <w:rFonts w:eastAsia="Calibri"/>
          <w:b/>
          <w:bCs/>
        </w:rPr>
        <w:t xml:space="preserve">3.  </w:t>
      </w:r>
      <w:r w:rsidR="00B46AF8">
        <w:rPr>
          <w:rFonts w:eastAsia="Calibri"/>
          <w:b/>
          <w:bCs/>
        </w:rPr>
        <w:t>Low Income</w:t>
      </w:r>
    </w:p>
    <w:p w:rsidR="00ED0FA5" w:rsidRDefault="00ED0FA5" w:rsidP="00B46AF8">
      <w:pPr>
        <w:autoSpaceDE w:val="0"/>
        <w:autoSpaceDN w:val="0"/>
        <w:adjustRightInd w:val="0"/>
        <w:rPr>
          <w:rFonts w:eastAsia="Calibri"/>
          <w:b/>
          <w:bCs/>
        </w:rPr>
      </w:pPr>
    </w:p>
    <w:p w:rsidR="00B46AF8" w:rsidRDefault="00B46AF8" w:rsidP="00B46AF8">
      <w:pPr>
        <w:autoSpaceDE w:val="0"/>
        <w:autoSpaceDN w:val="0"/>
        <w:adjustRightInd w:val="0"/>
        <w:rPr>
          <w:rFonts w:eastAsia="Calibri"/>
        </w:rPr>
      </w:pPr>
      <w:r>
        <w:rPr>
          <w:rFonts w:eastAsia="Calibri"/>
        </w:rPr>
        <w:t xml:space="preserve">As a rural state without a large base of high-paying jobs—outside of Cumberland and Androscoggin Counties— poverty is more widespread in Maine than any of the other factors considered in the Title VI program. In the </w:t>
      </w:r>
      <w:r>
        <w:t xml:space="preserve">2012-2016 American Community </w:t>
      </w:r>
      <w:proofErr w:type="gramStart"/>
      <w:r>
        <w:t>Survey</w:t>
      </w:r>
      <w:proofErr w:type="gramEnd"/>
      <w:r>
        <w:rPr>
          <w:rFonts w:eastAsia="Calibri"/>
        </w:rPr>
        <w:t xml:space="preserve"> some 174,405 people are estimated to be in households that have incomes below the federal poverty threshold. (In dollar terms, that threshold varies by household size). This number represents about 13.5% of the population for whom it is possible to determine poverty status. In comparison, 3.3% of residents are minorities, and 3.6 % of residents were not born in the United States. The highest concentration of low income people </w:t>
      </w:r>
      <w:proofErr w:type="gramStart"/>
      <w:r>
        <w:rPr>
          <w:rFonts w:eastAsia="Calibri"/>
        </w:rPr>
        <w:t>reside</w:t>
      </w:r>
      <w:proofErr w:type="gramEnd"/>
      <w:r>
        <w:rPr>
          <w:rFonts w:eastAsia="Calibri"/>
        </w:rPr>
        <w:t xml:space="preserve"> in Cumberland County with 31,192 people. The cost of living and more urban settings reflect higher service needs in these areas.  </w:t>
      </w:r>
    </w:p>
    <w:p w:rsidR="00B46AF8" w:rsidRDefault="00B46AF8" w:rsidP="00B46AF8">
      <w:pPr>
        <w:autoSpaceDE w:val="0"/>
        <w:autoSpaceDN w:val="0"/>
        <w:adjustRightInd w:val="0"/>
        <w:rPr>
          <w:rFonts w:eastAsia="Calibri"/>
        </w:rPr>
      </w:pPr>
    </w:p>
    <w:p w:rsidR="00B46AF8" w:rsidRDefault="00B46AF8" w:rsidP="00B46AF8">
      <w:pPr>
        <w:autoSpaceDE w:val="0"/>
        <w:autoSpaceDN w:val="0"/>
        <w:adjustRightInd w:val="0"/>
        <w:rPr>
          <w:rFonts w:eastAsia="Calibri"/>
        </w:rPr>
      </w:pPr>
      <w:proofErr w:type="gramStart"/>
      <w:r>
        <w:rPr>
          <w:rFonts w:eastAsia="Calibri"/>
        </w:rPr>
        <w:t>In spite of</w:t>
      </w:r>
      <w:proofErr w:type="gramEnd"/>
      <w:r>
        <w:rPr>
          <w:rFonts w:eastAsia="Calibri"/>
        </w:rPr>
        <w:t xml:space="preserve"> the high number of low-income people in Cumberland County the percentages of people in poverty in this community is below the state average. The highest percentages of low income per county are the rural counties of Washington, Piscataquis, Aroostook and Somerset. </w:t>
      </w:r>
    </w:p>
    <w:p w:rsidR="00EE2D24" w:rsidRDefault="00EE2D24" w:rsidP="00B46AF8">
      <w:pPr>
        <w:autoSpaceDE w:val="0"/>
        <w:autoSpaceDN w:val="0"/>
        <w:adjustRightInd w:val="0"/>
        <w:rPr>
          <w:rFonts w:eastAsia="Calibri"/>
        </w:rPr>
      </w:pPr>
    </w:p>
    <w:p w:rsidR="00EE2D24" w:rsidRDefault="00EE2D24" w:rsidP="00B46AF8">
      <w:pPr>
        <w:autoSpaceDE w:val="0"/>
        <w:autoSpaceDN w:val="0"/>
        <w:adjustRightInd w:val="0"/>
        <w:rPr>
          <w:rFonts w:eastAsia="Calibri"/>
        </w:rPr>
      </w:pPr>
      <w:r>
        <w:rPr>
          <w:rFonts w:eastAsia="Calibri"/>
        </w:rPr>
        <w:t>The map on the following page identifies low income populations by county.</w:t>
      </w:r>
    </w:p>
    <w:p w:rsidR="00B46AF8" w:rsidRDefault="00B46AF8" w:rsidP="00B46AF8">
      <w:pPr>
        <w:ind w:left="180"/>
        <w:rPr>
          <w:sz w:val="18"/>
          <w:szCs w:val="18"/>
        </w:rPr>
      </w:pPr>
    </w:p>
    <w:p w:rsidR="00B46AF8" w:rsidRDefault="00B46AF8" w:rsidP="00B46AF8">
      <w:pPr>
        <w:ind w:left="180"/>
        <w:rPr>
          <w:sz w:val="18"/>
          <w:szCs w:val="18"/>
        </w:rPr>
      </w:pPr>
    </w:p>
    <w:p w:rsidR="00B46AF8" w:rsidRDefault="00B46AF8" w:rsidP="00B46AF8">
      <w:pPr>
        <w:pStyle w:val="ListParagraph"/>
        <w:ind w:left="0"/>
        <w:rPr>
          <w:color w:val="000000"/>
        </w:rPr>
      </w:pPr>
    </w:p>
    <w:p w:rsidR="00B46AF8" w:rsidRDefault="00B46AF8" w:rsidP="00B46AF8">
      <w:pPr>
        <w:pStyle w:val="ListParagraph"/>
        <w:ind w:left="0"/>
        <w:rPr>
          <w:color w:val="000000"/>
        </w:rPr>
      </w:pPr>
      <w:r>
        <w:rPr>
          <w:color w:val="000000"/>
        </w:rPr>
        <w:br w:type="page"/>
      </w:r>
      <w:bookmarkStart w:id="0" w:name="_GoBack"/>
      <w:bookmarkEnd w:id="0"/>
      <w:r>
        <w:rPr>
          <w:color w:val="000000"/>
        </w:rPr>
        <w:lastRenderedPageBreak/>
        <w:t xml:space="preserve"> </w:t>
      </w:r>
    </w:p>
    <w:p w:rsidR="00B46AF8" w:rsidRDefault="00B46AF8" w:rsidP="00B46AF8">
      <w:pPr>
        <w:pStyle w:val="NoSpacing"/>
        <w:rPr>
          <w:rFonts w:ascii="Times New Roman" w:hAnsi="Times New Roman"/>
          <w:b/>
          <w:sz w:val="24"/>
          <w:szCs w:val="24"/>
          <w:u w:val="single"/>
        </w:rPr>
      </w:pPr>
      <w:r>
        <w:rPr>
          <w:noProof/>
          <w:color w:val="FF0000"/>
        </w:rPr>
        <w:drawing>
          <wp:inline distT="0" distB="0" distL="0" distR="0">
            <wp:extent cx="5829300" cy="7677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7677150"/>
                    </a:xfrm>
                    <a:prstGeom prst="rect">
                      <a:avLst/>
                    </a:prstGeom>
                    <a:noFill/>
                    <a:ln>
                      <a:noFill/>
                    </a:ln>
                  </pic:spPr>
                </pic:pic>
              </a:graphicData>
            </a:graphic>
          </wp:inline>
        </w:drawing>
      </w:r>
    </w:p>
    <w:p w:rsidR="00CB37AE" w:rsidRDefault="00CB37AE"/>
    <w:sectPr w:rsidR="00CB37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12058"/>
    <w:multiLevelType w:val="hybridMultilevel"/>
    <w:tmpl w:val="2B2A6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AF8"/>
    <w:rsid w:val="003100C0"/>
    <w:rsid w:val="006548E8"/>
    <w:rsid w:val="00B46AF8"/>
    <w:rsid w:val="00CB37AE"/>
    <w:rsid w:val="00ED0FA5"/>
    <w:rsid w:val="00EE2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BE660"/>
  <w15:chartTrackingRefBased/>
  <w15:docId w15:val="{37AC1C8C-BF8D-4D9A-BE14-CE7821A3F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46AF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B46AF8"/>
    <w:rPr>
      <w:rFonts w:ascii="Calibri" w:eastAsia="Calibri" w:hAnsi="Calibri"/>
    </w:rPr>
  </w:style>
  <w:style w:type="paragraph" w:styleId="NoSpacing">
    <w:name w:val="No Spacing"/>
    <w:link w:val="NoSpacingChar"/>
    <w:uiPriority w:val="1"/>
    <w:qFormat/>
    <w:rsid w:val="00B46AF8"/>
    <w:rPr>
      <w:rFonts w:ascii="Calibri" w:eastAsia="Calibri" w:hAnsi="Calibri"/>
    </w:rPr>
  </w:style>
  <w:style w:type="paragraph" w:styleId="ListParagraph">
    <w:name w:val="List Paragraph"/>
    <w:basedOn w:val="Normal"/>
    <w:uiPriority w:val="34"/>
    <w:qFormat/>
    <w:rsid w:val="00B46AF8"/>
    <w:pPr>
      <w:ind w:left="720"/>
      <w:contextualSpacing/>
    </w:pPr>
  </w:style>
  <w:style w:type="character" w:styleId="Hyperlink">
    <w:name w:val="Hyperlink"/>
    <w:uiPriority w:val="99"/>
    <w:semiHidden/>
    <w:unhideWhenUsed/>
    <w:rsid w:val="006548E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4613423">
      <w:bodyDiv w:val="1"/>
      <w:marLeft w:val="0"/>
      <w:marRight w:val="0"/>
      <w:marTop w:val="0"/>
      <w:marBottom w:val="0"/>
      <w:divBdr>
        <w:top w:val="none" w:sz="0" w:space="0" w:color="auto"/>
        <w:left w:val="none" w:sz="0" w:space="0" w:color="auto"/>
        <w:bottom w:val="none" w:sz="0" w:space="0" w:color="auto"/>
        <w:right w:val="none" w:sz="0" w:space="0" w:color="auto"/>
      </w:divBdr>
    </w:div>
    <w:div w:id="199644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7</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Amy</dc:creator>
  <cp:keywords/>
  <dc:description/>
  <cp:lastModifiedBy>Hughes, Amy</cp:lastModifiedBy>
  <cp:revision>2</cp:revision>
  <dcterms:created xsi:type="dcterms:W3CDTF">2018-10-29T20:20:00Z</dcterms:created>
  <dcterms:modified xsi:type="dcterms:W3CDTF">2018-10-30T13:25:00Z</dcterms:modified>
</cp:coreProperties>
</file>