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0BC9" w14:textId="50B291E0" w:rsidR="00F32F29" w:rsidRDefault="00D322F4">
      <w:pPr>
        <w:pStyle w:val="Title"/>
        <w:spacing w:line="259" w:lineRule="auto"/>
      </w:pPr>
      <w:r>
        <w:t xml:space="preserve">Quarterly Update: </w:t>
      </w:r>
      <w:r w:rsidR="00ED4771">
        <w:t xml:space="preserve">Enrollment in </w:t>
      </w:r>
      <w:r w:rsidR="00EE7CD3">
        <w:t>Waiver Programs for Adults with Intellectual and</w:t>
      </w:r>
      <w:r>
        <w:t xml:space="preserve"> Developmental</w:t>
      </w:r>
      <w:r>
        <w:rPr>
          <w:spacing w:val="1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Injury</w:t>
      </w:r>
      <w:r>
        <w:rPr>
          <w:spacing w:val="-4"/>
        </w:rPr>
        <w:t xml:space="preserve"> </w:t>
      </w:r>
      <w:r w:rsidR="00EE7CD3">
        <w:t>Surpasses 6,000</w:t>
      </w:r>
    </w:p>
    <w:p w14:paraId="66FEE19A" w14:textId="77777777" w:rsidR="00F32F29" w:rsidRDefault="00F32F29">
      <w:pPr>
        <w:pStyle w:val="BodyText"/>
        <w:spacing w:before="5"/>
        <w:ind w:left="0"/>
        <w:rPr>
          <w:b/>
          <w:sz w:val="51"/>
        </w:rPr>
      </w:pPr>
    </w:p>
    <w:p w14:paraId="5B21CB01" w14:textId="38A8046E" w:rsidR="00F32F29" w:rsidRDefault="00AA0F7F">
      <w:pPr>
        <w:pStyle w:val="BodyText"/>
      </w:pPr>
      <w:r>
        <w:rPr>
          <w:color w:val="131313"/>
        </w:rPr>
        <w:t>October</w:t>
      </w:r>
      <w:r w:rsidR="00D322F4">
        <w:rPr>
          <w:color w:val="131313"/>
        </w:rPr>
        <w:t xml:space="preserve"> 28,</w:t>
      </w:r>
      <w:r w:rsidR="00D322F4">
        <w:rPr>
          <w:color w:val="131313"/>
          <w:spacing w:val="1"/>
        </w:rPr>
        <w:t xml:space="preserve"> </w:t>
      </w:r>
      <w:r w:rsidR="00D322F4">
        <w:rPr>
          <w:color w:val="131313"/>
        </w:rPr>
        <w:t>2021</w:t>
      </w:r>
    </w:p>
    <w:p w14:paraId="3A75BB15" w14:textId="3ECC5491" w:rsidR="00F32F29" w:rsidRDefault="00A55CE8" w:rsidP="00533679">
      <w:pPr>
        <w:pStyle w:val="BodyText"/>
        <w:spacing w:before="184" w:line="256" w:lineRule="auto"/>
        <w:ind w:right="762"/>
        <w:jc w:val="both"/>
      </w:pPr>
      <w:r>
        <w:rPr>
          <w:color w:val="131313"/>
        </w:rPr>
        <w:t>For the first time ever, Maine is serving o</w:t>
      </w:r>
      <w:r w:rsidR="004828F0">
        <w:rPr>
          <w:color w:val="131313"/>
        </w:rPr>
        <w:t xml:space="preserve">ver 6,000 adults in its </w:t>
      </w:r>
      <w:r w:rsidR="00533679">
        <w:rPr>
          <w:color w:val="131313"/>
        </w:rPr>
        <w:t>H</w:t>
      </w:r>
      <w:r w:rsidR="004828F0">
        <w:rPr>
          <w:color w:val="131313"/>
        </w:rPr>
        <w:t xml:space="preserve">ome and </w:t>
      </w:r>
      <w:r w:rsidR="00533679">
        <w:rPr>
          <w:color w:val="131313"/>
        </w:rPr>
        <w:t>C</w:t>
      </w:r>
      <w:r w:rsidR="004828F0">
        <w:rPr>
          <w:color w:val="131313"/>
        </w:rPr>
        <w:t xml:space="preserve">ommunity </w:t>
      </w:r>
      <w:r w:rsidR="00533679">
        <w:rPr>
          <w:color w:val="131313"/>
        </w:rPr>
        <w:t>B</w:t>
      </w:r>
      <w:r w:rsidR="004828F0">
        <w:rPr>
          <w:color w:val="131313"/>
        </w:rPr>
        <w:t xml:space="preserve">ased </w:t>
      </w:r>
      <w:r w:rsidR="00533679">
        <w:rPr>
          <w:color w:val="131313"/>
        </w:rPr>
        <w:t>S</w:t>
      </w:r>
      <w:r w:rsidR="004828F0">
        <w:rPr>
          <w:color w:val="131313"/>
        </w:rPr>
        <w:t>ervices (HCBS) waiver programs</w:t>
      </w:r>
      <w:r w:rsidR="00DC39B3">
        <w:rPr>
          <w:color w:val="131313"/>
        </w:rPr>
        <w:t xml:space="preserve"> for adults with Intellectual and Developmental Disabilities and Brain Injury</w:t>
      </w:r>
      <w:r w:rsidR="004828F0">
        <w:rPr>
          <w:color w:val="131313"/>
        </w:rPr>
        <w:t xml:space="preserve">.  </w:t>
      </w:r>
      <w:r w:rsidR="00D322F4">
        <w:rPr>
          <w:color w:val="131313"/>
        </w:rPr>
        <w:t xml:space="preserve">Since our last </w:t>
      </w:r>
      <w:hyperlink r:id="rId5">
        <w:r w:rsidR="00D322F4">
          <w:rPr>
            <w:color w:val="0462C1"/>
            <w:u w:val="single" w:color="0462C1"/>
          </w:rPr>
          <w:t>update</w:t>
        </w:r>
      </w:hyperlink>
      <w:r w:rsidR="00D322F4">
        <w:rPr>
          <w:color w:val="131313"/>
        </w:rPr>
        <w:t>, the number enrolled</w:t>
      </w:r>
      <w:r w:rsidR="00D322F4">
        <w:rPr>
          <w:color w:val="131313"/>
          <w:spacing w:val="-2"/>
        </w:rPr>
        <w:t xml:space="preserve"> </w:t>
      </w:r>
      <w:r w:rsidR="00D322F4">
        <w:rPr>
          <w:color w:val="131313"/>
        </w:rPr>
        <w:t>increased</w:t>
      </w:r>
      <w:r w:rsidR="00D322F4">
        <w:rPr>
          <w:color w:val="131313"/>
          <w:spacing w:val="-3"/>
        </w:rPr>
        <w:t xml:space="preserve"> </w:t>
      </w:r>
      <w:r w:rsidR="00D322F4">
        <w:rPr>
          <w:color w:val="131313"/>
        </w:rPr>
        <w:t>by</w:t>
      </w:r>
      <w:r w:rsidR="00D322F4">
        <w:rPr>
          <w:color w:val="131313"/>
          <w:spacing w:val="-1"/>
        </w:rPr>
        <w:t xml:space="preserve"> </w:t>
      </w:r>
      <w:r w:rsidR="00D322F4">
        <w:rPr>
          <w:color w:val="131313"/>
        </w:rPr>
        <w:t>8</w:t>
      </w:r>
      <w:r w:rsidR="00AA0F7F">
        <w:rPr>
          <w:color w:val="131313"/>
        </w:rPr>
        <w:t>1</w:t>
      </w:r>
      <w:r w:rsidR="00037DFC">
        <w:rPr>
          <w:color w:val="131313"/>
        </w:rPr>
        <w:t xml:space="preserve">, to a total of 6,073.  </w:t>
      </w:r>
      <w:r w:rsidR="006910C0">
        <w:rPr>
          <w:color w:val="131313"/>
        </w:rPr>
        <w:t>The new total includes</w:t>
      </w:r>
      <w:r w:rsidR="00D322F4">
        <w:rPr>
          <w:color w:val="131313"/>
        </w:rPr>
        <w:t>:</w:t>
      </w:r>
    </w:p>
    <w:p w14:paraId="5196E6AD" w14:textId="3FD524BA" w:rsidR="00F32F29" w:rsidRDefault="00D322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4"/>
      </w:pPr>
      <w:r>
        <w:rPr>
          <w:color w:val="131313"/>
        </w:rPr>
        <w:t>One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added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Section 20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program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(Other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Related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Conditions Services</w:t>
      </w:r>
      <w:proofErr w:type="gramStart"/>
      <w:r>
        <w:rPr>
          <w:color w:val="131313"/>
        </w:rPr>
        <w:t>);</w:t>
      </w:r>
      <w:proofErr w:type="gramEnd"/>
    </w:p>
    <w:p w14:paraId="251C50B8" w14:textId="6EEEDC8B" w:rsidR="00F32F29" w:rsidRDefault="00AA0F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" w:line="256" w:lineRule="auto"/>
        <w:ind w:right="609"/>
      </w:pPr>
      <w:r>
        <w:rPr>
          <w:color w:val="131313"/>
        </w:rPr>
        <w:t>Ten</w:t>
      </w:r>
      <w:r w:rsidR="00D322F4">
        <w:rPr>
          <w:color w:val="131313"/>
        </w:rPr>
        <w:t xml:space="preserve"> individuals added to the Section 21 program (Comprehensive Services for Individuals </w:t>
      </w:r>
      <w:proofErr w:type="gramStart"/>
      <w:r w:rsidR="00D322F4">
        <w:rPr>
          <w:color w:val="131313"/>
        </w:rPr>
        <w:t>with</w:t>
      </w:r>
      <w:r>
        <w:rPr>
          <w:color w:val="131313"/>
        </w:rPr>
        <w:t xml:space="preserve"> </w:t>
      </w:r>
      <w:r w:rsidR="00D322F4">
        <w:rPr>
          <w:color w:val="131313"/>
          <w:spacing w:val="-59"/>
        </w:rPr>
        <w:t xml:space="preserve"> </w:t>
      </w:r>
      <w:r w:rsidR="00D322F4">
        <w:rPr>
          <w:color w:val="131313"/>
        </w:rPr>
        <w:t>IDD</w:t>
      </w:r>
      <w:proofErr w:type="gramEnd"/>
      <w:r w:rsidR="00D322F4">
        <w:rPr>
          <w:color w:val="131313"/>
        </w:rPr>
        <w:t>);</w:t>
      </w:r>
      <w:r w:rsidR="00D322F4">
        <w:rPr>
          <w:color w:val="131313"/>
          <w:spacing w:val="-1"/>
        </w:rPr>
        <w:t xml:space="preserve"> </w:t>
      </w:r>
      <w:r w:rsidR="00D322F4">
        <w:rPr>
          <w:color w:val="131313"/>
        </w:rPr>
        <w:t>and</w:t>
      </w:r>
    </w:p>
    <w:p w14:paraId="753A2E99" w14:textId="5C8FACB1" w:rsidR="00533679" w:rsidRPr="00533679" w:rsidRDefault="00D322F4" w:rsidP="0053367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120" w:right="681" w:firstLine="360"/>
      </w:pPr>
      <w:r>
        <w:rPr>
          <w:color w:val="131313"/>
        </w:rPr>
        <w:t>7</w:t>
      </w:r>
      <w:r w:rsidR="008F48CE">
        <w:rPr>
          <w:color w:val="131313"/>
        </w:rPr>
        <w:t>3</w:t>
      </w:r>
      <w:r>
        <w:rPr>
          <w:color w:val="131313"/>
        </w:rPr>
        <w:t xml:space="preserve"> individuals added to the Section 29 program (Support Services for Individuals with IDD).</w:t>
      </w:r>
      <w:r>
        <w:rPr>
          <w:color w:val="131313"/>
          <w:spacing w:val="1"/>
        </w:rPr>
        <w:t xml:space="preserve"> </w:t>
      </w:r>
    </w:p>
    <w:p w14:paraId="23F28E0F" w14:textId="77777777" w:rsidR="00533679" w:rsidRDefault="00533679" w:rsidP="00533679">
      <w:pPr>
        <w:pStyle w:val="ListParagraph"/>
        <w:tabs>
          <w:tab w:val="left" w:pos="840"/>
          <w:tab w:val="left" w:pos="841"/>
        </w:tabs>
        <w:ind w:left="480" w:right="681" w:firstLine="0"/>
        <w:rPr>
          <w:color w:val="131313"/>
          <w:spacing w:val="1"/>
        </w:rPr>
      </w:pPr>
    </w:p>
    <w:p w14:paraId="4A515C77" w14:textId="09F706B4" w:rsidR="00F32F29" w:rsidRDefault="00D322F4" w:rsidP="00533679">
      <w:pPr>
        <w:pStyle w:val="ListParagraph"/>
        <w:tabs>
          <w:tab w:val="left" w:pos="840"/>
          <w:tab w:val="left" w:pos="841"/>
        </w:tabs>
        <w:spacing w:line="276" w:lineRule="auto"/>
        <w:ind w:left="0" w:right="681" w:firstLine="0"/>
        <w:jc w:val="both"/>
        <w:rPr>
          <w:color w:val="131313"/>
        </w:rPr>
      </w:pPr>
      <w:r>
        <w:rPr>
          <w:color w:val="131313"/>
        </w:rPr>
        <w:t>During</w:t>
      </w:r>
      <w:r w:rsidRPr="00533679">
        <w:rPr>
          <w:color w:val="131313"/>
        </w:rPr>
        <w:t xml:space="preserve"> </w:t>
      </w:r>
      <w:r>
        <w:rPr>
          <w:color w:val="131313"/>
        </w:rPr>
        <w:t>this period</w:t>
      </w:r>
      <w:r w:rsidRPr="00533679">
        <w:rPr>
          <w:color w:val="131313"/>
        </w:rPr>
        <w:t xml:space="preserve"> </w:t>
      </w:r>
      <w:r>
        <w:rPr>
          <w:color w:val="131313"/>
        </w:rPr>
        <w:t>(</w:t>
      </w:r>
      <w:r w:rsidR="008F48CE">
        <w:rPr>
          <w:color w:val="131313"/>
        </w:rPr>
        <w:t>July</w:t>
      </w:r>
      <w:r>
        <w:rPr>
          <w:color w:val="131313"/>
        </w:rPr>
        <w:t>-</w:t>
      </w:r>
      <w:r w:rsidR="008F48CE">
        <w:rPr>
          <w:color w:val="131313"/>
        </w:rPr>
        <w:t>September</w:t>
      </w:r>
      <w:r w:rsidRPr="00533679">
        <w:rPr>
          <w:color w:val="131313"/>
        </w:rPr>
        <w:t xml:space="preserve"> </w:t>
      </w:r>
      <w:r>
        <w:rPr>
          <w:color w:val="131313"/>
        </w:rPr>
        <w:t>2021)</w:t>
      </w:r>
      <w:r w:rsidRPr="00533679">
        <w:rPr>
          <w:color w:val="131313"/>
        </w:rPr>
        <w:t xml:space="preserve"> </w:t>
      </w:r>
      <w:r>
        <w:rPr>
          <w:color w:val="131313"/>
        </w:rPr>
        <w:t>the</w:t>
      </w:r>
      <w:r w:rsidRPr="00533679">
        <w:rPr>
          <w:color w:val="131313"/>
        </w:rPr>
        <w:t xml:space="preserve"> </w:t>
      </w:r>
      <w:r>
        <w:rPr>
          <w:color w:val="131313"/>
        </w:rPr>
        <w:t>wait</w:t>
      </w:r>
      <w:r w:rsidRPr="00533679">
        <w:rPr>
          <w:color w:val="131313"/>
        </w:rPr>
        <w:t xml:space="preserve"> </w:t>
      </w:r>
      <w:r>
        <w:rPr>
          <w:color w:val="131313"/>
        </w:rPr>
        <w:t>lists</w:t>
      </w:r>
      <w:r w:rsidRPr="00533679">
        <w:rPr>
          <w:color w:val="131313"/>
        </w:rPr>
        <w:t xml:space="preserve"> </w:t>
      </w:r>
      <w:r>
        <w:rPr>
          <w:color w:val="131313"/>
        </w:rPr>
        <w:t>for</w:t>
      </w:r>
      <w:r w:rsidRPr="00533679">
        <w:rPr>
          <w:color w:val="131313"/>
        </w:rPr>
        <w:t xml:space="preserve"> </w:t>
      </w:r>
      <w:r>
        <w:rPr>
          <w:color w:val="131313"/>
        </w:rPr>
        <w:t>these</w:t>
      </w:r>
      <w:r w:rsidRPr="00533679">
        <w:rPr>
          <w:color w:val="131313"/>
        </w:rPr>
        <w:t xml:space="preserve"> </w:t>
      </w:r>
      <w:r>
        <w:rPr>
          <w:color w:val="131313"/>
        </w:rPr>
        <w:t>services</w:t>
      </w:r>
      <w:r w:rsidRPr="00533679">
        <w:rPr>
          <w:color w:val="131313"/>
        </w:rPr>
        <w:t xml:space="preserve"> </w:t>
      </w:r>
      <w:r>
        <w:rPr>
          <w:color w:val="131313"/>
        </w:rPr>
        <w:t>also</w:t>
      </w:r>
      <w:r w:rsidRPr="00533679">
        <w:rPr>
          <w:color w:val="131313"/>
        </w:rPr>
        <w:t xml:space="preserve"> </w:t>
      </w:r>
      <w:r>
        <w:rPr>
          <w:color w:val="131313"/>
        </w:rPr>
        <w:t>increased,</w:t>
      </w:r>
      <w:r w:rsidRPr="00533679">
        <w:rPr>
          <w:color w:val="131313"/>
        </w:rPr>
        <w:t xml:space="preserve"> </w:t>
      </w:r>
      <w:r>
        <w:rPr>
          <w:color w:val="131313"/>
        </w:rPr>
        <w:t>adding</w:t>
      </w:r>
      <w:r w:rsidRPr="00533679">
        <w:rPr>
          <w:color w:val="131313"/>
        </w:rPr>
        <w:t xml:space="preserve"> </w:t>
      </w:r>
      <w:r>
        <w:rPr>
          <w:color w:val="131313"/>
        </w:rPr>
        <w:t>7</w:t>
      </w:r>
      <w:r w:rsidR="008F48CE">
        <w:rPr>
          <w:color w:val="131313"/>
        </w:rPr>
        <w:t>0</w:t>
      </w:r>
      <w:r w:rsidRPr="00533679">
        <w:rPr>
          <w:color w:val="131313"/>
        </w:rPr>
        <w:t xml:space="preserve"> </w:t>
      </w:r>
      <w:r>
        <w:rPr>
          <w:color w:val="131313"/>
        </w:rPr>
        <w:t>individuals.</w:t>
      </w:r>
    </w:p>
    <w:p w14:paraId="64C8E07C" w14:textId="77777777" w:rsidR="00533679" w:rsidRPr="00533679" w:rsidRDefault="00533679" w:rsidP="00533679">
      <w:pPr>
        <w:pStyle w:val="ListParagraph"/>
        <w:tabs>
          <w:tab w:val="left" w:pos="840"/>
          <w:tab w:val="left" w:pos="841"/>
        </w:tabs>
        <w:ind w:left="0" w:right="681" w:firstLine="0"/>
        <w:rPr>
          <w:color w:val="131313"/>
        </w:rPr>
      </w:pPr>
    </w:p>
    <w:p w14:paraId="3B795FD2" w14:textId="20AF940D" w:rsidR="005642A7" w:rsidRPr="00533679" w:rsidRDefault="00740554" w:rsidP="00533679">
      <w:pPr>
        <w:tabs>
          <w:tab w:val="left" w:pos="840"/>
          <w:tab w:val="left" w:pos="841"/>
        </w:tabs>
        <w:spacing w:line="276" w:lineRule="auto"/>
        <w:ind w:right="681"/>
        <w:jc w:val="both"/>
        <w:rPr>
          <w:color w:val="131313"/>
        </w:rPr>
      </w:pPr>
      <w:r w:rsidRPr="00533679">
        <w:rPr>
          <w:color w:val="131313"/>
        </w:rPr>
        <w:t>The budget proposed by Governor Mills and enacted by the Legislature in 2021 included</w:t>
      </w:r>
      <w:r w:rsidR="00F74E9B" w:rsidRPr="00533679">
        <w:rPr>
          <w:color w:val="131313"/>
        </w:rPr>
        <w:t xml:space="preserve"> funding to add 30 additional people to Section 29 each month</w:t>
      </w:r>
      <w:r w:rsidR="00221CD1" w:rsidRPr="00533679">
        <w:rPr>
          <w:color w:val="131313"/>
        </w:rPr>
        <w:t>, so we expect enrollment in that program to continue growing throughout the</w:t>
      </w:r>
      <w:r w:rsidR="005A2C0F" w:rsidRPr="00533679">
        <w:rPr>
          <w:color w:val="131313"/>
        </w:rPr>
        <w:t xml:space="preserve"> biennium than ends on </w:t>
      </w:r>
      <w:r w:rsidR="001C7802" w:rsidRPr="00533679">
        <w:rPr>
          <w:color w:val="131313"/>
        </w:rPr>
        <w:t>June 30, 2023.</w:t>
      </w:r>
    </w:p>
    <w:p w14:paraId="613BABD4" w14:textId="776051D7" w:rsidR="00F32F29" w:rsidRDefault="00D322F4">
      <w:pPr>
        <w:pStyle w:val="BodyText"/>
        <w:spacing w:before="177"/>
        <w:ind w:left="240"/>
      </w:pPr>
      <w:r>
        <w:t>Table</w:t>
      </w:r>
      <w:r>
        <w:rPr>
          <w:spacing w:val="-3"/>
        </w:rPr>
        <w:t xml:space="preserve"> </w:t>
      </w:r>
      <w:r>
        <w:t>1. Developmental</w:t>
      </w:r>
      <w:r>
        <w:rPr>
          <w:spacing w:val="-5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Wait</w:t>
      </w:r>
      <w:r>
        <w:rPr>
          <w:spacing w:val="5"/>
        </w:rPr>
        <w:t xml:space="preserve"> </w:t>
      </w:r>
      <w:r>
        <w:t>Lists,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</w:t>
      </w:r>
      <w:r w:rsidR="00AA0F7F">
        <w:t>9</w:t>
      </w:r>
      <w:r>
        <w:t>/30/2021</w:t>
      </w:r>
    </w:p>
    <w:p w14:paraId="493BC1E7" w14:textId="77777777" w:rsidR="00F32F29" w:rsidRDefault="00F32F29">
      <w:pPr>
        <w:pStyle w:val="BodyText"/>
        <w:spacing w:before="6"/>
        <w:ind w:left="0"/>
        <w:rPr>
          <w:sz w:val="24"/>
        </w:rPr>
      </w:pPr>
    </w:p>
    <w:tbl>
      <w:tblPr>
        <w:tblW w:w="0" w:type="auto"/>
        <w:tblInd w:w="12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1284"/>
        <w:gridCol w:w="1168"/>
        <w:gridCol w:w="1346"/>
        <w:gridCol w:w="2229"/>
      </w:tblGrid>
      <w:tr w:rsidR="00F32F29" w14:paraId="0A0332FF" w14:textId="77777777">
        <w:trPr>
          <w:trHeight w:val="1490"/>
        </w:trPr>
        <w:tc>
          <w:tcPr>
            <w:tcW w:w="4772" w:type="dxa"/>
            <w:tcBorders>
              <w:top w:val="nil"/>
            </w:tcBorders>
            <w:shd w:val="clear" w:color="auto" w:fill="4471C4"/>
          </w:tcPr>
          <w:p w14:paraId="148A8540" w14:textId="77777777" w:rsidR="00F32F29" w:rsidRDefault="00F32F29">
            <w:pPr>
              <w:pStyle w:val="TableParagraph"/>
              <w:spacing w:before="9"/>
              <w:rPr>
                <w:sz w:val="24"/>
              </w:rPr>
            </w:pPr>
          </w:p>
          <w:p w14:paraId="2126A2EC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Waiver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Program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4471C4"/>
          </w:tcPr>
          <w:p w14:paraId="6244F3D3" w14:textId="77777777" w:rsidR="00F32F29" w:rsidRDefault="00F32F29">
            <w:pPr>
              <w:pStyle w:val="TableParagraph"/>
              <w:spacing w:before="9"/>
              <w:rPr>
                <w:sz w:val="24"/>
              </w:rPr>
            </w:pPr>
          </w:p>
          <w:p w14:paraId="0A4AD96C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Participants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4471C4"/>
          </w:tcPr>
          <w:p w14:paraId="7483A9B2" w14:textId="77777777" w:rsidR="00F32F29" w:rsidRDefault="00F32F29">
            <w:pPr>
              <w:pStyle w:val="TableParagraph"/>
              <w:spacing w:before="9"/>
              <w:rPr>
                <w:sz w:val="24"/>
              </w:rPr>
            </w:pPr>
          </w:p>
          <w:p w14:paraId="7A120AF8" w14:textId="77777777" w:rsidR="00F32F29" w:rsidRDefault="00D322F4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FFFFFF"/>
                <w:sz w:val="20"/>
              </w:rPr>
              <w:t>Waitlist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4471C4"/>
          </w:tcPr>
          <w:p w14:paraId="213BCF4C" w14:textId="77777777" w:rsidR="00F32F29" w:rsidRDefault="00F32F29">
            <w:pPr>
              <w:pStyle w:val="TableParagraph"/>
              <w:spacing w:before="9"/>
              <w:rPr>
                <w:sz w:val="24"/>
              </w:rPr>
            </w:pPr>
          </w:p>
          <w:p w14:paraId="0E8C4C30" w14:textId="77777777" w:rsidR="00F32F29" w:rsidRDefault="00D322F4">
            <w:pPr>
              <w:pStyle w:val="TableParagraph"/>
              <w:ind w:left="121" w:right="23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 xml:space="preserve">With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Coverage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4471C4"/>
          </w:tcPr>
          <w:p w14:paraId="37537C0B" w14:textId="77777777" w:rsidR="00F32F29" w:rsidRDefault="00F32F29">
            <w:pPr>
              <w:pStyle w:val="TableParagraph"/>
              <w:spacing w:before="9"/>
              <w:rPr>
                <w:sz w:val="24"/>
              </w:rPr>
            </w:pPr>
          </w:p>
          <w:p w14:paraId="18CA8B17" w14:textId="77777777" w:rsidR="00F32F29" w:rsidRDefault="00D322F4">
            <w:pPr>
              <w:pStyle w:val="TableParagraph"/>
              <w:ind w:left="122" w:right="846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 xml:space="preserve">Without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Coverage</w:t>
            </w:r>
          </w:p>
          <w:p w14:paraId="2D46A3B5" w14:textId="77777777" w:rsidR="00F32F29" w:rsidRDefault="00D322F4">
            <w:pPr>
              <w:pStyle w:val="TableParagraph"/>
              <w:spacing w:before="1"/>
              <w:ind w:left="122" w:right="388"/>
              <w:rPr>
                <w:sz w:val="20"/>
              </w:rPr>
            </w:pPr>
            <w:r>
              <w:rPr>
                <w:color w:val="FFFFFF"/>
                <w:sz w:val="20"/>
              </w:rPr>
              <w:t>(Percent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Current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Participants)</w:t>
            </w:r>
          </w:p>
        </w:tc>
      </w:tr>
      <w:tr w:rsidR="00F32F29" w14:paraId="70E4CB78" w14:textId="77777777">
        <w:trPr>
          <w:trHeight w:val="786"/>
        </w:trPr>
        <w:tc>
          <w:tcPr>
            <w:tcW w:w="4772" w:type="dxa"/>
          </w:tcPr>
          <w:p w14:paraId="37C804C1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F6B28B9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284" w:type="dxa"/>
          </w:tcPr>
          <w:p w14:paraId="1D05F50F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8970E9A" w14:textId="40A39417" w:rsidR="00F32F29" w:rsidRDefault="00AA0F7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68" w:type="dxa"/>
          </w:tcPr>
          <w:p w14:paraId="2617EEBB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7F2E4C07" w14:textId="4541B40B" w:rsidR="00F32F29" w:rsidRDefault="00AA0F7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346" w:type="dxa"/>
          </w:tcPr>
          <w:p w14:paraId="2E27AF6A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43814D8C" w14:textId="5EF4B219" w:rsidR="00F32F29" w:rsidRDefault="00D322F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229" w:type="dxa"/>
          </w:tcPr>
          <w:p w14:paraId="5288DE1B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67BDA160" w14:textId="53B338D1" w:rsidR="00F32F29" w:rsidRDefault="00D322F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(36%)</w:t>
            </w:r>
          </w:p>
        </w:tc>
      </w:tr>
      <w:tr w:rsidR="00F32F29" w14:paraId="2204E4A0" w14:textId="77777777">
        <w:trPr>
          <w:trHeight w:val="784"/>
        </w:trPr>
        <w:tc>
          <w:tcPr>
            <w:tcW w:w="4772" w:type="dxa"/>
            <w:shd w:val="clear" w:color="auto" w:fill="EDEDED"/>
          </w:tcPr>
          <w:p w14:paraId="145EB481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103F80B9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284" w:type="dxa"/>
            <w:shd w:val="clear" w:color="auto" w:fill="EDEDED"/>
          </w:tcPr>
          <w:p w14:paraId="6F39F419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1D565A72" w14:textId="2BEBA1DF" w:rsidR="00F32F29" w:rsidRDefault="00AA0F7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8" w:type="dxa"/>
            <w:shd w:val="clear" w:color="auto" w:fill="EDEDED"/>
          </w:tcPr>
          <w:p w14:paraId="14D88888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51FA76F6" w14:textId="6577AD77" w:rsidR="00F32F29" w:rsidRDefault="00D322F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0F7F">
              <w:rPr>
                <w:sz w:val="20"/>
              </w:rPr>
              <w:t>3</w:t>
            </w:r>
          </w:p>
        </w:tc>
        <w:tc>
          <w:tcPr>
            <w:tcW w:w="1346" w:type="dxa"/>
            <w:shd w:val="clear" w:color="auto" w:fill="EDEDED"/>
          </w:tcPr>
          <w:p w14:paraId="10B2A5FE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3096C6F5" w14:textId="4A0D4794" w:rsidR="00F32F29" w:rsidRDefault="00D322F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9" w:type="dxa"/>
            <w:shd w:val="clear" w:color="auto" w:fill="EDEDED"/>
          </w:tcPr>
          <w:p w14:paraId="235B7BFF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7B0BB0F" w14:textId="5B614873" w:rsidR="00F32F29" w:rsidRDefault="00D322F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16</w:t>
            </w:r>
            <w:r w:rsidR="00AA0F7F">
              <w:rPr>
                <w:sz w:val="20"/>
              </w:rPr>
              <w:t xml:space="preserve"> </w:t>
            </w:r>
            <w:r>
              <w:rPr>
                <w:sz w:val="20"/>
              </w:rPr>
              <w:t>(40%)</w:t>
            </w:r>
          </w:p>
        </w:tc>
      </w:tr>
      <w:tr w:rsidR="00F32F29" w14:paraId="2C002F3F" w14:textId="77777777">
        <w:trPr>
          <w:trHeight w:val="784"/>
        </w:trPr>
        <w:tc>
          <w:tcPr>
            <w:tcW w:w="4772" w:type="dxa"/>
          </w:tcPr>
          <w:p w14:paraId="30C38E1D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592FCD05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IDD/ASD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21)</w:t>
            </w:r>
          </w:p>
        </w:tc>
        <w:tc>
          <w:tcPr>
            <w:tcW w:w="1284" w:type="dxa"/>
          </w:tcPr>
          <w:p w14:paraId="19D91488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37F56579" w14:textId="2F871CAD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3,2</w:t>
            </w:r>
            <w:r w:rsidR="00AA0F7F">
              <w:rPr>
                <w:sz w:val="20"/>
              </w:rPr>
              <w:t>72</w:t>
            </w:r>
          </w:p>
        </w:tc>
        <w:tc>
          <w:tcPr>
            <w:tcW w:w="1168" w:type="dxa"/>
          </w:tcPr>
          <w:p w14:paraId="5C42920C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0E9ADF4" w14:textId="0F394D23" w:rsidR="00F32F29" w:rsidRDefault="00D322F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1,9</w:t>
            </w:r>
            <w:r w:rsidR="00AA0F7F">
              <w:rPr>
                <w:sz w:val="20"/>
              </w:rPr>
              <w:t>68</w:t>
            </w:r>
          </w:p>
        </w:tc>
        <w:tc>
          <w:tcPr>
            <w:tcW w:w="1346" w:type="dxa"/>
          </w:tcPr>
          <w:p w14:paraId="1FC32A15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1D322333" w14:textId="0AF597F3" w:rsidR="00F32F29" w:rsidRDefault="00D322F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1,481</w:t>
            </w:r>
          </w:p>
        </w:tc>
        <w:tc>
          <w:tcPr>
            <w:tcW w:w="2229" w:type="dxa"/>
          </w:tcPr>
          <w:p w14:paraId="277D2A04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7C1AC6B" w14:textId="35100FB4" w:rsidR="00F32F29" w:rsidRDefault="00D322F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487</w:t>
            </w:r>
            <w:r w:rsidR="00AA0F7F">
              <w:rPr>
                <w:sz w:val="20"/>
              </w:rPr>
              <w:t xml:space="preserve"> </w:t>
            </w:r>
            <w:r>
              <w:rPr>
                <w:sz w:val="20"/>
              </w:rPr>
              <w:t>(15%)</w:t>
            </w:r>
          </w:p>
        </w:tc>
      </w:tr>
      <w:tr w:rsidR="00F32F29" w14:paraId="5D7D0EA0" w14:textId="77777777">
        <w:trPr>
          <w:trHeight w:val="786"/>
        </w:trPr>
        <w:tc>
          <w:tcPr>
            <w:tcW w:w="4772" w:type="dxa"/>
            <w:shd w:val="clear" w:color="auto" w:fill="EDEDED"/>
          </w:tcPr>
          <w:p w14:paraId="1E213FB8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7C963E09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IDD/ASD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29)</w:t>
            </w:r>
          </w:p>
        </w:tc>
        <w:tc>
          <w:tcPr>
            <w:tcW w:w="1284" w:type="dxa"/>
            <w:shd w:val="clear" w:color="auto" w:fill="EDEDED"/>
          </w:tcPr>
          <w:p w14:paraId="2AD6CCB4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D77E724" w14:textId="0FE3F739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2,</w:t>
            </w:r>
            <w:r w:rsidR="00AA0F7F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="00AA0F7F">
              <w:rPr>
                <w:sz w:val="20"/>
              </w:rPr>
              <w:t>2</w:t>
            </w:r>
          </w:p>
        </w:tc>
        <w:tc>
          <w:tcPr>
            <w:tcW w:w="1168" w:type="dxa"/>
            <w:shd w:val="clear" w:color="auto" w:fill="EDEDED"/>
          </w:tcPr>
          <w:p w14:paraId="4BEB0A12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12EE4502" w14:textId="503319FE" w:rsidR="00F32F29" w:rsidRDefault="00AA0F7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346" w:type="dxa"/>
            <w:shd w:val="clear" w:color="auto" w:fill="EDEDED"/>
          </w:tcPr>
          <w:p w14:paraId="59DA29DA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21847F04" w14:textId="23C15618" w:rsidR="00F32F29" w:rsidRDefault="00D322F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229" w:type="dxa"/>
            <w:shd w:val="clear" w:color="auto" w:fill="EDEDED"/>
          </w:tcPr>
          <w:p w14:paraId="730988BA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4FCF4453" w14:textId="44372C61" w:rsidR="00F32F29" w:rsidRDefault="00D322F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(6%)</w:t>
            </w:r>
          </w:p>
        </w:tc>
      </w:tr>
      <w:tr w:rsidR="00F32F29" w14:paraId="4EA697DA" w14:textId="77777777">
        <w:trPr>
          <w:trHeight w:val="784"/>
        </w:trPr>
        <w:tc>
          <w:tcPr>
            <w:tcW w:w="4772" w:type="dxa"/>
          </w:tcPr>
          <w:p w14:paraId="21A6EE3D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1C0E5309" w14:textId="77777777" w:rsidR="00F32F29" w:rsidRDefault="00D322F4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1284" w:type="dxa"/>
          </w:tcPr>
          <w:p w14:paraId="6C942E93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0BCBA0FC" w14:textId="28E1770D" w:rsidR="00F32F29" w:rsidRDefault="00AA0F7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6,0</w:t>
            </w:r>
            <w:r w:rsidR="00D322F4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168" w:type="dxa"/>
          </w:tcPr>
          <w:p w14:paraId="1DEBA676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745DB835" w14:textId="2DD2F773" w:rsidR="00F32F29" w:rsidRDefault="00D322F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2,2</w:t>
            </w:r>
            <w:r w:rsidR="00AA0F7F">
              <w:rPr>
                <w:sz w:val="20"/>
              </w:rPr>
              <w:t>74</w:t>
            </w:r>
          </w:p>
        </w:tc>
        <w:tc>
          <w:tcPr>
            <w:tcW w:w="1346" w:type="dxa"/>
          </w:tcPr>
          <w:p w14:paraId="4A70C410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631E688F" w14:textId="6EC3939C" w:rsidR="00F32F29" w:rsidRDefault="00D322F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1,618</w:t>
            </w:r>
          </w:p>
        </w:tc>
        <w:tc>
          <w:tcPr>
            <w:tcW w:w="2229" w:type="dxa"/>
          </w:tcPr>
          <w:p w14:paraId="209E327B" w14:textId="77777777" w:rsidR="00F32F29" w:rsidRDefault="00F32F29">
            <w:pPr>
              <w:pStyle w:val="TableParagraph"/>
              <w:spacing w:before="6"/>
              <w:rPr>
                <w:sz w:val="23"/>
              </w:rPr>
            </w:pPr>
          </w:p>
          <w:p w14:paraId="70036E2D" w14:textId="24348BEC" w:rsidR="00F32F29" w:rsidRDefault="00D322F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656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(11%)</w:t>
            </w:r>
          </w:p>
        </w:tc>
      </w:tr>
    </w:tbl>
    <w:p w14:paraId="681C686D" w14:textId="77777777" w:rsidR="0034072D" w:rsidRDefault="0034072D"/>
    <w:sectPr w:rsidR="0034072D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370D8"/>
    <w:multiLevelType w:val="hybridMultilevel"/>
    <w:tmpl w:val="B7BAFFC4"/>
    <w:lvl w:ilvl="0" w:tplc="9726157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31313"/>
        <w:w w:val="100"/>
        <w:sz w:val="22"/>
        <w:szCs w:val="22"/>
        <w:lang w:val="en-US" w:eastAsia="en-US" w:bidi="ar-SA"/>
      </w:rPr>
    </w:lvl>
    <w:lvl w:ilvl="1" w:tplc="F030022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D19A9F3A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0F462F08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8AAC89F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153CE0F8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340C2734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52281FB4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BFB89E0C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29"/>
    <w:rsid w:val="00037DFC"/>
    <w:rsid w:val="001C7802"/>
    <w:rsid w:val="00221CD1"/>
    <w:rsid w:val="0034072D"/>
    <w:rsid w:val="004828F0"/>
    <w:rsid w:val="00533679"/>
    <w:rsid w:val="005642A7"/>
    <w:rsid w:val="005A2C0F"/>
    <w:rsid w:val="006910C0"/>
    <w:rsid w:val="00740554"/>
    <w:rsid w:val="007E6789"/>
    <w:rsid w:val="00892C7F"/>
    <w:rsid w:val="008F48CE"/>
    <w:rsid w:val="009E7E03"/>
    <w:rsid w:val="00A55CE8"/>
    <w:rsid w:val="00AA0F7F"/>
    <w:rsid w:val="00CC2989"/>
    <w:rsid w:val="00D322F4"/>
    <w:rsid w:val="00DC39B3"/>
    <w:rsid w:val="00ED4771"/>
    <w:rsid w:val="00EE7CD3"/>
    <w:rsid w:val="00F32F29"/>
    <w:rsid w:val="00F74E9B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ECB2"/>
  <w15:docId w15:val="{5CB8DC30-E50A-4198-8758-12E461A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60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C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2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2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2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ine.gov/dhhs/sites/maine.gov.dhhs/files/inline-files/Waitlist-6.30.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Heather</dc:creator>
  <cp:lastModifiedBy>Thompson, Heather</cp:lastModifiedBy>
  <cp:revision>2</cp:revision>
  <dcterms:created xsi:type="dcterms:W3CDTF">2021-11-10T12:58:00Z</dcterms:created>
  <dcterms:modified xsi:type="dcterms:W3CDTF">2021-11-10T12:58:00Z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2021-10-28T00:00:00Z</vt:filetime>
  </property>
</Properties>
</file>