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1C45" w14:textId="77777777" w:rsidR="00DE34CC" w:rsidRDefault="00DE34CC" w:rsidP="00010E48">
      <w:pPr>
        <w:spacing w:after="0"/>
        <w:ind w:left="720"/>
        <w:jc w:val="center"/>
        <w:rPr>
          <w:rFonts w:ascii="Arial" w:eastAsia="Arial Unicode MS" w:hAnsi="Arial" w:cs="Arial"/>
          <w:b/>
          <w:bCs/>
          <w:sz w:val="20"/>
          <w:szCs w:val="20"/>
        </w:rPr>
      </w:pPr>
      <w:bookmarkStart w:id="0" w:name="_GoBack"/>
      <w:bookmarkEnd w:id="0"/>
    </w:p>
    <w:p w14:paraId="15524AED" w14:textId="77777777" w:rsidR="00DE34CC" w:rsidRDefault="00DE34CC" w:rsidP="00010E48">
      <w:pPr>
        <w:spacing w:after="0"/>
        <w:ind w:left="720"/>
        <w:jc w:val="center"/>
        <w:rPr>
          <w:rFonts w:ascii="Arial" w:eastAsia="Arial Unicode MS" w:hAnsi="Arial" w:cs="Arial"/>
          <w:b/>
          <w:bCs/>
          <w:sz w:val="20"/>
          <w:szCs w:val="20"/>
        </w:rPr>
      </w:pPr>
    </w:p>
    <w:p w14:paraId="111120FF" w14:textId="77777777" w:rsidR="00DE34CC" w:rsidRDefault="00DE34CC" w:rsidP="00010E48">
      <w:pPr>
        <w:spacing w:after="0"/>
        <w:ind w:left="720"/>
        <w:jc w:val="center"/>
        <w:rPr>
          <w:rFonts w:ascii="Arial" w:eastAsia="Arial Unicode MS" w:hAnsi="Arial" w:cs="Arial"/>
          <w:b/>
          <w:bCs/>
          <w:sz w:val="20"/>
          <w:szCs w:val="20"/>
        </w:rPr>
      </w:pPr>
    </w:p>
    <w:p w14:paraId="592B8145" w14:textId="77777777" w:rsidR="00840345" w:rsidRPr="00010E48" w:rsidRDefault="008D6412" w:rsidP="00010E48">
      <w:pPr>
        <w:spacing w:after="0"/>
        <w:ind w:left="720"/>
        <w:jc w:val="center"/>
        <w:rPr>
          <w:rFonts w:ascii="Arial" w:eastAsia="Arial Unicode MS" w:hAnsi="Arial" w:cs="Arial"/>
          <w:b/>
          <w:bCs/>
          <w:sz w:val="20"/>
          <w:szCs w:val="20"/>
        </w:rPr>
      </w:pPr>
      <w:r w:rsidRPr="00FF2C1D">
        <w:rPr>
          <w:rFonts w:ascii="Arial" w:eastAsia="Arial Unicode MS" w:hAnsi="Arial" w:cs="Arial"/>
          <w:b/>
          <w:bCs/>
          <w:sz w:val="20"/>
          <w:szCs w:val="20"/>
        </w:rPr>
        <w:t>RIDER B </w:t>
      </w:r>
      <w:r w:rsidRPr="00FF2C1D">
        <w:rPr>
          <w:rFonts w:ascii="Arial" w:eastAsia="Arial Unicode MS" w:hAnsi="Arial" w:cs="Arial"/>
          <w:b/>
          <w:bCs/>
          <w:sz w:val="20"/>
          <w:szCs w:val="20"/>
        </w:rPr>
        <w:br/>
        <w:t xml:space="preserve"> TERMS AND CONDITIONS</w:t>
      </w:r>
      <w:r w:rsidR="00771203">
        <w:rPr>
          <w:rFonts w:ascii="Arial" w:eastAsia="Arial Unicode MS" w:hAnsi="Arial" w:cs="Arial"/>
          <w:sz w:val="20"/>
          <w:szCs w:val="20"/>
        </w:rPr>
        <w:t xml:space="preserve"> </w:t>
      </w:r>
    </w:p>
    <w:p w14:paraId="750B1B77" w14:textId="77777777" w:rsidR="00840345" w:rsidRPr="00840345" w:rsidRDefault="00840345" w:rsidP="00840345">
      <w:pPr>
        <w:widowControl w:val="0"/>
        <w:autoSpaceDE w:val="0"/>
        <w:autoSpaceDN w:val="0"/>
        <w:adjustRightInd w:val="0"/>
        <w:spacing w:after="0"/>
        <w:ind w:left="360"/>
        <w:contextualSpacing/>
        <w:rPr>
          <w:rFonts w:ascii="Arial" w:eastAsia="Arial Unicode MS" w:hAnsi="Arial" w:cs="Arial"/>
          <w:sz w:val="20"/>
          <w:szCs w:val="20"/>
        </w:rPr>
      </w:pPr>
    </w:p>
    <w:p w14:paraId="4629978C"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14:paraId="44A79E51"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14:paraId="6D7155B3" w14:textId="77777777" w:rsidR="008D6412" w:rsidRPr="00FF2C1D" w:rsidRDefault="008D6412" w:rsidP="00FF2C1D">
      <w:pPr>
        <w:spacing w:after="0"/>
        <w:ind w:left="720"/>
        <w:contextualSpacing/>
        <w:rPr>
          <w:rFonts w:ascii="Arial" w:eastAsia="Times New Roman" w:hAnsi="Arial" w:cs="Arial"/>
          <w:sz w:val="20"/>
          <w:szCs w:val="20"/>
        </w:rPr>
      </w:pPr>
    </w:p>
    <w:p w14:paraId="2FF1B0C9"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The Contract Administrator shall be the Department's representative during the period of this Contract. He/she has authority to curtail services if necessary to ensure proper execution. He/she shall certify to the Department when payments under the Contract are due and the amounts to be paid. He/she shall make decisions on all claims of the Provider, subject to the approval of the Commissioner of the Department. </w:t>
      </w:r>
    </w:p>
    <w:p w14:paraId="6617D321"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3B0B7719"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14:paraId="41E4D951"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0371CD19"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14:paraId="3FD5F54C"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0E304DD0"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14:paraId="6E25D8EF"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3D0047C1"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14:paraId="4ECD8590" w14:textId="77777777" w:rsidR="008D6412" w:rsidRPr="00FF2C1D" w:rsidRDefault="008D6412" w:rsidP="00FF2C1D">
      <w:pPr>
        <w:widowControl w:val="0"/>
        <w:numPr>
          <w:ilvl w:val="0"/>
          <w:numId w:val="3"/>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3D89C5F8" w14:textId="77777777" w:rsidR="008D6412" w:rsidRPr="00FF2C1D" w:rsidRDefault="008D6412" w:rsidP="00FF2C1D">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lastRenderedPageBreak/>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697CA112"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14:paraId="6D3C118B" w14:textId="77777777" w:rsidR="008D6412" w:rsidRPr="00FF2C1D" w:rsidRDefault="008D6412" w:rsidP="00FF2C1D">
      <w:pPr>
        <w:widowControl w:val="0"/>
        <w:autoSpaceDE w:val="0"/>
        <w:autoSpaceDN w:val="0"/>
        <w:adjustRightInd w:val="0"/>
        <w:spacing w:after="0"/>
        <w:ind w:left="720"/>
        <w:rPr>
          <w:rFonts w:ascii="Arial" w:eastAsia="Arial Unicode MS" w:hAnsi="Arial" w:cs="Arial"/>
          <w:sz w:val="20"/>
          <w:szCs w:val="20"/>
        </w:rPr>
      </w:pPr>
    </w:p>
    <w:p w14:paraId="3479F1D1"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453E9D31" w14:textId="77777777"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14:paraId="0E213878"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14:paraId="2B801B01" w14:textId="77777777"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14:paraId="6C98ACCF"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14:paraId="382A6AED" w14:textId="77777777"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14:paraId="4E54C4F6"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14:paraId="2514FA6B" w14:textId="77777777"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14:paraId="30D7A7AD" w14:textId="77777777"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14:paraId="5C48524A" w14:textId="77777777"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14:paraId="5D89D4CC"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14:paraId="0BB56FE1"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4A91AF14"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without liability or, in its discretion to otherwise recover the full amount of such fee, commission, percentage, brokerage fee, gift, or contingent fee. </w:t>
      </w:r>
    </w:p>
    <w:p w14:paraId="51F66FC6"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762AF324"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w:t>
      </w:r>
      <w:r w:rsidRPr="00FF2C1D">
        <w:rPr>
          <w:rFonts w:ascii="Arial" w:eastAsia="Arial Unicode MS" w:hAnsi="Arial" w:cs="Arial"/>
          <w:bCs/>
          <w:sz w:val="20"/>
          <w:szCs w:val="20"/>
        </w:rPr>
        <w:lastRenderedPageBreak/>
        <w:t>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14:paraId="68BEA1B7" w14:textId="77777777"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14:paraId="744ECA36"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bookmarkStart w:id="1"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effected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
    <w:p w14:paraId="0DB06691"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435B8059"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14:paraId="2857AE99" w14:textId="77777777" w:rsidR="008D6412" w:rsidRPr="00FF2C1D" w:rsidRDefault="008D6412" w:rsidP="00FF2C1D">
      <w:pPr>
        <w:spacing w:after="0"/>
        <w:ind w:left="720"/>
        <w:contextualSpacing/>
        <w:rPr>
          <w:rFonts w:ascii="Arial" w:eastAsia="Arial Unicode MS" w:hAnsi="Arial" w:cs="Arial"/>
          <w:sz w:val="20"/>
          <w:szCs w:val="20"/>
        </w:rPr>
      </w:pPr>
    </w:p>
    <w:p w14:paraId="46D1FC5F"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14:paraId="00CBABB9"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20877834" w14:textId="77777777" w:rsidR="008D6412"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14:paraId="081B2BE0" w14:textId="77777777" w:rsidR="00771203" w:rsidRDefault="00771203" w:rsidP="00771203">
      <w:pPr>
        <w:pStyle w:val="ListParagraph"/>
        <w:rPr>
          <w:rFonts w:ascii="Arial" w:hAnsi="Arial" w:cs="Arial"/>
          <w:sz w:val="20"/>
          <w:szCs w:val="20"/>
        </w:rPr>
      </w:pPr>
    </w:p>
    <w:p w14:paraId="156EEC35" w14:textId="77777777" w:rsidR="00771203" w:rsidRPr="00FF2C1D" w:rsidRDefault="00771203" w:rsidP="00771203">
      <w:pPr>
        <w:widowControl w:val="0"/>
        <w:autoSpaceDE w:val="0"/>
        <w:autoSpaceDN w:val="0"/>
        <w:adjustRightInd w:val="0"/>
        <w:spacing w:after="0"/>
        <w:contextualSpacing/>
        <w:rPr>
          <w:rFonts w:ascii="Arial" w:hAnsi="Arial" w:cs="Arial"/>
          <w:sz w:val="20"/>
          <w:szCs w:val="20"/>
        </w:rPr>
      </w:pPr>
    </w:p>
    <w:p w14:paraId="5B687572" w14:textId="77777777" w:rsidR="008D6412" w:rsidRPr="00FF2C1D" w:rsidRDefault="008D6412" w:rsidP="00FF2C1D">
      <w:pPr>
        <w:widowControl w:val="0"/>
        <w:autoSpaceDE w:val="0"/>
        <w:autoSpaceDN w:val="0"/>
        <w:adjustRightInd w:val="0"/>
        <w:spacing w:after="0"/>
        <w:contextualSpacing/>
        <w:rPr>
          <w:rFonts w:ascii="Arial" w:eastAsia="Arial Unicode MS" w:hAnsi="Arial" w:cs="Arial"/>
          <w:sz w:val="20"/>
          <w:szCs w:val="20"/>
        </w:rPr>
      </w:pPr>
    </w:p>
    <w:p w14:paraId="516E83D9"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14:paraId="17C4ED82"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78D84740"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14:paraId="1C3256D7" w14:textId="77777777" w:rsidR="008D6412" w:rsidRPr="00FF2C1D" w:rsidRDefault="008D6412" w:rsidP="00FF2C1D">
      <w:pPr>
        <w:pStyle w:val="ListParagraph"/>
        <w:rPr>
          <w:rFonts w:ascii="Arial" w:eastAsia="Arial Unicode MS" w:hAnsi="Arial" w:cs="Arial"/>
          <w:sz w:val="20"/>
          <w:szCs w:val="20"/>
        </w:rPr>
      </w:pPr>
    </w:p>
    <w:p w14:paraId="523A41DB"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14:paraId="1FFD60E7" w14:textId="77777777" w:rsidR="008D6412" w:rsidRPr="00FF2C1D" w:rsidRDefault="008D6412" w:rsidP="00FF2C1D">
      <w:pPr>
        <w:widowControl w:val="0"/>
        <w:autoSpaceDE w:val="0"/>
        <w:autoSpaceDN w:val="0"/>
        <w:adjustRightInd w:val="0"/>
        <w:spacing w:after="0"/>
        <w:contextualSpacing/>
        <w:rPr>
          <w:rFonts w:ascii="Arial" w:eastAsia="Arial Unicode MS" w:hAnsi="Arial" w:cs="Arial"/>
          <w:bCs/>
          <w:sz w:val="20"/>
          <w:szCs w:val="20"/>
          <w:u w:val="single"/>
        </w:rPr>
      </w:pPr>
    </w:p>
    <w:p w14:paraId="567B3870"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14:paraId="5030F535"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013BC7E7"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particular provision,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14:paraId="6D708DA1"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14:paraId="11F659D8" w14:textId="77777777"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14:paraId="32E17854" w14:textId="77777777" w:rsidR="00944A3F" w:rsidRPr="00ED078D" w:rsidRDefault="008D6412" w:rsidP="00944A3F">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r>
      <w:r w:rsidR="00944A3F" w:rsidRPr="00ED078D">
        <w:rPr>
          <w:rFonts w:ascii="Arial" w:eastAsia="Arial Unicode MS" w:hAnsi="Arial" w:cs="Arial"/>
          <w:sz w:val="20"/>
          <w:szCs w:val="20"/>
        </w:rPr>
        <w:t>Rider A Scope of Work</w:t>
      </w:r>
    </w:p>
    <w:p w14:paraId="0ED20596" w14:textId="77777777" w:rsidR="00944A3F" w:rsidRPr="00ED078D" w:rsidRDefault="00944A3F" w:rsidP="00944A3F">
      <w:pPr>
        <w:widowControl w:val="0"/>
        <w:autoSpaceDE w:val="0"/>
        <w:autoSpaceDN w:val="0"/>
        <w:adjustRightInd w:val="0"/>
        <w:spacing w:after="0"/>
        <w:ind w:left="1080" w:firstLine="360"/>
        <w:contextualSpacing/>
        <w:rPr>
          <w:rFonts w:ascii="Arial" w:eastAsia="Arial Unicode MS" w:hAnsi="Arial" w:cs="Arial"/>
          <w:sz w:val="20"/>
          <w:szCs w:val="20"/>
        </w:rPr>
      </w:pPr>
      <w:r w:rsidRPr="00ED078D">
        <w:rPr>
          <w:rFonts w:ascii="Arial" w:eastAsia="Arial Unicode MS" w:hAnsi="Arial" w:cs="Arial"/>
          <w:sz w:val="20"/>
          <w:szCs w:val="20"/>
        </w:rPr>
        <w:t xml:space="preserve">Funding and Payment Rider </w:t>
      </w:r>
      <w:r w:rsidRPr="00ED078D">
        <w:rPr>
          <w:rFonts w:ascii="Arial" w:eastAsia="Arial Unicode MS" w:hAnsi="Arial" w:cs="Arial"/>
          <w:sz w:val="20"/>
          <w:szCs w:val="20"/>
        </w:rPr>
        <w:tab/>
      </w:r>
      <w:r w:rsidRPr="00ED078D">
        <w:rPr>
          <w:rFonts w:ascii="Arial" w:eastAsia="Arial Unicode MS" w:hAnsi="Arial" w:cs="Arial"/>
          <w:sz w:val="20"/>
          <w:szCs w:val="20"/>
        </w:rPr>
        <w:tab/>
      </w:r>
    </w:p>
    <w:p w14:paraId="2A2D0184" w14:textId="77777777" w:rsidR="00944A3F" w:rsidRPr="00ED078D" w:rsidRDefault="00944A3F" w:rsidP="00944A3F">
      <w:pPr>
        <w:widowControl w:val="0"/>
        <w:autoSpaceDE w:val="0"/>
        <w:autoSpaceDN w:val="0"/>
        <w:adjustRightInd w:val="0"/>
        <w:spacing w:after="0"/>
        <w:ind w:left="720" w:firstLine="720"/>
        <w:contextualSpacing/>
        <w:rPr>
          <w:rFonts w:ascii="Arial" w:eastAsia="Arial Unicode MS" w:hAnsi="Arial" w:cs="Arial"/>
          <w:sz w:val="20"/>
          <w:szCs w:val="20"/>
        </w:rPr>
      </w:pPr>
      <w:r w:rsidRPr="00ED078D">
        <w:rPr>
          <w:rFonts w:ascii="Arial" w:eastAsia="Arial Unicode MS" w:hAnsi="Arial" w:cs="Arial"/>
          <w:sz w:val="20"/>
          <w:szCs w:val="20"/>
        </w:rPr>
        <w:t>Rider B Terms and Conditions</w:t>
      </w:r>
    </w:p>
    <w:p w14:paraId="1B9FFD5F" w14:textId="77777777" w:rsidR="00944A3F" w:rsidRPr="00ED078D" w:rsidRDefault="00944A3F" w:rsidP="00944A3F">
      <w:pPr>
        <w:widowControl w:val="0"/>
        <w:autoSpaceDE w:val="0"/>
        <w:autoSpaceDN w:val="0"/>
        <w:adjustRightInd w:val="0"/>
        <w:spacing w:after="0"/>
        <w:ind w:left="1080" w:firstLine="360"/>
        <w:contextualSpacing/>
        <w:rPr>
          <w:rFonts w:ascii="Arial" w:eastAsia="Arial Unicode MS" w:hAnsi="Arial" w:cs="Arial"/>
          <w:sz w:val="20"/>
          <w:szCs w:val="20"/>
        </w:rPr>
      </w:pPr>
      <w:r w:rsidRPr="00ED078D">
        <w:rPr>
          <w:rFonts w:ascii="Arial" w:eastAsia="Arial Unicode MS" w:hAnsi="Arial" w:cs="Arial"/>
          <w:sz w:val="20"/>
          <w:szCs w:val="20"/>
        </w:rPr>
        <w:t>Rider D Included at Department's Discretion</w:t>
      </w:r>
    </w:p>
    <w:p w14:paraId="63C7E5E0" w14:textId="77777777" w:rsidR="00944A3F" w:rsidRPr="00ED078D" w:rsidRDefault="00944A3F" w:rsidP="00944A3F">
      <w:pPr>
        <w:widowControl w:val="0"/>
        <w:autoSpaceDE w:val="0"/>
        <w:autoSpaceDN w:val="0"/>
        <w:adjustRightInd w:val="0"/>
        <w:spacing w:after="0"/>
        <w:ind w:left="360"/>
        <w:contextualSpacing/>
        <w:rPr>
          <w:rFonts w:ascii="Arial" w:eastAsia="Arial Unicode MS" w:hAnsi="Arial" w:cs="Arial"/>
          <w:sz w:val="20"/>
          <w:szCs w:val="20"/>
        </w:rPr>
      </w:pPr>
      <w:r w:rsidRPr="00ED078D">
        <w:rPr>
          <w:rFonts w:ascii="Arial" w:eastAsia="Arial Unicode MS" w:hAnsi="Arial" w:cs="Arial"/>
          <w:sz w:val="20"/>
          <w:szCs w:val="20"/>
        </w:rPr>
        <w:tab/>
      </w:r>
      <w:r w:rsidRPr="00ED078D">
        <w:rPr>
          <w:rFonts w:ascii="Arial" w:eastAsia="Arial Unicode MS" w:hAnsi="Arial" w:cs="Arial"/>
          <w:sz w:val="20"/>
          <w:szCs w:val="20"/>
        </w:rPr>
        <w:tab/>
        <w:t>Rider E Included at Department's Discretion</w:t>
      </w:r>
    </w:p>
    <w:p w14:paraId="06CA9D57" w14:textId="77777777" w:rsidR="00944A3F" w:rsidRPr="00ED078D" w:rsidRDefault="00944A3F" w:rsidP="00944A3F">
      <w:pPr>
        <w:widowControl w:val="0"/>
        <w:autoSpaceDE w:val="0"/>
        <w:autoSpaceDN w:val="0"/>
        <w:adjustRightInd w:val="0"/>
        <w:spacing w:after="0"/>
        <w:ind w:left="360"/>
        <w:contextualSpacing/>
        <w:rPr>
          <w:rFonts w:ascii="Arial" w:eastAsia="Arial Unicode MS" w:hAnsi="Arial" w:cs="Arial"/>
          <w:sz w:val="20"/>
          <w:szCs w:val="20"/>
        </w:rPr>
      </w:pPr>
      <w:r w:rsidRPr="00ED078D">
        <w:rPr>
          <w:rFonts w:ascii="Arial" w:eastAsia="Arial Unicode MS" w:hAnsi="Arial" w:cs="Arial"/>
          <w:sz w:val="20"/>
          <w:szCs w:val="20"/>
        </w:rPr>
        <w:tab/>
      </w:r>
      <w:r w:rsidRPr="00ED078D">
        <w:rPr>
          <w:rFonts w:ascii="Arial" w:eastAsia="Arial Unicode MS" w:hAnsi="Arial" w:cs="Arial"/>
          <w:sz w:val="20"/>
          <w:szCs w:val="20"/>
        </w:rPr>
        <w:tab/>
        <w:t>Rider F Included at Department's Discretion</w:t>
      </w:r>
    </w:p>
    <w:p w14:paraId="2602D9B7" w14:textId="77777777" w:rsidR="00944A3F" w:rsidRPr="00ED078D" w:rsidRDefault="00944A3F" w:rsidP="00944A3F">
      <w:pPr>
        <w:widowControl w:val="0"/>
        <w:autoSpaceDE w:val="0"/>
        <w:autoSpaceDN w:val="0"/>
        <w:adjustRightInd w:val="0"/>
        <w:spacing w:after="0"/>
        <w:ind w:left="360"/>
        <w:contextualSpacing/>
        <w:rPr>
          <w:rFonts w:ascii="Arial" w:eastAsia="Arial Unicode MS" w:hAnsi="Arial" w:cs="Arial"/>
          <w:sz w:val="20"/>
          <w:szCs w:val="20"/>
        </w:rPr>
      </w:pPr>
      <w:r w:rsidRPr="00ED078D">
        <w:rPr>
          <w:rFonts w:ascii="Arial" w:eastAsia="Arial Unicode MS" w:hAnsi="Arial" w:cs="Arial"/>
          <w:sz w:val="20"/>
          <w:szCs w:val="20"/>
        </w:rPr>
        <w:tab/>
      </w:r>
      <w:r w:rsidRPr="00ED078D">
        <w:rPr>
          <w:rFonts w:ascii="Arial" w:eastAsia="Arial Unicode MS" w:hAnsi="Arial" w:cs="Arial"/>
          <w:sz w:val="20"/>
          <w:szCs w:val="20"/>
        </w:rPr>
        <w:tab/>
        <w:t xml:space="preserve">Rider G Identification of Country in which contracted work will be performed  </w:t>
      </w:r>
    </w:p>
    <w:p w14:paraId="5667036B" w14:textId="77777777" w:rsidR="00944A3F" w:rsidRPr="00ED078D" w:rsidRDefault="00944A3F" w:rsidP="00944A3F">
      <w:pPr>
        <w:widowControl w:val="0"/>
        <w:autoSpaceDE w:val="0"/>
        <w:autoSpaceDN w:val="0"/>
        <w:adjustRightInd w:val="0"/>
        <w:spacing w:after="0"/>
        <w:ind w:left="360"/>
        <w:contextualSpacing/>
        <w:rPr>
          <w:rFonts w:ascii="Arial" w:eastAsia="Arial Unicode MS" w:hAnsi="Arial" w:cs="Arial"/>
          <w:sz w:val="20"/>
          <w:szCs w:val="20"/>
        </w:rPr>
      </w:pPr>
      <w:r w:rsidRPr="00ED078D">
        <w:rPr>
          <w:rFonts w:ascii="Arial" w:eastAsia="Arial Unicode MS" w:hAnsi="Arial" w:cs="Arial"/>
          <w:sz w:val="20"/>
          <w:szCs w:val="20"/>
        </w:rPr>
        <w:tab/>
      </w:r>
      <w:r w:rsidRPr="00ED078D">
        <w:rPr>
          <w:rFonts w:ascii="Arial" w:eastAsia="Arial Unicode MS" w:hAnsi="Arial" w:cs="Arial"/>
          <w:sz w:val="20"/>
          <w:szCs w:val="20"/>
        </w:rPr>
        <w:tab/>
        <w:t>Business Associate Agreement included at Department's Discretion</w:t>
      </w:r>
    </w:p>
    <w:p w14:paraId="48FAF3B7" w14:textId="77777777" w:rsidR="00944A3F" w:rsidRPr="00ED078D" w:rsidRDefault="00944A3F" w:rsidP="00944A3F">
      <w:pPr>
        <w:widowControl w:val="0"/>
        <w:autoSpaceDE w:val="0"/>
        <w:autoSpaceDN w:val="0"/>
        <w:adjustRightInd w:val="0"/>
        <w:spacing w:after="0"/>
        <w:ind w:left="1080" w:firstLine="360"/>
        <w:contextualSpacing/>
        <w:rPr>
          <w:rFonts w:ascii="Arial" w:eastAsia="Arial Unicode MS" w:hAnsi="Arial" w:cs="Arial"/>
          <w:sz w:val="20"/>
          <w:szCs w:val="20"/>
        </w:rPr>
      </w:pPr>
      <w:r w:rsidRPr="00ED078D">
        <w:rPr>
          <w:rFonts w:ascii="Arial" w:eastAsia="Arial Unicode MS" w:hAnsi="Arial" w:cs="Arial"/>
          <w:sz w:val="20"/>
          <w:szCs w:val="20"/>
        </w:rPr>
        <w:t>Exceptions Rider</w:t>
      </w:r>
      <w:r w:rsidRPr="00ED078D">
        <w:rPr>
          <w:rFonts w:ascii="Arial" w:eastAsia="Arial Unicode MS" w:hAnsi="Arial" w:cs="Arial"/>
          <w:sz w:val="20"/>
          <w:szCs w:val="20"/>
        </w:rPr>
        <w:tab/>
      </w:r>
      <w:r w:rsidRPr="00ED078D">
        <w:rPr>
          <w:rFonts w:ascii="Arial" w:eastAsia="Arial Unicode MS" w:hAnsi="Arial" w:cs="Arial"/>
          <w:sz w:val="20"/>
          <w:szCs w:val="20"/>
        </w:rPr>
        <w:tab/>
      </w:r>
    </w:p>
    <w:p w14:paraId="5E649722" w14:textId="77777777" w:rsidR="00944A3F" w:rsidRPr="00FF2C1D" w:rsidRDefault="00944A3F" w:rsidP="00944A3F">
      <w:pPr>
        <w:widowControl w:val="0"/>
        <w:autoSpaceDE w:val="0"/>
        <w:autoSpaceDN w:val="0"/>
        <w:adjustRightInd w:val="0"/>
        <w:spacing w:after="0"/>
        <w:ind w:left="720" w:firstLine="720"/>
        <w:contextualSpacing/>
        <w:rPr>
          <w:rFonts w:ascii="Arial" w:eastAsia="Arial Unicode MS" w:hAnsi="Arial" w:cs="Arial"/>
          <w:sz w:val="20"/>
          <w:szCs w:val="20"/>
        </w:rPr>
      </w:pPr>
      <w:r w:rsidRPr="00ED078D">
        <w:rPr>
          <w:rFonts w:ascii="Arial" w:eastAsia="Arial Unicode MS" w:hAnsi="Arial" w:cs="Arial"/>
          <w:sz w:val="20"/>
          <w:szCs w:val="20"/>
        </w:rPr>
        <w:t>Other Included at Department's Discretion</w:t>
      </w:r>
      <w:r w:rsidRPr="00FF2C1D">
        <w:rPr>
          <w:rFonts w:ascii="Arial" w:eastAsia="Arial Unicode MS" w:hAnsi="Arial" w:cs="Arial"/>
          <w:sz w:val="20"/>
          <w:szCs w:val="20"/>
        </w:rPr>
        <w:t xml:space="preserve"> </w:t>
      </w:r>
    </w:p>
    <w:p w14:paraId="5406E385" w14:textId="77777777" w:rsidR="008D6412" w:rsidRPr="00FF2C1D" w:rsidRDefault="008D6412" w:rsidP="00944A3F">
      <w:pPr>
        <w:widowControl w:val="0"/>
        <w:autoSpaceDE w:val="0"/>
        <w:autoSpaceDN w:val="0"/>
        <w:adjustRightInd w:val="0"/>
        <w:spacing w:after="0"/>
        <w:ind w:left="360"/>
        <w:contextualSpacing/>
        <w:rPr>
          <w:rFonts w:ascii="Arial" w:eastAsia="Arial Unicode MS" w:hAnsi="Arial" w:cs="Arial"/>
          <w:sz w:val="20"/>
          <w:szCs w:val="20"/>
        </w:rPr>
      </w:pPr>
    </w:p>
    <w:p w14:paraId="27533BEF"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in the event that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14:paraId="3F2F18C4" w14:textId="77777777" w:rsidR="008D6412" w:rsidRPr="00FF2C1D" w:rsidRDefault="008D6412" w:rsidP="00FF2C1D">
      <w:pPr>
        <w:widowControl w:val="0"/>
        <w:autoSpaceDE w:val="0"/>
        <w:autoSpaceDN w:val="0"/>
        <w:adjustRightInd w:val="0"/>
        <w:spacing w:after="0"/>
        <w:ind w:left="360"/>
        <w:contextualSpacing/>
        <w:rPr>
          <w:rFonts w:ascii="Arial" w:eastAsia="Arial Unicode MS" w:hAnsi="Arial" w:cs="Arial"/>
          <w:bCs/>
          <w:sz w:val="20"/>
          <w:szCs w:val="20"/>
          <w:u w:val="single"/>
        </w:rPr>
      </w:pPr>
    </w:p>
    <w:p w14:paraId="0CD5E1FC" w14:textId="77777777" w:rsidR="008D6412"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all of its common law, equitable and statutory rights of set-off. These rights shall include, but not be limited to, the State’s option to withhold for the purposes of set-off any monies due to the Provider under this Contract up to any amounts due and owing to the State with 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14:paraId="044B3EAB" w14:textId="77777777" w:rsidR="008D6412" w:rsidRPr="00FF2C1D" w:rsidRDefault="008D6412" w:rsidP="00FF2C1D">
      <w:pPr>
        <w:spacing w:after="0"/>
        <w:ind w:left="720"/>
        <w:contextualSpacing/>
        <w:rPr>
          <w:rFonts w:ascii="Arial" w:eastAsia="Arial Unicode MS" w:hAnsi="Arial" w:cs="Arial"/>
          <w:bCs/>
          <w:sz w:val="20"/>
          <w:szCs w:val="20"/>
          <w:u w:val="single"/>
        </w:rPr>
      </w:pPr>
    </w:p>
    <w:p w14:paraId="55AFC97C" w14:textId="77777777"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w:t>
      </w:r>
      <w:r w:rsidRPr="00FF2C1D">
        <w:rPr>
          <w:rFonts w:ascii="Arial" w:eastAsia="Arial Unicode MS" w:hAnsi="Arial" w:cs="Arial"/>
          <w:sz w:val="20"/>
          <w:szCs w:val="20"/>
        </w:rPr>
        <w:lastRenderedPageBreak/>
        <w:t xml:space="preserve">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14:paraId="53D1900F" w14:textId="77777777" w:rsidR="00CC1876" w:rsidRPr="00FF2C1D" w:rsidRDefault="00CC1876" w:rsidP="00FF2C1D">
      <w:pPr>
        <w:widowControl w:val="0"/>
        <w:autoSpaceDE w:val="0"/>
        <w:autoSpaceDN w:val="0"/>
        <w:adjustRightInd w:val="0"/>
        <w:spacing w:after="0"/>
        <w:ind w:left="360"/>
        <w:contextualSpacing/>
        <w:rPr>
          <w:rFonts w:ascii="Arial" w:hAnsi="Arial" w:cs="Arial"/>
          <w:sz w:val="20"/>
          <w:szCs w:val="20"/>
          <w:u w:val="single"/>
        </w:rPr>
      </w:pPr>
    </w:p>
    <w:p w14:paraId="29906C83" w14:textId="77777777"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14:paraId="249FA7FF" w14:textId="77777777" w:rsidR="008D6412" w:rsidRPr="00FF2C1D" w:rsidRDefault="008D6412" w:rsidP="00FF2C1D">
      <w:pPr>
        <w:pStyle w:val="ListParagraph"/>
        <w:rPr>
          <w:rFonts w:ascii="Arial" w:hAnsi="Arial" w:cs="Arial"/>
          <w:sz w:val="20"/>
          <w:szCs w:val="20"/>
        </w:rPr>
      </w:pPr>
    </w:p>
    <w:p w14:paraId="1BFCA347" w14:textId="77777777" w:rsidR="008D6412" w:rsidRPr="00FF2C1D" w:rsidRDefault="008D6412" w:rsidP="00FF2C1D">
      <w:pPr>
        <w:pStyle w:val="ListParagraph"/>
        <w:numPr>
          <w:ilvl w:val="0"/>
          <w:numId w:val="9"/>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By signing this Contract, the Provider certifies to the best of Provider’s knowledge and belief that the aforementioned organization, its principals and any subcontractors named in this Contract:</w:t>
      </w:r>
    </w:p>
    <w:p w14:paraId="461092C4" w14:textId="77777777" w:rsidR="008D6412" w:rsidRPr="00FF2C1D" w:rsidRDefault="008D6412" w:rsidP="00FF2C1D">
      <w:pPr>
        <w:pStyle w:val="ListParagraph"/>
        <w:rPr>
          <w:rFonts w:ascii="Arial" w:hAnsi="Arial" w:cs="Arial"/>
          <w:iCs/>
          <w:sz w:val="20"/>
          <w:szCs w:val="20"/>
        </w:rPr>
      </w:pPr>
    </w:p>
    <w:p w14:paraId="04DB36FC" w14:textId="77777777"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8D9037D" w14:textId="77777777" w:rsidR="008D6412" w:rsidRPr="00FF2C1D" w:rsidRDefault="008D6412" w:rsidP="00FF2C1D">
      <w:pPr>
        <w:ind w:left="540"/>
        <w:contextualSpacing/>
        <w:rPr>
          <w:rFonts w:ascii="Arial" w:hAnsi="Arial" w:cs="Arial"/>
          <w:iCs/>
          <w:sz w:val="20"/>
          <w:szCs w:val="20"/>
        </w:rPr>
      </w:pPr>
    </w:p>
    <w:p w14:paraId="6867B71D" w14:textId="77777777"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14:paraId="6DE8B22B" w14:textId="77777777"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Fraud or a criminal offense in connection with obtaining, attempting to obtain, or performing a federal, state or local government transaction or contract.</w:t>
      </w:r>
    </w:p>
    <w:p w14:paraId="13080546" w14:textId="77777777"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35BF0667" w14:textId="77777777"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7C656B31" w14:textId="77777777" w:rsidR="008D6412" w:rsidRPr="00FF2C1D" w:rsidRDefault="008D6412" w:rsidP="00FF2C1D">
      <w:pPr>
        <w:numPr>
          <w:ilvl w:val="1"/>
          <w:numId w:val="25"/>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14:paraId="59CE2578" w14:textId="77777777" w:rsidR="008D6412" w:rsidRPr="00FF2C1D" w:rsidRDefault="008D6412" w:rsidP="00FF2C1D">
      <w:pPr>
        <w:ind w:left="1080"/>
        <w:contextualSpacing/>
        <w:rPr>
          <w:rFonts w:ascii="Arial" w:hAnsi="Arial" w:cs="Arial"/>
          <w:sz w:val="20"/>
          <w:szCs w:val="20"/>
        </w:rPr>
      </w:pPr>
    </w:p>
    <w:p w14:paraId="5480515F" w14:textId="77777777"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9BE8F1D" w14:textId="77777777" w:rsidR="001E094A" w:rsidRPr="00FF2C1D" w:rsidRDefault="001E094A" w:rsidP="00DE34CC">
      <w:pPr>
        <w:jc w:val="both"/>
        <w:rPr>
          <w:rFonts w:ascii="Arial" w:hAnsi="Arial" w:cs="Arial"/>
          <w:sz w:val="20"/>
          <w:szCs w:val="20"/>
        </w:rPr>
      </w:pPr>
    </w:p>
    <w:sectPr w:rsidR="001E094A" w:rsidRPr="00FF2C1D" w:rsidSect="00DE34CC">
      <w:footerReference w:type="first" r:id="rId11"/>
      <w:type w:val="continuous"/>
      <w:pgSz w:w="12240" w:h="15840"/>
      <w:pgMar w:top="288" w:right="1440" w:bottom="1080"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346F" w14:textId="77777777" w:rsidR="0010199A" w:rsidRDefault="0010199A" w:rsidP="00414C16">
      <w:pPr>
        <w:spacing w:after="0" w:line="240" w:lineRule="auto"/>
      </w:pPr>
      <w:r>
        <w:separator/>
      </w:r>
    </w:p>
  </w:endnote>
  <w:endnote w:type="continuationSeparator" w:id="0">
    <w:p w14:paraId="36576481" w14:textId="77777777" w:rsidR="0010199A" w:rsidRDefault="0010199A"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0E61" w14:textId="77777777" w:rsidR="00DE34CC" w:rsidRPr="000505C8" w:rsidRDefault="00DE34CC" w:rsidP="00DE34CC">
    <w:pPr>
      <w:rPr>
        <w:rFonts w:ascii="Arial" w:hAnsi="Arial" w:cs="Arial"/>
        <w:color w:val="000000"/>
      </w:rPr>
    </w:pPr>
    <w:r w:rsidRPr="000505C8">
      <w:rPr>
        <w:rFonts w:ascii="Arial" w:hAnsi="Arial" w:cs="Arial"/>
      </w:rPr>
      <w:t xml:space="preserve">Rider </w:t>
    </w:r>
    <w:r>
      <w:rPr>
        <w:rFonts w:ascii="Arial" w:hAnsi="Arial" w:cs="Arial"/>
      </w:rPr>
      <w:t>B</w:t>
    </w:r>
    <w:r w:rsidRPr="000505C8">
      <w:rPr>
        <w:rFonts w:ascii="Arial" w:hAnsi="Arial" w:cs="Arial"/>
      </w:rPr>
      <w:t xml:space="preserve">, Page </w:t>
    </w:r>
    <w:r w:rsidRPr="000505C8">
      <w:rPr>
        <w:rFonts w:ascii="Arial" w:hAnsi="Arial" w:cs="Arial"/>
      </w:rPr>
      <w:fldChar w:fldCharType="begin"/>
    </w:r>
    <w:r w:rsidRPr="000505C8">
      <w:rPr>
        <w:rFonts w:ascii="Arial" w:hAnsi="Arial" w:cs="Arial"/>
      </w:rPr>
      <w:instrText xml:space="preserve"> PAGE   \* MERGEFORMAT </w:instrText>
    </w:r>
    <w:r w:rsidRPr="000505C8">
      <w:rPr>
        <w:rFonts w:ascii="Arial" w:hAnsi="Arial" w:cs="Arial"/>
      </w:rPr>
      <w:fldChar w:fldCharType="separate"/>
    </w:r>
    <w:r>
      <w:rPr>
        <w:rFonts w:ascii="Arial" w:hAnsi="Arial" w:cs="Arial"/>
      </w:rPr>
      <w:t>1</w:t>
    </w:r>
    <w:r w:rsidRPr="000505C8">
      <w:rPr>
        <w:rFonts w:ascii="Arial" w:hAnsi="Arial" w:cs="Arial"/>
        <w:noProof/>
      </w:rPr>
      <w:fldChar w:fldCharType="end"/>
    </w:r>
    <w:r w:rsidRPr="000505C8">
      <w:rPr>
        <w:rFonts w:ascii="Arial" w:hAnsi="Arial" w:cs="Arial"/>
      </w:rPr>
      <w:ptab w:relativeTo="margin" w:alignment="center" w:leader="none"/>
    </w:r>
    <w:r w:rsidRPr="000505C8">
      <w:rPr>
        <w:rFonts w:ascii="Arial" w:hAnsi="Arial" w:cs="Arial"/>
      </w:rPr>
      <w:ptab w:relativeTo="margin" w:alignment="right" w:leader="none"/>
    </w:r>
    <w:r w:rsidRPr="000505C8">
      <w:rPr>
        <w:rFonts w:ascii="Arial" w:hAnsi="Arial" w:cs="Arial"/>
      </w:rPr>
      <w:t xml:space="preserve">Version </w:t>
    </w:r>
    <w:r>
      <w:rPr>
        <w:rFonts w:ascii="Arial" w:hAnsi="Arial" w:cs="Arial"/>
        <w:color w:val="000000"/>
      </w:rPr>
      <w:t>DHHS 2021.1</w:t>
    </w:r>
  </w:p>
  <w:p w14:paraId="7EE74812" w14:textId="77777777" w:rsidR="00DE34CC" w:rsidRDefault="00DE3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115F" w14:textId="77777777" w:rsidR="0010199A" w:rsidRDefault="0010199A" w:rsidP="00414C16">
      <w:pPr>
        <w:spacing w:after="0" w:line="240" w:lineRule="auto"/>
      </w:pPr>
      <w:r>
        <w:separator/>
      </w:r>
    </w:p>
  </w:footnote>
  <w:footnote w:type="continuationSeparator" w:id="0">
    <w:p w14:paraId="24A095DA" w14:textId="77777777" w:rsidR="0010199A" w:rsidRDefault="0010199A"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71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5808"/>
    <w:multiLevelType w:val="hybridMultilevel"/>
    <w:tmpl w:val="149E6B9C"/>
    <w:lvl w:ilvl="0" w:tplc="B978BC10">
      <w:start w:val="2"/>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D284A"/>
    <w:multiLevelType w:val="hybridMultilevel"/>
    <w:tmpl w:val="A232F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12A3ADF"/>
    <w:multiLevelType w:val="hybridMultilevel"/>
    <w:tmpl w:val="BE7AF0C8"/>
    <w:lvl w:ilvl="0" w:tplc="C8A26268">
      <w:start w:val="3"/>
      <w:numFmt w:val="upperLetter"/>
      <w:lvlText w:val="%1."/>
      <w:lvlJc w:val="left"/>
      <w:pPr>
        <w:ind w:left="720" w:hanging="360"/>
      </w:pPr>
      <w:rPr>
        <w:rFonts w:ascii="Arial" w:hAnsi="Arial" w:cs="Arial" w:hint="default"/>
        <w:b w:val="0"/>
        <w:i w:val="0"/>
        <w:sz w:val="22"/>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E714FC"/>
    <w:multiLevelType w:val="hybridMultilevel"/>
    <w:tmpl w:val="26ACDDC8"/>
    <w:lvl w:ilvl="0" w:tplc="BBB22364">
      <w:start w:val="1"/>
      <w:numFmt w:val="upperLetter"/>
      <w:lvlText w:val="%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9"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31"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2"/>
  </w:num>
  <w:num w:numId="3">
    <w:abstractNumId w:val="30"/>
  </w:num>
  <w:num w:numId="4">
    <w:abstractNumId w:val="14"/>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2"/>
  </w:num>
  <w:num w:numId="9">
    <w:abstractNumId w:val="21"/>
  </w:num>
  <w:num w:numId="10">
    <w:abstractNumId w:val="25"/>
  </w:num>
  <w:num w:numId="11">
    <w:abstractNumId w:val="19"/>
  </w:num>
  <w:num w:numId="12">
    <w:abstractNumId w:val="7"/>
  </w:num>
  <w:num w:numId="13">
    <w:abstractNumId w:val="26"/>
  </w:num>
  <w:num w:numId="14">
    <w:abstractNumId w:val="11"/>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8"/>
  </w:num>
  <w:num w:numId="20">
    <w:abstractNumId w:val="24"/>
  </w:num>
  <w:num w:numId="21">
    <w:abstractNumId w:val="5"/>
  </w:num>
  <w:num w:numId="22">
    <w:abstractNumId w:val="18"/>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9"/>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27"/>
  </w:num>
  <w:num w:numId="34">
    <w:abstractNumId w:val="1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0E48"/>
    <w:rsid w:val="000152C1"/>
    <w:rsid w:val="00026070"/>
    <w:rsid w:val="000414F7"/>
    <w:rsid w:val="00042AE2"/>
    <w:rsid w:val="00044CB3"/>
    <w:rsid w:val="00062B81"/>
    <w:rsid w:val="000660B7"/>
    <w:rsid w:val="00073979"/>
    <w:rsid w:val="000A6824"/>
    <w:rsid w:val="000B3E51"/>
    <w:rsid w:val="000B5814"/>
    <w:rsid w:val="000C7D3C"/>
    <w:rsid w:val="000D6387"/>
    <w:rsid w:val="000D770E"/>
    <w:rsid w:val="000E3623"/>
    <w:rsid w:val="0010162F"/>
    <w:rsid w:val="0010199A"/>
    <w:rsid w:val="00103F56"/>
    <w:rsid w:val="00106B70"/>
    <w:rsid w:val="001134B7"/>
    <w:rsid w:val="00115421"/>
    <w:rsid w:val="00122C3A"/>
    <w:rsid w:val="001232CD"/>
    <w:rsid w:val="00124AAB"/>
    <w:rsid w:val="00142FDC"/>
    <w:rsid w:val="00151546"/>
    <w:rsid w:val="00167430"/>
    <w:rsid w:val="00172238"/>
    <w:rsid w:val="00175F18"/>
    <w:rsid w:val="00182AA1"/>
    <w:rsid w:val="001945A9"/>
    <w:rsid w:val="00195A6E"/>
    <w:rsid w:val="001A031B"/>
    <w:rsid w:val="001A32A9"/>
    <w:rsid w:val="001A40DE"/>
    <w:rsid w:val="001B015A"/>
    <w:rsid w:val="001B0B5F"/>
    <w:rsid w:val="001C463C"/>
    <w:rsid w:val="001C5BBF"/>
    <w:rsid w:val="001C7A47"/>
    <w:rsid w:val="001D546B"/>
    <w:rsid w:val="001E094A"/>
    <w:rsid w:val="001E0CF5"/>
    <w:rsid w:val="001E1D3B"/>
    <w:rsid w:val="001E4EA6"/>
    <w:rsid w:val="001F2C78"/>
    <w:rsid w:val="001F5B0C"/>
    <w:rsid w:val="001F6DAD"/>
    <w:rsid w:val="00205CA7"/>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F0C43"/>
    <w:rsid w:val="0030381D"/>
    <w:rsid w:val="00304B91"/>
    <w:rsid w:val="00305A3D"/>
    <w:rsid w:val="003063A5"/>
    <w:rsid w:val="003076A3"/>
    <w:rsid w:val="00312163"/>
    <w:rsid w:val="0033169F"/>
    <w:rsid w:val="00334D86"/>
    <w:rsid w:val="00364E09"/>
    <w:rsid w:val="003661F1"/>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C3703"/>
    <w:rsid w:val="004C607B"/>
    <w:rsid w:val="004E6074"/>
    <w:rsid w:val="004F146B"/>
    <w:rsid w:val="005120CF"/>
    <w:rsid w:val="00523808"/>
    <w:rsid w:val="00524CBA"/>
    <w:rsid w:val="00526C5D"/>
    <w:rsid w:val="00527D88"/>
    <w:rsid w:val="005356FC"/>
    <w:rsid w:val="00541560"/>
    <w:rsid w:val="00544219"/>
    <w:rsid w:val="00545181"/>
    <w:rsid w:val="00551F34"/>
    <w:rsid w:val="005523CA"/>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7A0E"/>
    <w:rsid w:val="00697B4B"/>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7070"/>
    <w:rsid w:val="00750318"/>
    <w:rsid w:val="007538F7"/>
    <w:rsid w:val="00757B12"/>
    <w:rsid w:val="00763C9A"/>
    <w:rsid w:val="00771203"/>
    <w:rsid w:val="00771897"/>
    <w:rsid w:val="007728A4"/>
    <w:rsid w:val="00777FD2"/>
    <w:rsid w:val="00781DE8"/>
    <w:rsid w:val="00782347"/>
    <w:rsid w:val="0079676C"/>
    <w:rsid w:val="00797E3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2047A"/>
    <w:rsid w:val="00830237"/>
    <w:rsid w:val="008322C4"/>
    <w:rsid w:val="00836CED"/>
    <w:rsid w:val="00840345"/>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44A3F"/>
    <w:rsid w:val="00951318"/>
    <w:rsid w:val="009554BA"/>
    <w:rsid w:val="00956EB6"/>
    <w:rsid w:val="00961E63"/>
    <w:rsid w:val="00967850"/>
    <w:rsid w:val="00992818"/>
    <w:rsid w:val="00993CE2"/>
    <w:rsid w:val="009A03CE"/>
    <w:rsid w:val="009B4FE4"/>
    <w:rsid w:val="009D7330"/>
    <w:rsid w:val="009E64C4"/>
    <w:rsid w:val="00A01026"/>
    <w:rsid w:val="00A01C81"/>
    <w:rsid w:val="00A072EE"/>
    <w:rsid w:val="00A14B64"/>
    <w:rsid w:val="00A22B68"/>
    <w:rsid w:val="00A26A9E"/>
    <w:rsid w:val="00A33714"/>
    <w:rsid w:val="00A36FF4"/>
    <w:rsid w:val="00A47D3E"/>
    <w:rsid w:val="00A61ECC"/>
    <w:rsid w:val="00A62F52"/>
    <w:rsid w:val="00A67E60"/>
    <w:rsid w:val="00A725C6"/>
    <w:rsid w:val="00A73BE8"/>
    <w:rsid w:val="00A83246"/>
    <w:rsid w:val="00A85B89"/>
    <w:rsid w:val="00A9653E"/>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3705E"/>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0F9C"/>
    <w:rsid w:val="00C41563"/>
    <w:rsid w:val="00C41765"/>
    <w:rsid w:val="00C41846"/>
    <w:rsid w:val="00C47B25"/>
    <w:rsid w:val="00C5623A"/>
    <w:rsid w:val="00C57313"/>
    <w:rsid w:val="00C649C7"/>
    <w:rsid w:val="00C66327"/>
    <w:rsid w:val="00C6668A"/>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22D2"/>
    <w:rsid w:val="00D17126"/>
    <w:rsid w:val="00D454CA"/>
    <w:rsid w:val="00D56F69"/>
    <w:rsid w:val="00D57685"/>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34C3"/>
    <w:rsid w:val="00DE34CC"/>
    <w:rsid w:val="00DE6668"/>
    <w:rsid w:val="00DF0B26"/>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4BFF"/>
    <w:rsid w:val="00F971EF"/>
    <w:rsid w:val="00F978DB"/>
    <w:rsid w:val="00FA63B8"/>
    <w:rsid w:val="00FB115F"/>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F00B3"/>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 w:type="paragraph" w:styleId="NormalWeb">
    <w:name w:val="Normal (Web)"/>
    <w:basedOn w:val="Normal"/>
    <w:rsid w:val="00010E48"/>
    <w:pPr>
      <w:spacing w:before="100" w:beforeAutospacing="1" w:after="100" w:afterAutospacing="1" w:line="240" w:lineRule="auto"/>
    </w:pPr>
    <w:rPr>
      <w:rFonts w:ascii="Arial Unicode MS" w:eastAsia="Arial Unicode MS" w:hAnsi="Arial Unicode MS" w:cs="Times New Roman"/>
      <w:sz w:val="24"/>
      <w:szCs w:val="48"/>
    </w:rPr>
  </w:style>
  <w:style w:type="character" w:styleId="Hyperlink">
    <w:name w:val="Hyperlink"/>
    <w:uiPriority w:val="99"/>
    <w:unhideWhenUsed/>
    <w:rsid w:val="001F2C78"/>
    <w:rPr>
      <w:color w:val="0000FF"/>
      <w:u w:val="single"/>
    </w:rPr>
  </w:style>
  <w:style w:type="paragraph" w:customStyle="1" w:styleId="Normal2">
    <w:name w:val="Normal 2"/>
    <w:basedOn w:val="Normal"/>
    <w:rsid w:val="001F2C78"/>
    <w:pPr>
      <w:spacing w:after="0" w:line="240" w:lineRule="auto"/>
    </w:pPr>
    <w:rPr>
      <w:rFonts w:ascii="Times New Roman" w:eastAsia="Times New Roman" w:hAnsi="Times New Roman" w:cs="Times New Roman"/>
      <w:bCs/>
      <w:sz w:val="24"/>
      <w:szCs w:val="20"/>
    </w:rPr>
  </w:style>
  <w:style w:type="paragraph" w:styleId="FootnoteText">
    <w:name w:val="footnote text"/>
    <w:basedOn w:val="Normal"/>
    <w:link w:val="FootnoteTextChar"/>
    <w:uiPriority w:val="99"/>
    <w:semiHidden/>
    <w:unhideWhenUsed/>
    <w:rsid w:val="001F2C7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F2C78"/>
    <w:rPr>
      <w:rFonts w:ascii="Arial" w:eastAsia="Times New Roman" w:hAnsi="Arial" w:cs="Arial"/>
      <w:sz w:val="20"/>
      <w:szCs w:val="20"/>
    </w:rPr>
  </w:style>
  <w:style w:type="character" w:styleId="FootnoteReference">
    <w:name w:val="footnote reference"/>
    <w:basedOn w:val="DefaultParagraphFont"/>
    <w:uiPriority w:val="99"/>
    <w:semiHidden/>
    <w:unhideWhenUsed/>
    <w:rsid w:val="001F2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6" ma:contentTypeDescription="Create a new document." ma:contentTypeScope="" ma:versionID="6d4df43f6863a7287b3340a53c9f7b86">
  <xsd:schema xmlns:xsd="http://www.w3.org/2001/XMLSchema" xmlns:xs="http://www.w3.org/2001/XMLSchema" xmlns:p="http://schemas.microsoft.com/office/2006/metadata/properties" xmlns:ns3="18cd769d-42fe-4cf2-a3ba-7f5567639290" targetNamespace="http://schemas.microsoft.com/office/2006/metadata/properties" ma:root="true" ma:fieldsID="d48d575595fe127f30fab55c15cfd137" ns3:_="">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8BFA-5588-48AC-A024-8C8F20CDC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ECD5A-F57B-41C8-B344-2A114E3EC368}">
  <ds:schemaRefs>
    <ds:schemaRef ds:uri="http://schemas.microsoft.com/sharepoint/v3/contenttype/forms"/>
  </ds:schemaRefs>
</ds:datastoreItem>
</file>

<file path=customXml/itemProps3.xml><?xml version="1.0" encoding="utf-8"?>
<ds:datastoreItem xmlns:ds="http://schemas.openxmlformats.org/officeDocument/2006/customXml" ds:itemID="{99A9C684-5920-4C90-B308-6D1A3A337D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5AAF2-25D4-490C-9259-C9E2C49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2700</Words>
  <Characters>15396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Belanger, Shawn</cp:lastModifiedBy>
  <cp:revision>2</cp:revision>
  <cp:lastPrinted>2019-12-05T16:40:00Z</cp:lastPrinted>
  <dcterms:created xsi:type="dcterms:W3CDTF">2020-05-15T12:59:00Z</dcterms:created>
  <dcterms:modified xsi:type="dcterms:W3CDTF">2020-05-15T12:59:00Z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