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35944" w14:textId="69463BB7" w:rsidR="003E1D60" w:rsidRDefault="00571D2B" w:rsidP="00571D2B">
      <w:pPr>
        <w:jc w:val="center"/>
      </w:pPr>
      <w:r>
        <w:rPr>
          <w:noProof/>
        </w:rPr>
        <w:drawing>
          <wp:inline distT="0" distB="0" distL="0" distR="0" wp14:anchorId="5FDE4D62" wp14:editId="6E4B8CA1">
            <wp:extent cx="6400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37566AD6" w14:textId="7265D9B6" w:rsidR="00571D2B" w:rsidRDefault="00571D2B" w:rsidP="00571D2B">
      <w:pPr>
        <w:jc w:val="center"/>
        <w:rPr>
          <w:color w:val="2F5496" w:themeColor="accent1" w:themeShade="BF"/>
          <w:sz w:val="28"/>
          <w:szCs w:val="28"/>
        </w:rPr>
      </w:pPr>
      <w:bookmarkStart w:id="0" w:name="_Hlk95468651"/>
      <w:r w:rsidRPr="00571D2B">
        <w:rPr>
          <w:color w:val="2F5496" w:themeColor="accent1" w:themeShade="BF"/>
          <w:sz w:val="28"/>
          <w:szCs w:val="28"/>
        </w:rPr>
        <w:t>Office of Aging and Disability Services</w:t>
      </w:r>
    </w:p>
    <w:bookmarkEnd w:id="0"/>
    <w:p w14:paraId="0B673A10" w14:textId="642C5532" w:rsidR="00402462" w:rsidRPr="007B3BF2" w:rsidRDefault="00571D2B" w:rsidP="00F06B15">
      <w:pPr>
        <w:jc w:val="center"/>
        <w:rPr>
          <w:color w:val="1F3864" w:themeColor="accent1" w:themeShade="80"/>
          <w:sz w:val="28"/>
          <w:szCs w:val="28"/>
        </w:rPr>
      </w:pPr>
      <w:r w:rsidRPr="007B3BF2">
        <w:rPr>
          <w:color w:val="1F3864" w:themeColor="accent1" w:themeShade="80"/>
          <w:sz w:val="28"/>
          <w:szCs w:val="28"/>
        </w:rPr>
        <w:t>Coordination of Waiver Services with the Bureau of Rehabilitation</w:t>
      </w:r>
      <w:r w:rsidR="00250AA5" w:rsidRPr="007B3BF2">
        <w:rPr>
          <w:color w:val="1F3864" w:themeColor="accent1" w:themeShade="80"/>
          <w:sz w:val="28"/>
          <w:szCs w:val="28"/>
        </w:rPr>
        <w:t xml:space="preserve"> Services</w:t>
      </w:r>
    </w:p>
    <w:tbl>
      <w:tblPr>
        <w:tblStyle w:val="TableGrid"/>
        <w:tblW w:w="0" w:type="auto"/>
        <w:tblLook w:val="0000" w:firstRow="0" w:lastRow="0" w:firstColumn="0" w:lastColumn="0" w:noHBand="0" w:noVBand="0"/>
      </w:tblPr>
      <w:tblGrid>
        <w:gridCol w:w="4675"/>
        <w:gridCol w:w="4675"/>
      </w:tblGrid>
      <w:tr w:rsidR="00402462" w14:paraId="1C966E6E" w14:textId="77777777" w:rsidTr="003E69C6">
        <w:trPr>
          <w:trHeight w:val="680"/>
        </w:trPr>
        <w:tc>
          <w:tcPr>
            <w:tcW w:w="9350" w:type="dxa"/>
            <w:gridSpan w:val="2"/>
            <w:shd w:val="clear" w:color="auto" w:fill="8EAADB" w:themeFill="accent1" w:themeFillTint="99"/>
          </w:tcPr>
          <w:p w14:paraId="1213CC6F" w14:textId="66C1C3CD" w:rsidR="00402462" w:rsidRDefault="00402462" w:rsidP="00673BB0">
            <w:pPr>
              <w:jc w:val="center"/>
              <w:rPr>
                <w:color w:val="1F3864" w:themeColor="accent1" w:themeShade="80"/>
                <w:sz w:val="32"/>
                <w:szCs w:val="32"/>
              </w:rPr>
            </w:pPr>
            <w:r>
              <w:rPr>
                <w:color w:val="1F3864" w:themeColor="accent1" w:themeShade="80"/>
                <w:sz w:val="32"/>
                <w:szCs w:val="32"/>
              </w:rPr>
              <w:t>Stage One: Bureau of Rehabilitation</w:t>
            </w:r>
            <w:r w:rsidR="00250AA5">
              <w:rPr>
                <w:color w:val="1F3864" w:themeColor="accent1" w:themeShade="80"/>
                <w:sz w:val="32"/>
                <w:szCs w:val="32"/>
              </w:rPr>
              <w:t xml:space="preserve"> Services</w:t>
            </w:r>
          </w:p>
        </w:tc>
      </w:tr>
      <w:tr w:rsidR="00571D2B" w14:paraId="33EBE957" w14:textId="77777777" w:rsidTr="003E69C6">
        <w:tblPrEx>
          <w:tblLook w:val="04A0" w:firstRow="1" w:lastRow="0" w:firstColumn="1" w:lastColumn="0" w:noHBand="0" w:noVBand="1"/>
        </w:tblPrEx>
        <w:tc>
          <w:tcPr>
            <w:tcW w:w="4675" w:type="dxa"/>
            <w:shd w:val="clear" w:color="auto" w:fill="D9E2F3" w:themeFill="accent1" w:themeFillTint="33"/>
          </w:tcPr>
          <w:p w14:paraId="01D55E52" w14:textId="77777777" w:rsidR="00571D2B" w:rsidRDefault="00571D2B" w:rsidP="00673BB0">
            <w:pPr>
              <w:jc w:val="center"/>
              <w:rPr>
                <w:color w:val="1F3864" w:themeColor="accent1" w:themeShade="80"/>
                <w:sz w:val="32"/>
                <w:szCs w:val="32"/>
              </w:rPr>
            </w:pPr>
            <w:r>
              <w:rPr>
                <w:color w:val="1F3864" w:themeColor="accent1" w:themeShade="80"/>
                <w:sz w:val="32"/>
                <w:szCs w:val="32"/>
              </w:rPr>
              <w:t>Accessing the Service</w:t>
            </w:r>
          </w:p>
          <w:p w14:paraId="60FAF628" w14:textId="7DA01869" w:rsidR="006E6247" w:rsidRDefault="006E6247" w:rsidP="00673BB0">
            <w:pPr>
              <w:jc w:val="center"/>
              <w:rPr>
                <w:color w:val="1F3864" w:themeColor="accent1" w:themeShade="80"/>
                <w:sz w:val="32"/>
                <w:szCs w:val="32"/>
              </w:rPr>
            </w:pPr>
          </w:p>
        </w:tc>
        <w:tc>
          <w:tcPr>
            <w:tcW w:w="4675" w:type="dxa"/>
            <w:shd w:val="clear" w:color="auto" w:fill="D9E2F3" w:themeFill="accent1" w:themeFillTint="33"/>
          </w:tcPr>
          <w:p w14:paraId="16C23806" w14:textId="3D5A1667" w:rsidR="00571D2B" w:rsidRDefault="00571D2B" w:rsidP="00673BB0">
            <w:pPr>
              <w:jc w:val="center"/>
              <w:rPr>
                <w:color w:val="1F3864" w:themeColor="accent1" w:themeShade="80"/>
                <w:sz w:val="32"/>
                <w:szCs w:val="32"/>
              </w:rPr>
            </w:pPr>
            <w:r>
              <w:rPr>
                <w:color w:val="1F3864" w:themeColor="accent1" w:themeShade="80"/>
                <w:sz w:val="32"/>
                <w:szCs w:val="32"/>
              </w:rPr>
              <w:t>Next Steps</w:t>
            </w:r>
          </w:p>
        </w:tc>
      </w:tr>
      <w:tr w:rsidR="00571D2B" w14:paraId="4DF56D86" w14:textId="77777777" w:rsidTr="00673BB0">
        <w:tblPrEx>
          <w:tblLook w:val="04A0" w:firstRow="1" w:lastRow="0" w:firstColumn="1" w:lastColumn="0" w:noHBand="0" w:noVBand="1"/>
        </w:tblPrEx>
        <w:tc>
          <w:tcPr>
            <w:tcW w:w="4675" w:type="dxa"/>
          </w:tcPr>
          <w:p w14:paraId="7C637A0E" w14:textId="124937F4" w:rsidR="00571D2B" w:rsidRPr="00F03865" w:rsidRDefault="00C27DE4" w:rsidP="00F03865">
            <w:pPr>
              <w:rPr>
                <w:color w:val="1F3864" w:themeColor="accent1" w:themeShade="80"/>
                <w:sz w:val="24"/>
                <w:szCs w:val="24"/>
              </w:rPr>
            </w:pPr>
            <w:r w:rsidRPr="00F03865">
              <w:rPr>
                <w:color w:val="000000" w:themeColor="text1"/>
                <w:sz w:val="24"/>
                <w:szCs w:val="24"/>
              </w:rPr>
              <w:t xml:space="preserve">The person is found eligible </w:t>
            </w:r>
            <w:r w:rsidRPr="00F03865">
              <w:rPr>
                <w:b/>
                <w:bCs/>
                <w:color w:val="000000" w:themeColor="text1"/>
                <w:sz w:val="24"/>
                <w:szCs w:val="24"/>
              </w:rPr>
              <w:t>and</w:t>
            </w:r>
            <w:r w:rsidRPr="00F03865">
              <w:rPr>
                <w:color w:val="000000" w:themeColor="text1"/>
                <w:sz w:val="24"/>
                <w:szCs w:val="24"/>
              </w:rPr>
              <w:t xml:space="preserve"> has Waiver Services under MaineCare Section 18, 20, 21 or 29</w:t>
            </w:r>
            <w:r w:rsidR="002C27C4" w:rsidRPr="00F03865">
              <w:rPr>
                <w:color w:val="000000" w:themeColor="text1"/>
                <w:sz w:val="24"/>
                <w:szCs w:val="24"/>
              </w:rPr>
              <w:t>.</w:t>
            </w:r>
          </w:p>
        </w:tc>
        <w:tc>
          <w:tcPr>
            <w:tcW w:w="4675" w:type="dxa"/>
          </w:tcPr>
          <w:p w14:paraId="7A5558E2" w14:textId="1C7D699C" w:rsidR="00C27DE4" w:rsidRPr="00F03865" w:rsidRDefault="00C27DE4" w:rsidP="00F03865">
            <w:pPr>
              <w:rPr>
                <w:sz w:val="24"/>
                <w:szCs w:val="24"/>
              </w:rPr>
            </w:pPr>
            <w:r w:rsidRPr="00F03865">
              <w:rPr>
                <w:sz w:val="24"/>
                <w:szCs w:val="24"/>
              </w:rPr>
              <w:t xml:space="preserve">The </w:t>
            </w:r>
            <w:r w:rsidR="00067150" w:rsidRPr="00F03865">
              <w:rPr>
                <w:sz w:val="24"/>
                <w:szCs w:val="24"/>
              </w:rPr>
              <w:t xml:space="preserve">person and the </w:t>
            </w:r>
            <w:r w:rsidRPr="00F03865">
              <w:rPr>
                <w:sz w:val="24"/>
                <w:szCs w:val="24"/>
              </w:rPr>
              <w:t>Case Manager</w:t>
            </w:r>
            <w:r w:rsidR="00171298" w:rsidRPr="00F03865">
              <w:rPr>
                <w:sz w:val="24"/>
                <w:szCs w:val="24"/>
              </w:rPr>
              <w:t xml:space="preserve"> (CM)</w:t>
            </w:r>
            <w:r w:rsidRPr="00F03865">
              <w:rPr>
                <w:sz w:val="24"/>
                <w:szCs w:val="24"/>
              </w:rPr>
              <w:t xml:space="preserve"> or Care Coordinator</w:t>
            </w:r>
            <w:r w:rsidR="00171298" w:rsidRPr="00F03865">
              <w:rPr>
                <w:sz w:val="24"/>
                <w:szCs w:val="24"/>
              </w:rPr>
              <w:t xml:space="preserve"> (CC)</w:t>
            </w:r>
            <w:r w:rsidRPr="00F03865">
              <w:rPr>
                <w:sz w:val="24"/>
                <w:szCs w:val="24"/>
              </w:rPr>
              <w:t xml:space="preserve"> identif</w:t>
            </w:r>
            <w:r w:rsidR="00067150" w:rsidRPr="00F03865">
              <w:rPr>
                <w:sz w:val="24"/>
                <w:szCs w:val="24"/>
              </w:rPr>
              <w:t>y</w:t>
            </w:r>
            <w:r w:rsidRPr="00F03865">
              <w:rPr>
                <w:sz w:val="24"/>
                <w:szCs w:val="24"/>
              </w:rPr>
              <w:t xml:space="preserve"> need for employment service</w:t>
            </w:r>
            <w:r w:rsidR="00C10F65" w:rsidRPr="00F03865">
              <w:rPr>
                <w:sz w:val="24"/>
                <w:szCs w:val="24"/>
              </w:rPr>
              <w:t>s</w:t>
            </w:r>
            <w:r w:rsidRPr="00F03865">
              <w:rPr>
                <w:sz w:val="24"/>
                <w:szCs w:val="24"/>
              </w:rPr>
              <w:t xml:space="preserve"> </w:t>
            </w:r>
            <w:r w:rsidR="002C27C4" w:rsidRPr="00F03865">
              <w:rPr>
                <w:sz w:val="24"/>
                <w:szCs w:val="24"/>
              </w:rPr>
              <w:t>to support the person desire to work.</w:t>
            </w:r>
          </w:p>
          <w:p w14:paraId="0F4E67EB" w14:textId="77777777" w:rsidR="00571D2B" w:rsidRPr="00F03865" w:rsidRDefault="00571D2B" w:rsidP="00F03865">
            <w:pPr>
              <w:rPr>
                <w:color w:val="1F3864" w:themeColor="accent1" w:themeShade="80"/>
                <w:sz w:val="24"/>
                <w:szCs w:val="24"/>
              </w:rPr>
            </w:pPr>
          </w:p>
        </w:tc>
      </w:tr>
      <w:tr w:rsidR="00571D2B" w14:paraId="071770EB" w14:textId="77777777" w:rsidTr="00673BB0">
        <w:tblPrEx>
          <w:tblLook w:val="04A0" w:firstRow="1" w:lastRow="0" w:firstColumn="1" w:lastColumn="0" w:noHBand="0" w:noVBand="1"/>
        </w:tblPrEx>
        <w:tc>
          <w:tcPr>
            <w:tcW w:w="4675" w:type="dxa"/>
          </w:tcPr>
          <w:p w14:paraId="5B778EA3" w14:textId="1DF43A8C" w:rsidR="00571D2B" w:rsidRPr="00F03865" w:rsidRDefault="00C27DE4" w:rsidP="00F03865">
            <w:pPr>
              <w:rPr>
                <w:color w:val="1F3864" w:themeColor="accent1" w:themeShade="80"/>
                <w:sz w:val="24"/>
                <w:szCs w:val="24"/>
              </w:rPr>
            </w:pPr>
            <w:r w:rsidRPr="00F03865">
              <w:rPr>
                <w:color w:val="000000" w:themeColor="text1"/>
                <w:sz w:val="24"/>
                <w:szCs w:val="24"/>
              </w:rPr>
              <w:t>The person has an identified employment goal in their Person-Centered Plan or Plan of Care</w:t>
            </w:r>
            <w:r w:rsidR="002C27C4" w:rsidRPr="00F03865">
              <w:rPr>
                <w:color w:val="000000" w:themeColor="text1"/>
                <w:sz w:val="24"/>
                <w:szCs w:val="24"/>
              </w:rPr>
              <w:t>.</w:t>
            </w:r>
          </w:p>
        </w:tc>
        <w:tc>
          <w:tcPr>
            <w:tcW w:w="4675" w:type="dxa"/>
          </w:tcPr>
          <w:p w14:paraId="5DDD52A7" w14:textId="77777777" w:rsidR="00571D2B" w:rsidRPr="00F03865" w:rsidRDefault="00C27DE4" w:rsidP="00F03865">
            <w:pPr>
              <w:rPr>
                <w:sz w:val="24"/>
                <w:szCs w:val="24"/>
              </w:rPr>
            </w:pPr>
            <w:r w:rsidRPr="00F03865">
              <w:rPr>
                <w:sz w:val="24"/>
                <w:szCs w:val="24"/>
              </w:rPr>
              <w:t>The person and their team determine employment services and supports will be necessary and a</w:t>
            </w:r>
            <w:r w:rsidR="00CD5B8A" w:rsidRPr="00F03865">
              <w:rPr>
                <w:sz w:val="24"/>
                <w:szCs w:val="24"/>
              </w:rPr>
              <w:t>n application</w:t>
            </w:r>
            <w:r w:rsidRPr="00F03865">
              <w:rPr>
                <w:sz w:val="24"/>
                <w:szCs w:val="24"/>
              </w:rPr>
              <w:t xml:space="preserve"> to Vocational Rehabilitation (VR) is initiated</w:t>
            </w:r>
          </w:p>
          <w:p w14:paraId="14A7DEB5" w14:textId="718B6173" w:rsidR="00CD5B8A" w:rsidRPr="00F03865" w:rsidRDefault="00CD5B8A" w:rsidP="00F03865">
            <w:pPr>
              <w:rPr>
                <w:sz w:val="24"/>
                <w:szCs w:val="24"/>
              </w:rPr>
            </w:pPr>
            <w:r w:rsidRPr="00F03865">
              <w:rPr>
                <w:b/>
                <w:bCs/>
                <w:sz w:val="24"/>
                <w:szCs w:val="24"/>
              </w:rPr>
              <w:t>Packet should include,</w:t>
            </w:r>
            <w:r w:rsidRPr="00F03865">
              <w:rPr>
                <w:sz w:val="24"/>
                <w:szCs w:val="24"/>
              </w:rPr>
              <w:t xml:space="preserve"> application, health check list, release</w:t>
            </w:r>
            <w:r w:rsidR="009C61DD" w:rsidRPr="00F03865">
              <w:rPr>
                <w:sz w:val="24"/>
                <w:szCs w:val="24"/>
              </w:rPr>
              <w:t>s</w:t>
            </w:r>
            <w:r w:rsidR="004F4360">
              <w:rPr>
                <w:sz w:val="24"/>
                <w:szCs w:val="24"/>
              </w:rPr>
              <w:t>,</w:t>
            </w:r>
            <w:r w:rsidR="009C61DD" w:rsidRPr="00F03865">
              <w:rPr>
                <w:sz w:val="24"/>
                <w:szCs w:val="24"/>
              </w:rPr>
              <w:t xml:space="preserve"> </w:t>
            </w:r>
            <w:r w:rsidRPr="00F03865">
              <w:rPr>
                <w:sz w:val="24"/>
                <w:szCs w:val="24"/>
              </w:rPr>
              <w:t>and a copy of PCP or POC, or other information on disability determination.</w:t>
            </w:r>
          </w:p>
        </w:tc>
      </w:tr>
      <w:tr w:rsidR="006E6247" w14:paraId="11E2EB40" w14:textId="77777777" w:rsidTr="00673BB0">
        <w:tblPrEx>
          <w:tblLook w:val="04A0" w:firstRow="1" w:lastRow="0" w:firstColumn="1" w:lastColumn="0" w:noHBand="0" w:noVBand="1"/>
        </w:tblPrEx>
        <w:tc>
          <w:tcPr>
            <w:tcW w:w="4675" w:type="dxa"/>
          </w:tcPr>
          <w:p w14:paraId="64B8A0EB" w14:textId="61CCCAD1" w:rsidR="006E6247" w:rsidRPr="00F03865" w:rsidRDefault="007622F4" w:rsidP="00F03865">
            <w:pPr>
              <w:rPr>
                <w:sz w:val="24"/>
                <w:szCs w:val="24"/>
              </w:rPr>
            </w:pPr>
            <w:r w:rsidRPr="00F03865">
              <w:rPr>
                <w:sz w:val="24"/>
                <w:szCs w:val="24"/>
              </w:rPr>
              <w:t xml:space="preserve">The person, with support from CM/CC, submits a </w:t>
            </w:r>
            <w:r w:rsidR="006E6247" w:rsidRPr="00F03865">
              <w:rPr>
                <w:sz w:val="24"/>
                <w:szCs w:val="24"/>
              </w:rPr>
              <w:t xml:space="preserve">completed application packet </w:t>
            </w:r>
            <w:r w:rsidR="00CD5B8A" w:rsidRPr="00F03865">
              <w:rPr>
                <w:sz w:val="24"/>
                <w:szCs w:val="24"/>
              </w:rPr>
              <w:t xml:space="preserve">and submits to </w:t>
            </w:r>
            <w:r w:rsidR="006E6247" w:rsidRPr="00F03865">
              <w:rPr>
                <w:sz w:val="24"/>
                <w:szCs w:val="24"/>
              </w:rPr>
              <w:t>V</w:t>
            </w:r>
            <w:r w:rsidRPr="00F03865">
              <w:rPr>
                <w:sz w:val="24"/>
                <w:szCs w:val="24"/>
              </w:rPr>
              <w:t>R</w:t>
            </w:r>
            <w:r w:rsidR="006E6247" w:rsidRPr="00F03865">
              <w:rPr>
                <w:sz w:val="24"/>
                <w:szCs w:val="24"/>
              </w:rPr>
              <w:t xml:space="preserve"> </w:t>
            </w:r>
            <w:r w:rsidR="00CD5B8A" w:rsidRPr="00F03865">
              <w:rPr>
                <w:sz w:val="24"/>
                <w:szCs w:val="24"/>
              </w:rPr>
              <w:t>office closes to where they live, keep a copy for person and CM/CC</w:t>
            </w:r>
            <w:r w:rsidR="002C27C4" w:rsidRPr="00F03865">
              <w:rPr>
                <w:sz w:val="24"/>
                <w:szCs w:val="24"/>
              </w:rPr>
              <w:t>.</w:t>
            </w:r>
          </w:p>
          <w:p w14:paraId="29538C76" w14:textId="77777777" w:rsidR="006E6247" w:rsidRPr="00F03865" w:rsidRDefault="006E6247" w:rsidP="00F03865">
            <w:pPr>
              <w:rPr>
                <w:color w:val="1F3864" w:themeColor="accent1" w:themeShade="80"/>
                <w:sz w:val="24"/>
                <w:szCs w:val="24"/>
              </w:rPr>
            </w:pPr>
          </w:p>
        </w:tc>
        <w:tc>
          <w:tcPr>
            <w:tcW w:w="4675" w:type="dxa"/>
          </w:tcPr>
          <w:p w14:paraId="05406157" w14:textId="088D96AF" w:rsidR="006E6247" w:rsidRPr="00F03865" w:rsidRDefault="006E6247" w:rsidP="00F03865">
            <w:pPr>
              <w:rPr>
                <w:color w:val="1F3864" w:themeColor="accent1" w:themeShade="80"/>
                <w:sz w:val="24"/>
                <w:szCs w:val="24"/>
              </w:rPr>
            </w:pPr>
            <w:r w:rsidRPr="00F03865">
              <w:rPr>
                <w:sz w:val="24"/>
                <w:szCs w:val="24"/>
              </w:rPr>
              <w:t>The person</w:t>
            </w:r>
            <w:r w:rsidR="009C61DD" w:rsidRPr="00F03865">
              <w:rPr>
                <w:sz w:val="24"/>
                <w:szCs w:val="24"/>
              </w:rPr>
              <w:t xml:space="preserve"> is found eligible within 60 days then the person with support, </w:t>
            </w:r>
            <w:r w:rsidRPr="00F03865">
              <w:rPr>
                <w:sz w:val="24"/>
                <w:szCs w:val="24"/>
              </w:rPr>
              <w:t>and the VRC develop an Individual Plan for Employment (IPE)</w:t>
            </w:r>
            <w:r w:rsidR="002C27C4" w:rsidRPr="00F03865">
              <w:rPr>
                <w:sz w:val="24"/>
                <w:szCs w:val="24"/>
              </w:rPr>
              <w:t>.</w:t>
            </w:r>
          </w:p>
        </w:tc>
      </w:tr>
      <w:tr w:rsidR="006E6247" w14:paraId="11457DDE" w14:textId="77777777" w:rsidTr="00673BB0">
        <w:tblPrEx>
          <w:tblLook w:val="04A0" w:firstRow="1" w:lastRow="0" w:firstColumn="1" w:lastColumn="0" w:noHBand="0" w:noVBand="1"/>
        </w:tblPrEx>
        <w:tc>
          <w:tcPr>
            <w:tcW w:w="4675" w:type="dxa"/>
          </w:tcPr>
          <w:p w14:paraId="4967A2E8" w14:textId="13CE061A" w:rsidR="00744313" w:rsidRPr="00F03865" w:rsidRDefault="006E6247" w:rsidP="00F03865">
            <w:pPr>
              <w:rPr>
                <w:color w:val="000000" w:themeColor="text1"/>
                <w:sz w:val="24"/>
                <w:szCs w:val="24"/>
              </w:rPr>
            </w:pPr>
            <w:r w:rsidRPr="00F03865">
              <w:rPr>
                <w:color w:val="000000" w:themeColor="text1"/>
                <w:sz w:val="24"/>
                <w:szCs w:val="24"/>
              </w:rPr>
              <w:t>The person and/or their Guardian sign release to allow for communication and coordination between the CM/CC and the VRC</w:t>
            </w:r>
            <w:r w:rsidR="009C61DD" w:rsidRPr="00F03865">
              <w:rPr>
                <w:color w:val="000000" w:themeColor="text1"/>
                <w:sz w:val="24"/>
                <w:szCs w:val="24"/>
              </w:rPr>
              <w:t>, and any other staff/professional needed to coordinate services (such as residential)</w:t>
            </w:r>
            <w:r w:rsidR="002C27C4" w:rsidRPr="00F03865">
              <w:rPr>
                <w:color w:val="000000" w:themeColor="text1"/>
                <w:sz w:val="24"/>
                <w:szCs w:val="24"/>
              </w:rPr>
              <w:t>.</w:t>
            </w:r>
          </w:p>
        </w:tc>
        <w:tc>
          <w:tcPr>
            <w:tcW w:w="4675" w:type="dxa"/>
          </w:tcPr>
          <w:p w14:paraId="38FB3734" w14:textId="77777777" w:rsidR="006E6247" w:rsidRDefault="006E6247" w:rsidP="00F03865">
            <w:pPr>
              <w:rPr>
                <w:sz w:val="24"/>
                <w:szCs w:val="24"/>
              </w:rPr>
            </w:pPr>
            <w:r w:rsidRPr="00F03865">
              <w:rPr>
                <w:sz w:val="24"/>
                <w:szCs w:val="24"/>
              </w:rPr>
              <w:t xml:space="preserve">Case Manager/Care Coordinator </w:t>
            </w:r>
            <w:r w:rsidR="006A7A3C" w:rsidRPr="00F03865">
              <w:rPr>
                <w:sz w:val="24"/>
                <w:szCs w:val="24"/>
              </w:rPr>
              <w:t xml:space="preserve">ensures signed </w:t>
            </w:r>
            <w:r w:rsidRPr="00F03865">
              <w:rPr>
                <w:sz w:val="24"/>
                <w:szCs w:val="24"/>
              </w:rPr>
              <w:t xml:space="preserve">Release </w:t>
            </w:r>
            <w:r w:rsidR="006A7A3C" w:rsidRPr="00F03865">
              <w:rPr>
                <w:sz w:val="24"/>
                <w:szCs w:val="24"/>
              </w:rPr>
              <w:t xml:space="preserve">is obtained </w:t>
            </w:r>
            <w:r w:rsidRPr="00F03865">
              <w:rPr>
                <w:sz w:val="24"/>
                <w:szCs w:val="24"/>
              </w:rPr>
              <w:t>and submits to VRC</w:t>
            </w:r>
            <w:r w:rsidR="009C61DD" w:rsidRPr="00F03865">
              <w:rPr>
                <w:sz w:val="24"/>
                <w:szCs w:val="24"/>
              </w:rPr>
              <w:t xml:space="preserve"> in the packet and ensures updates occur as needed to stay in contact and coordinate services</w:t>
            </w:r>
            <w:r w:rsidR="006A7A3C" w:rsidRPr="00F03865">
              <w:rPr>
                <w:sz w:val="24"/>
                <w:szCs w:val="24"/>
              </w:rPr>
              <w:t>, keep copies.</w:t>
            </w:r>
          </w:p>
          <w:p w14:paraId="27E18203" w14:textId="6BDA83B2" w:rsidR="00F03865" w:rsidRPr="00F03865" w:rsidRDefault="00F03865" w:rsidP="00F03865">
            <w:pPr>
              <w:rPr>
                <w:color w:val="1F3864" w:themeColor="accent1" w:themeShade="80"/>
                <w:sz w:val="24"/>
                <w:szCs w:val="24"/>
              </w:rPr>
            </w:pPr>
          </w:p>
        </w:tc>
      </w:tr>
      <w:tr w:rsidR="00744313" w14:paraId="0C51A8FC" w14:textId="77777777" w:rsidTr="00673BB0">
        <w:tblPrEx>
          <w:tblLook w:val="04A0" w:firstRow="1" w:lastRow="0" w:firstColumn="1" w:lastColumn="0" w:noHBand="0" w:noVBand="1"/>
        </w:tblPrEx>
        <w:tc>
          <w:tcPr>
            <w:tcW w:w="4675" w:type="dxa"/>
            <w:tcBorders>
              <w:bottom w:val="single" w:sz="4" w:space="0" w:color="auto"/>
            </w:tcBorders>
          </w:tcPr>
          <w:p w14:paraId="07A5D580" w14:textId="3D76DB76" w:rsidR="00744313" w:rsidRPr="00F03865" w:rsidRDefault="00744313" w:rsidP="00F03865">
            <w:pPr>
              <w:tabs>
                <w:tab w:val="left" w:pos="1460"/>
              </w:tabs>
              <w:rPr>
                <w:sz w:val="24"/>
                <w:szCs w:val="24"/>
              </w:rPr>
            </w:pPr>
            <w:r w:rsidRPr="00F03865">
              <w:rPr>
                <w:sz w:val="24"/>
                <w:szCs w:val="24"/>
              </w:rPr>
              <w:t xml:space="preserve">The person begins </w:t>
            </w:r>
            <w:r w:rsidR="006A7A3C" w:rsidRPr="00F03865">
              <w:rPr>
                <w:sz w:val="24"/>
                <w:szCs w:val="24"/>
              </w:rPr>
              <w:t>services at VR based on their IPE which may include</w:t>
            </w:r>
            <w:r w:rsidR="007622F4" w:rsidRPr="00F03865">
              <w:rPr>
                <w:sz w:val="24"/>
                <w:szCs w:val="24"/>
              </w:rPr>
              <w:t xml:space="preserve"> </w:t>
            </w:r>
            <w:r w:rsidRPr="00F03865">
              <w:rPr>
                <w:sz w:val="24"/>
                <w:szCs w:val="24"/>
              </w:rPr>
              <w:t xml:space="preserve">job search with help of the VRC and </w:t>
            </w:r>
            <w:r w:rsidR="006A7A3C" w:rsidRPr="00F03865">
              <w:rPr>
                <w:sz w:val="24"/>
                <w:szCs w:val="24"/>
              </w:rPr>
              <w:t xml:space="preserve">may also include </w:t>
            </w:r>
            <w:r w:rsidRPr="00F03865">
              <w:rPr>
                <w:sz w:val="24"/>
                <w:szCs w:val="24"/>
              </w:rPr>
              <w:t>the Certified Rehabilitation Pro</w:t>
            </w:r>
            <w:r w:rsidR="0028701F" w:rsidRPr="00F03865">
              <w:rPr>
                <w:sz w:val="24"/>
                <w:szCs w:val="24"/>
              </w:rPr>
              <w:t>vider</w:t>
            </w:r>
            <w:r w:rsidRPr="00F03865">
              <w:rPr>
                <w:sz w:val="24"/>
                <w:szCs w:val="24"/>
              </w:rPr>
              <w:t xml:space="preserve"> (CRP)</w:t>
            </w:r>
            <w:r w:rsidR="002C27C4" w:rsidRPr="00F03865">
              <w:rPr>
                <w:sz w:val="24"/>
                <w:szCs w:val="24"/>
              </w:rPr>
              <w:t>.</w:t>
            </w:r>
            <w:r w:rsidRPr="00F03865">
              <w:rPr>
                <w:sz w:val="24"/>
                <w:szCs w:val="24"/>
              </w:rPr>
              <w:t xml:space="preserve"> </w:t>
            </w:r>
          </w:p>
        </w:tc>
        <w:tc>
          <w:tcPr>
            <w:tcW w:w="4675" w:type="dxa"/>
          </w:tcPr>
          <w:p w14:paraId="0A5DFB45" w14:textId="77777777" w:rsidR="00744313" w:rsidRDefault="00744313" w:rsidP="00F03865">
            <w:pPr>
              <w:rPr>
                <w:sz w:val="24"/>
                <w:szCs w:val="24"/>
              </w:rPr>
            </w:pPr>
            <w:r w:rsidRPr="00F03865">
              <w:rPr>
                <w:sz w:val="24"/>
                <w:szCs w:val="24"/>
              </w:rPr>
              <w:t>C</w:t>
            </w:r>
            <w:r w:rsidR="00026342" w:rsidRPr="00F03865">
              <w:rPr>
                <w:sz w:val="24"/>
                <w:szCs w:val="24"/>
              </w:rPr>
              <w:t>M</w:t>
            </w:r>
            <w:r w:rsidRPr="00F03865">
              <w:rPr>
                <w:sz w:val="24"/>
                <w:szCs w:val="24"/>
              </w:rPr>
              <w:t>/C</w:t>
            </w:r>
            <w:r w:rsidR="00026342" w:rsidRPr="00F03865">
              <w:rPr>
                <w:sz w:val="24"/>
                <w:szCs w:val="24"/>
              </w:rPr>
              <w:t>C</w:t>
            </w:r>
            <w:r w:rsidRPr="00F03865">
              <w:rPr>
                <w:sz w:val="24"/>
                <w:szCs w:val="24"/>
              </w:rPr>
              <w:t xml:space="preserve"> </w:t>
            </w:r>
            <w:r w:rsidR="006A7A3C" w:rsidRPr="00F03865">
              <w:rPr>
                <w:sz w:val="24"/>
                <w:szCs w:val="24"/>
              </w:rPr>
              <w:t xml:space="preserve">coordinates with </w:t>
            </w:r>
            <w:r w:rsidRPr="00F03865">
              <w:rPr>
                <w:sz w:val="24"/>
                <w:szCs w:val="24"/>
              </w:rPr>
              <w:t xml:space="preserve">VRC </w:t>
            </w:r>
            <w:r w:rsidR="006A7A3C" w:rsidRPr="00F03865">
              <w:rPr>
                <w:sz w:val="24"/>
                <w:szCs w:val="24"/>
              </w:rPr>
              <w:t>who can provide</w:t>
            </w:r>
            <w:r w:rsidRPr="00F03865">
              <w:rPr>
                <w:sz w:val="24"/>
                <w:szCs w:val="24"/>
              </w:rPr>
              <w:t xml:space="preserve"> updates about the </w:t>
            </w:r>
            <w:r w:rsidR="006A7A3C" w:rsidRPr="00F03865">
              <w:rPr>
                <w:sz w:val="24"/>
                <w:szCs w:val="24"/>
              </w:rPr>
              <w:t xml:space="preserve">IPE and </w:t>
            </w:r>
            <w:r w:rsidR="007622F4" w:rsidRPr="00F03865">
              <w:rPr>
                <w:sz w:val="24"/>
                <w:szCs w:val="24"/>
              </w:rPr>
              <w:t>Person-Centered Planning Employment Goal</w:t>
            </w:r>
            <w:r w:rsidR="006A7A3C" w:rsidRPr="00F03865">
              <w:rPr>
                <w:sz w:val="24"/>
                <w:szCs w:val="24"/>
              </w:rPr>
              <w:t xml:space="preserve">.  Notes from CM/CC should be developed that give updates in the consumer record as to VR status, </w:t>
            </w:r>
            <w:r w:rsidR="002C27C4" w:rsidRPr="00F03865">
              <w:rPr>
                <w:sz w:val="24"/>
                <w:szCs w:val="24"/>
              </w:rPr>
              <w:t>information about services and employment.</w:t>
            </w:r>
          </w:p>
          <w:p w14:paraId="7FFC478B" w14:textId="29587144" w:rsidR="00F03865" w:rsidRPr="00F03865" w:rsidRDefault="00F03865" w:rsidP="00F03865">
            <w:pPr>
              <w:rPr>
                <w:sz w:val="24"/>
                <w:szCs w:val="24"/>
              </w:rPr>
            </w:pPr>
          </w:p>
        </w:tc>
      </w:tr>
      <w:tr w:rsidR="00673BB0" w14:paraId="32F73C5A" w14:textId="77777777" w:rsidTr="003E69C6">
        <w:trPr>
          <w:trHeight w:val="864"/>
        </w:trPr>
        <w:tc>
          <w:tcPr>
            <w:tcW w:w="9350" w:type="dxa"/>
            <w:gridSpan w:val="2"/>
            <w:shd w:val="clear" w:color="auto" w:fill="8EAADB" w:themeFill="accent1" w:themeFillTint="99"/>
          </w:tcPr>
          <w:p w14:paraId="0AC1416A" w14:textId="4AB92CBF" w:rsidR="00673BB0" w:rsidRDefault="00673BB0" w:rsidP="00673BB0">
            <w:pPr>
              <w:jc w:val="center"/>
              <w:rPr>
                <w:color w:val="1F3864" w:themeColor="accent1" w:themeShade="80"/>
                <w:sz w:val="32"/>
                <w:szCs w:val="32"/>
              </w:rPr>
            </w:pPr>
            <w:r>
              <w:rPr>
                <w:color w:val="1F3864" w:themeColor="accent1" w:themeShade="80"/>
                <w:sz w:val="32"/>
                <w:szCs w:val="32"/>
              </w:rPr>
              <w:lastRenderedPageBreak/>
              <w:t>Stage Two: Long Term Work Supports</w:t>
            </w:r>
          </w:p>
        </w:tc>
      </w:tr>
      <w:tr w:rsidR="00FA6B9F" w14:paraId="075BA08F" w14:textId="77777777" w:rsidTr="003E69C6">
        <w:tblPrEx>
          <w:tblLook w:val="04A0" w:firstRow="1" w:lastRow="0" w:firstColumn="1" w:lastColumn="0" w:noHBand="0" w:noVBand="1"/>
        </w:tblPrEx>
        <w:tc>
          <w:tcPr>
            <w:tcW w:w="4675" w:type="dxa"/>
            <w:shd w:val="clear" w:color="auto" w:fill="D9E2F3" w:themeFill="accent1" w:themeFillTint="33"/>
          </w:tcPr>
          <w:p w14:paraId="6CDE0CC8" w14:textId="77777777" w:rsidR="00FA6B9F" w:rsidRPr="008F762F" w:rsidRDefault="00D970DE" w:rsidP="00DC478C">
            <w:pPr>
              <w:jc w:val="center"/>
              <w:rPr>
                <w:color w:val="1F3864" w:themeColor="accent1" w:themeShade="80"/>
                <w:sz w:val="32"/>
                <w:szCs w:val="32"/>
              </w:rPr>
            </w:pPr>
            <w:r w:rsidRPr="008F762F">
              <w:rPr>
                <w:color w:val="1F3864" w:themeColor="accent1" w:themeShade="80"/>
                <w:sz w:val="32"/>
                <w:szCs w:val="32"/>
              </w:rPr>
              <w:t>Accessing the Service</w:t>
            </w:r>
          </w:p>
          <w:p w14:paraId="26BA325A" w14:textId="28DACC58" w:rsidR="00D970DE" w:rsidRPr="008F762F" w:rsidRDefault="00D970DE" w:rsidP="00DC478C">
            <w:pPr>
              <w:jc w:val="center"/>
              <w:rPr>
                <w:color w:val="1F3864" w:themeColor="accent1" w:themeShade="80"/>
                <w:sz w:val="32"/>
                <w:szCs w:val="32"/>
              </w:rPr>
            </w:pPr>
          </w:p>
        </w:tc>
        <w:tc>
          <w:tcPr>
            <w:tcW w:w="4675" w:type="dxa"/>
            <w:shd w:val="clear" w:color="auto" w:fill="D9E2F3" w:themeFill="accent1" w:themeFillTint="33"/>
          </w:tcPr>
          <w:p w14:paraId="502A71C6" w14:textId="2891098F" w:rsidR="00FA6B9F" w:rsidRPr="008F762F" w:rsidRDefault="00D970DE" w:rsidP="00DC478C">
            <w:pPr>
              <w:jc w:val="center"/>
              <w:rPr>
                <w:color w:val="1F3864" w:themeColor="accent1" w:themeShade="80"/>
                <w:sz w:val="32"/>
                <w:szCs w:val="32"/>
              </w:rPr>
            </w:pPr>
            <w:r w:rsidRPr="008F762F">
              <w:rPr>
                <w:color w:val="1F3864" w:themeColor="accent1" w:themeShade="80"/>
                <w:sz w:val="32"/>
                <w:szCs w:val="32"/>
              </w:rPr>
              <w:t>Next Steps</w:t>
            </w:r>
          </w:p>
        </w:tc>
      </w:tr>
      <w:tr w:rsidR="00673BB0" w14:paraId="12DDE39C" w14:textId="77777777" w:rsidTr="000C0BD6">
        <w:tblPrEx>
          <w:tblLook w:val="04A0" w:firstRow="1" w:lastRow="0" w:firstColumn="1" w:lastColumn="0" w:noHBand="0" w:noVBand="1"/>
        </w:tblPrEx>
        <w:tc>
          <w:tcPr>
            <w:tcW w:w="4675" w:type="dxa"/>
            <w:tcBorders>
              <w:bottom w:val="single" w:sz="4" w:space="0" w:color="auto"/>
            </w:tcBorders>
          </w:tcPr>
          <w:p w14:paraId="10701BCC" w14:textId="77777777" w:rsidR="00673BB0" w:rsidRDefault="00845B05" w:rsidP="00F03865">
            <w:pPr>
              <w:rPr>
                <w:color w:val="000000" w:themeColor="text1"/>
                <w:sz w:val="24"/>
                <w:szCs w:val="24"/>
              </w:rPr>
            </w:pPr>
            <w:r w:rsidRPr="00F03865">
              <w:rPr>
                <w:color w:val="000000" w:themeColor="text1"/>
                <w:sz w:val="24"/>
                <w:szCs w:val="24"/>
              </w:rPr>
              <w:t xml:space="preserve">The person </w:t>
            </w:r>
            <w:r w:rsidR="002C27C4" w:rsidRPr="00F03865">
              <w:rPr>
                <w:color w:val="000000" w:themeColor="text1"/>
                <w:sz w:val="24"/>
                <w:szCs w:val="24"/>
              </w:rPr>
              <w:t>accepts a new job.</w:t>
            </w:r>
          </w:p>
          <w:p w14:paraId="24A3817C" w14:textId="77777777" w:rsidR="00F31DB2" w:rsidRDefault="00F31DB2" w:rsidP="00F03865">
            <w:pPr>
              <w:rPr>
                <w:color w:val="000000" w:themeColor="text1"/>
                <w:sz w:val="24"/>
                <w:szCs w:val="24"/>
              </w:rPr>
            </w:pPr>
            <w:r>
              <w:rPr>
                <w:color w:val="000000" w:themeColor="text1"/>
                <w:sz w:val="24"/>
                <w:szCs w:val="24"/>
              </w:rPr>
              <w:t>-add a note to EIS with all job detai</w:t>
            </w:r>
            <w:r w:rsidR="000C7BC5">
              <w:rPr>
                <w:color w:val="000000" w:themeColor="text1"/>
                <w:sz w:val="24"/>
                <w:szCs w:val="24"/>
              </w:rPr>
              <w:t>ls, and share with home, team members</w:t>
            </w:r>
          </w:p>
          <w:p w14:paraId="66CD43DE" w14:textId="2F1922EF" w:rsidR="000C7BC5" w:rsidRPr="00F03865" w:rsidRDefault="000C7BC5" w:rsidP="00F03865">
            <w:pPr>
              <w:rPr>
                <w:color w:val="1F3864" w:themeColor="accent1" w:themeShade="80"/>
                <w:sz w:val="24"/>
                <w:szCs w:val="24"/>
              </w:rPr>
            </w:pPr>
            <w:r>
              <w:rPr>
                <w:color w:val="1F3864" w:themeColor="accent1" w:themeShade="80"/>
                <w:sz w:val="24"/>
                <w:szCs w:val="24"/>
              </w:rPr>
              <w:t>-document in PCP as a life change- employer, location, wages, support needs</w:t>
            </w:r>
            <w:r w:rsidR="000D1836">
              <w:rPr>
                <w:color w:val="1F3864" w:themeColor="accent1" w:themeShade="80"/>
                <w:sz w:val="24"/>
                <w:szCs w:val="24"/>
              </w:rPr>
              <w:t>, job title, benefit counseling status, reporting of wages plan</w:t>
            </w:r>
          </w:p>
        </w:tc>
        <w:tc>
          <w:tcPr>
            <w:tcW w:w="4675" w:type="dxa"/>
            <w:tcBorders>
              <w:bottom w:val="single" w:sz="4" w:space="0" w:color="auto"/>
            </w:tcBorders>
          </w:tcPr>
          <w:p w14:paraId="6BB17B8E" w14:textId="5A9E6A96" w:rsidR="00673BB0" w:rsidRPr="00F03865" w:rsidRDefault="00B07B6B" w:rsidP="00F03865">
            <w:pPr>
              <w:rPr>
                <w:sz w:val="24"/>
                <w:szCs w:val="24"/>
              </w:rPr>
            </w:pPr>
            <w:r w:rsidRPr="00F03865">
              <w:rPr>
                <w:sz w:val="24"/>
                <w:szCs w:val="24"/>
              </w:rPr>
              <w:t>VRC provide</w:t>
            </w:r>
            <w:r w:rsidR="002C27C4" w:rsidRPr="00F03865">
              <w:rPr>
                <w:sz w:val="24"/>
                <w:szCs w:val="24"/>
              </w:rPr>
              <w:t>s</w:t>
            </w:r>
            <w:r w:rsidRPr="00F03865">
              <w:rPr>
                <w:sz w:val="24"/>
                <w:szCs w:val="24"/>
              </w:rPr>
              <w:t xml:space="preserve"> information about </w:t>
            </w:r>
            <w:r w:rsidR="00BC47E8" w:rsidRPr="00F03865">
              <w:rPr>
                <w:sz w:val="24"/>
                <w:szCs w:val="24"/>
              </w:rPr>
              <w:t xml:space="preserve">new job </w:t>
            </w:r>
            <w:r w:rsidRPr="00F03865">
              <w:rPr>
                <w:sz w:val="24"/>
                <w:szCs w:val="24"/>
              </w:rPr>
              <w:t xml:space="preserve">to Case Manager/Care Coordinator for </w:t>
            </w:r>
            <w:r w:rsidR="003F3D92" w:rsidRPr="00F03865">
              <w:rPr>
                <w:sz w:val="24"/>
                <w:szCs w:val="24"/>
              </w:rPr>
              <w:t xml:space="preserve">the </w:t>
            </w:r>
            <w:r w:rsidRPr="00F03865">
              <w:rPr>
                <w:sz w:val="24"/>
                <w:szCs w:val="24"/>
              </w:rPr>
              <w:t>coordination of services and supports</w:t>
            </w:r>
            <w:r w:rsidR="00F03865" w:rsidRPr="00F03865">
              <w:rPr>
                <w:sz w:val="24"/>
                <w:szCs w:val="24"/>
              </w:rPr>
              <w:t>, this can be over email and should include- person, job title, employer, town located in, wages/benefits, and support plan for coaching and onboarding.</w:t>
            </w:r>
          </w:p>
        </w:tc>
      </w:tr>
      <w:tr w:rsidR="00673BB0" w14:paraId="1FC51388" w14:textId="77777777" w:rsidTr="000C0BD6">
        <w:tblPrEx>
          <w:tblLook w:val="04A0" w:firstRow="1" w:lastRow="0" w:firstColumn="1" w:lastColumn="0" w:noHBand="0" w:noVBand="1"/>
        </w:tblPrEx>
        <w:tc>
          <w:tcPr>
            <w:tcW w:w="4675" w:type="dxa"/>
            <w:tcBorders>
              <w:top w:val="single" w:sz="4" w:space="0" w:color="auto"/>
            </w:tcBorders>
          </w:tcPr>
          <w:p w14:paraId="681C8AE0" w14:textId="350C7E63" w:rsidR="00B06A7B" w:rsidRPr="00F03865" w:rsidRDefault="00DC478C" w:rsidP="00F03865">
            <w:pPr>
              <w:rPr>
                <w:sz w:val="24"/>
                <w:szCs w:val="24"/>
              </w:rPr>
            </w:pPr>
            <w:r w:rsidRPr="00F03865">
              <w:rPr>
                <w:sz w:val="24"/>
                <w:szCs w:val="24"/>
              </w:rPr>
              <w:t>The p</w:t>
            </w:r>
            <w:r w:rsidR="00B06A7B" w:rsidRPr="00F03865">
              <w:rPr>
                <w:sz w:val="24"/>
                <w:szCs w:val="24"/>
              </w:rPr>
              <w:t>erson is stable on the job (at least 30 days) and has an identified need for on-going Job Coaching/Work Supports</w:t>
            </w:r>
            <w:r w:rsidR="00267EB9">
              <w:rPr>
                <w:sz w:val="24"/>
                <w:szCs w:val="24"/>
              </w:rPr>
              <w:t>. Need must be based on information gained from the employer, the person, job analysis and support needs. Identification of technology, job accommodations and natural support are also determined and put in place.</w:t>
            </w:r>
          </w:p>
          <w:p w14:paraId="6571963C" w14:textId="77777777" w:rsidR="00673BB0" w:rsidRPr="00F03865" w:rsidRDefault="00673BB0" w:rsidP="00F03865">
            <w:pPr>
              <w:rPr>
                <w:color w:val="1F3864" w:themeColor="accent1" w:themeShade="80"/>
                <w:sz w:val="24"/>
                <w:szCs w:val="24"/>
              </w:rPr>
            </w:pPr>
          </w:p>
        </w:tc>
        <w:tc>
          <w:tcPr>
            <w:tcW w:w="4675" w:type="dxa"/>
            <w:tcBorders>
              <w:top w:val="single" w:sz="4" w:space="0" w:color="auto"/>
            </w:tcBorders>
          </w:tcPr>
          <w:p w14:paraId="519D6F56" w14:textId="5DE56EA0" w:rsidR="00673BB0" w:rsidRPr="00F03865" w:rsidRDefault="00C274D0" w:rsidP="00FE2D16">
            <w:pPr>
              <w:rPr>
                <w:color w:val="1F3864" w:themeColor="accent1" w:themeShade="80"/>
                <w:sz w:val="24"/>
                <w:szCs w:val="24"/>
              </w:rPr>
            </w:pPr>
            <w:r w:rsidRPr="00F03865">
              <w:rPr>
                <w:sz w:val="24"/>
                <w:szCs w:val="24"/>
              </w:rPr>
              <w:t>Case Manager/Care Coordin</w:t>
            </w:r>
            <w:r w:rsidR="00785FFF" w:rsidRPr="00F03865">
              <w:rPr>
                <w:sz w:val="24"/>
                <w:szCs w:val="24"/>
              </w:rPr>
              <w:t>ator</w:t>
            </w:r>
            <w:r w:rsidRPr="00F03865">
              <w:rPr>
                <w:sz w:val="24"/>
                <w:szCs w:val="24"/>
              </w:rPr>
              <w:t xml:space="preserve"> discuss choice of Work Supports Provider</w:t>
            </w:r>
            <w:r w:rsidR="00267EB9">
              <w:rPr>
                <w:sz w:val="24"/>
                <w:szCs w:val="24"/>
              </w:rPr>
              <w:t xml:space="preserve"> with the person</w:t>
            </w:r>
            <w:r w:rsidRPr="00F03865">
              <w:rPr>
                <w:sz w:val="24"/>
                <w:szCs w:val="24"/>
              </w:rPr>
              <w:t xml:space="preserve"> as per Waiver requirements and CM/CC issues Vendor Call</w:t>
            </w:r>
            <w:r w:rsidR="00D148AC">
              <w:rPr>
                <w:sz w:val="24"/>
                <w:szCs w:val="24"/>
              </w:rPr>
              <w:t xml:space="preserve"> to approved Providers</w:t>
            </w:r>
            <w:r w:rsidR="00C90F84">
              <w:rPr>
                <w:sz w:val="24"/>
                <w:szCs w:val="24"/>
              </w:rPr>
              <w:t xml:space="preserve"> </w:t>
            </w:r>
            <w:r w:rsidR="00D148AC" w:rsidRPr="009612E9">
              <w:rPr>
                <w:sz w:val="24"/>
                <w:szCs w:val="24"/>
                <w:highlight w:val="yellow"/>
              </w:rPr>
              <w:t>and</w:t>
            </w:r>
            <w:r w:rsidR="00832AA8" w:rsidRPr="009612E9">
              <w:rPr>
                <w:sz w:val="24"/>
                <w:szCs w:val="24"/>
                <w:highlight w:val="yellow"/>
              </w:rPr>
              <w:t>, if there is not response,</w:t>
            </w:r>
            <w:r w:rsidR="00D148AC" w:rsidRPr="009612E9">
              <w:rPr>
                <w:sz w:val="24"/>
                <w:szCs w:val="24"/>
                <w:highlight w:val="yellow"/>
              </w:rPr>
              <w:t xml:space="preserve"> follo</w:t>
            </w:r>
            <w:r w:rsidR="00DC7CFC" w:rsidRPr="009612E9">
              <w:rPr>
                <w:sz w:val="24"/>
                <w:szCs w:val="24"/>
                <w:highlight w:val="yellow"/>
              </w:rPr>
              <w:t xml:space="preserve">ws </w:t>
            </w:r>
            <w:r w:rsidR="00D148AC" w:rsidRPr="009612E9">
              <w:rPr>
                <w:sz w:val="24"/>
                <w:szCs w:val="24"/>
                <w:highlight w:val="yellow"/>
              </w:rPr>
              <w:t xml:space="preserve">up </w:t>
            </w:r>
            <w:r w:rsidR="00C90F84" w:rsidRPr="009612E9">
              <w:rPr>
                <w:sz w:val="24"/>
                <w:szCs w:val="24"/>
                <w:highlight w:val="yellow"/>
              </w:rPr>
              <w:t>in one business week</w:t>
            </w:r>
            <w:r w:rsidR="00D148AC">
              <w:rPr>
                <w:sz w:val="24"/>
                <w:szCs w:val="24"/>
              </w:rPr>
              <w:t xml:space="preserve">. If no Provider is available a team meeting is scheduled to discuss alternatives options and </w:t>
            </w:r>
            <w:r w:rsidR="00955405">
              <w:rPr>
                <w:sz w:val="24"/>
                <w:szCs w:val="24"/>
              </w:rPr>
              <w:t xml:space="preserve">to </w:t>
            </w:r>
            <w:r w:rsidR="00D148AC">
              <w:rPr>
                <w:sz w:val="24"/>
                <w:szCs w:val="24"/>
              </w:rPr>
              <w:t>development a plan.</w:t>
            </w:r>
            <w:r w:rsidR="007B3BF2">
              <w:rPr>
                <w:sz w:val="24"/>
                <w:szCs w:val="24"/>
              </w:rPr>
              <w:t xml:space="preserve"> Resources around alternatives by reaching out to OADS Employment Services staff.</w:t>
            </w:r>
          </w:p>
        </w:tc>
      </w:tr>
      <w:tr w:rsidR="00673BB0" w14:paraId="3E9C5D57" w14:textId="77777777" w:rsidTr="00673BB0">
        <w:tblPrEx>
          <w:tblLook w:val="04A0" w:firstRow="1" w:lastRow="0" w:firstColumn="1" w:lastColumn="0" w:noHBand="0" w:noVBand="1"/>
        </w:tblPrEx>
        <w:tc>
          <w:tcPr>
            <w:tcW w:w="4675" w:type="dxa"/>
          </w:tcPr>
          <w:p w14:paraId="668B015A" w14:textId="6CF3A00F" w:rsidR="00673BB0" w:rsidRPr="00F03865" w:rsidRDefault="003671C1" w:rsidP="00F03865">
            <w:pPr>
              <w:rPr>
                <w:color w:val="1F3864" w:themeColor="accent1" w:themeShade="80"/>
                <w:sz w:val="24"/>
                <w:szCs w:val="24"/>
              </w:rPr>
            </w:pPr>
            <w:r w:rsidRPr="00F03865">
              <w:rPr>
                <w:sz w:val="24"/>
                <w:szCs w:val="24"/>
              </w:rPr>
              <w:t>The p</w:t>
            </w:r>
            <w:r w:rsidR="00936BD1" w:rsidRPr="00F03865">
              <w:rPr>
                <w:sz w:val="24"/>
                <w:szCs w:val="24"/>
              </w:rPr>
              <w:t>erson chooses Provider of Waiver-funded Work Supports through Choice/Vendor Call process</w:t>
            </w:r>
            <w:r w:rsidR="00D148AC">
              <w:rPr>
                <w:sz w:val="24"/>
                <w:szCs w:val="24"/>
              </w:rPr>
              <w:t>, or interviews.</w:t>
            </w:r>
          </w:p>
        </w:tc>
        <w:tc>
          <w:tcPr>
            <w:tcW w:w="4675" w:type="dxa"/>
          </w:tcPr>
          <w:p w14:paraId="7DBFB554" w14:textId="0FCD46D3" w:rsidR="00673BB0" w:rsidRPr="00F03865" w:rsidRDefault="003671C1" w:rsidP="00FE2D16">
            <w:pPr>
              <w:rPr>
                <w:color w:val="1F3864" w:themeColor="accent1" w:themeShade="80"/>
                <w:sz w:val="24"/>
                <w:szCs w:val="24"/>
              </w:rPr>
            </w:pPr>
            <w:r w:rsidRPr="00F03865">
              <w:rPr>
                <w:sz w:val="24"/>
                <w:szCs w:val="24"/>
              </w:rPr>
              <w:t xml:space="preserve">The </w:t>
            </w:r>
            <w:r w:rsidR="00D30A09" w:rsidRPr="00F03865">
              <w:rPr>
                <w:sz w:val="24"/>
                <w:szCs w:val="24"/>
              </w:rPr>
              <w:t xml:space="preserve">Case Manager/Care Coordinator open Plan and </w:t>
            </w:r>
            <w:r w:rsidR="00390AE4" w:rsidRPr="00F03865">
              <w:rPr>
                <w:sz w:val="24"/>
                <w:szCs w:val="24"/>
              </w:rPr>
              <w:t xml:space="preserve">the </w:t>
            </w:r>
            <w:r w:rsidR="00D30A09" w:rsidRPr="00F03865">
              <w:rPr>
                <w:sz w:val="24"/>
                <w:szCs w:val="24"/>
              </w:rPr>
              <w:t>chosen WS Provider completes W</w:t>
            </w:r>
            <w:r w:rsidR="006C4EB7" w:rsidRPr="00F03865">
              <w:rPr>
                <w:sz w:val="24"/>
                <w:szCs w:val="24"/>
              </w:rPr>
              <w:t>ork Supports</w:t>
            </w:r>
            <w:r w:rsidR="00D30A09" w:rsidRPr="00F03865">
              <w:rPr>
                <w:sz w:val="24"/>
                <w:szCs w:val="24"/>
              </w:rPr>
              <w:t xml:space="preserve"> Section in the Plan</w:t>
            </w:r>
            <w:r w:rsidR="00D148AC">
              <w:rPr>
                <w:sz w:val="24"/>
                <w:szCs w:val="24"/>
              </w:rPr>
              <w:t>.</w:t>
            </w:r>
          </w:p>
        </w:tc>
      </w:tr>
      <w:tr w:rsidR="00673BB0" w14:paraId="7453052E" w14:textId="77777777" w:rsidTr="00673BB0">
        <w:tblPrEx>
          <w:tblLook w:val="04A0" w:firstRow="1" w:lastRow="0" w:firstColumn="1" w:lastColumn="0" w:noHBand="0" w:noVBand="1"/>
        </w:tblPrEx>
        <w:tc>
          <w:tcPr>
            <w:tcW w:w="4675" w:type="dxa"/>
          </w:tcPr>
          <w:p w14:paraId="0FB595F8" w14:textId="435FF8EE" w:rsidR="00673BB0" w:rsidRPr="00F03865" w:rsidRDefault="00E45242" w:rsidP="00FE2D16">
            <w:pPr>
              <w:rPr>
                <w:color w:val="1F3864" w:themeColor="accent1" w:themeShade="80"/>
                <w:sz w:val="24"/>
                <w:szCs w:val="24"/>
              </w:rPr>
            </w:pPr>
            <w:r w:rsidRPr="00F03865">
              <w:rPr>
                <w:sz w:val="24"/>
                <w:szCs w:val="24"/>
              </w:rPr>
              <w:t xml:space="preserve">The </w:t>
            </w:r>
            <w:r w:rsidR="004B3688" w:rsidRPr="00F03865">
              <w:rPr>
                <w:sz w:val="24"/>
                <w:szCs w:val="24"/>
              </w:rPr>
              <w:t xml:space="preserve">Transfer </w:t>
            </w:r>
            <w:r w:rsidRPr="00F03865">
              <w:rPr>
                <w:sz w:val="24"/>
                <w:szCs w:val="24"/>
              </w:rPr>
              <w:t>F</w:t>
            </w:r>
            <w:r w:rsidR="004B3688" w:rsidRPr="00F03865">
              <w:rPr>
                <w:sz w:val="24"/>
                <w:szCs w:val="24"/>
              </w:rPr>
              <w:t xml:space="preserve">orm from VR to Waiver Services must be completed and include information </w:t>
            </w:r>
            <w:r w:rsidR="002B0A7D" w:rsidRPr="00F03865">
              <w:rPr>
                <w:sz w:val="24"/>
                <w:szCs w:val="24"/>
              </w:rPr>
              <w:t>about</w:t>
            </w:r>
            <w:r w:rsidR="004B3688" w:rsidRPr="00F03865">
              <w:rPr>
                <w:sz w:val="24"/>
                <w:szCs w:val="24"/>
              </w:rPr>
              <w:t xml:space="preserve"> business, wages, schedule, level of support, </w:t>
            </w:r>
            <w:r w:rsidR="00060B85" w:rsidRPr="00F03865">
              <w:rPr>
                <w:sz w:val="24"/>
                <w:szCs w:val="24"/>
              </w:rPr>
              <w:t xml:space="preserve">assistive </w:t>
            </w:r>
            <w:r w:rsidR="004B3688" w:rsidRPr="00F03865">
              <w:rPr>
                <w:sz w:val="24"/>
                <w:szCs w:val="24"/>
              </w:rPr>
              <w:t>technology</w:t>
            </w:r>
            <w:r w:rsidR="00060B85" w:rsidRPr="00F03865">
              <w:rPr>
                <w:sz w:val="24"/>
                <w:szCs w:val="24"/>
              </w:rPr>
              <w:t xml:space="preserve">, </w:t>
            </w:r>
            <w:r w:rsidR="004B3688" w:rsidRPr="00F03865">
              <w:rPr>
                <w:sz w:val="24"/>
                <w:szCs w:val="24"/>
              </w:rPr>
              <w:t xml:space="preserve">natural support plan, </w:t>
            </w:r>
            <w:r w:rsidR="00731E3C" w:rsidRPr="00F03865">
              <w:rPr>
                <w:sz w:val="24"/>
                <w:szCs w:val="24"/>
              </w:rPr>
              <w:t xml:space="preserve">and </w:t>
            </w:r>
            <w:r w:rsidR="004B3688" w:rsidRPr="00F03865">
              <w:rPr>
                <w:sz w:val="24"/>
                <w:szCs w:val="24"/>
              </w:rPr>
              <w:t>chosen Work Support Provider</w:t>
            </w:r>
            <w:r w:rsidR="00D148AC">
              <w:rPr>
                <w:sz w:val="24"/>
                <w:szCs w:val="24"/>
              </w:rPr>
              <w:t>.</w:t>
            </w:r>
            <w:r w:rsidR="004B3688" w:rsidRPr="00F03865">
              <w:rPr>
                <w:sz w:val="24"/>
                <w:szCs w:val="24"/>
              </w:rPr>
              <w:t xml:space="preserve"> </w:t>
            </w:r>
          </w:p>
        </w:tc>
        <w:tc>
          <w:tcPr>
            <w:tcW w:w="4675" w:type="dxa"/>
          </w:tcPr>
          <w:p w14:paraId="20707311" w14:textId="00103166" w:rsidR="004B7A40" w:rsidRPr="00F03865" w:rsidRDefault="004B7A40" w:rsidP="00F03865">
            <w:pPr>
              <w:rPr>
                <w:sz w:val="24"/>
                <w:szCs w:val="24"/>
              </w:rPr>
            </w:pPr>
            <w:r w:rsidRPr="00F03865">
              <w:rPr>
                <w:sz w:val="24"/>
                <w:szCs w:val="24"/>
              </w:rPr>
              <w:t>Case Manager/Care Coordinator completes</w:t>
            </w:r>
            <w:r w:rsidR="00731E3C" w:rsidRPr="00F03865">
              <w:rPr>
                <w:sz w:val="24"/>
                <w:szCs w:val="24"/>
              </w:rPr>
              <w:t xml:space="preserve"> the </w:t>
            </w:r>
            <w:r w:rsidR="003D7E2C" w:rsidRPr="00F03865">
              <w:rPr>
                <w:sz w:val="24"/>
                <w:szCs w:val="24"/>
              </w:rPr>
              <w:t>LTS transfer form</w:t>
            </w:r>
            <w:r w:rsidRPr="00F03865">
              <w:rPr>
                <w:sz w:val="24"/>
                <w:szCs w:val="24"/>
              </w:rPr>
              <w:t xml:space="preserve"> in conjunction with VRC (not Service Provider) and CCM/CC submits to Resource Coordinator</w:t>
            </w:r>
            <w:r w:rsidR="00D148AC">
              <w:rPr>
                <w:sz w:val="24"/>
                <w:szCs w:val="24"/>
              </w:rPr>
              <w:t xml:space="preserve"> to authorize services.</w:t>
            </w:r>
          </w:p>
          <w:p w14:paraId="444709E2" w14:textId="56DDD217" w:rsidR="00673BB0" w:rsidRPr="00F03865" w:rsidRDefault="00673BB0" w:rsidP="00F03865">
            <w:pPr>
              <w:rPr>
                <w:color w:val="1F3864" w:themeColor="accent1" w:themeShade="80"/>
                <w:sz w:val="24"/>
                <w:szCs w:val="24"/>
              </w:rPr>
            </w:pPr>
          </w:p>
        </w:tc>
      </w:tr>
      <w:tr w:rsidR="00385BE3" w14:paraId="16689788" w14:textId="77777777" w:rsidTr="00673BB0">
        <w:tblPrEx>
          <w:tblLook w:val="04A0" w:firstRow="1" w:lastRow="0" w:firstColumn="1" w:lastColumn="0" w:noHBand="0" w:noVBand="1"/>
        </w:tblPrEx>
        <w:tc>
          <w:tcPr>
            <w:tcW w:w="4675" w:type="dxa"/>
          </w:tcPr>
          <w:p w14:paraId="36F92266" w14:textId="33415FF5" w:rsidR="008351B3" w:rsidRPr="00F03865" w:rsidRDefault="0001164A" w:rsidP="00FE2D16">
            <w:pPr>
              <w:rPr>
                <w:sz w:val="24"/>
                <w:szCs w:val="24"/>
              </w:rPr>
            </w:pPr>
            <w:r w:rsidRPr="00F03865">
              <w:rPr>
                <w:sz w:val="24"/>
                <w:szCs w:val="24"/>
              </w:rPr>
              <w:t xml:space="preserve">The </w:t>
            </w:r>
            <w:r w:rsidR="008351B3" w:rsidRPr="00F03865">
              <w:rPr>
                <w:sz w:val="24"/>
                <w:szCs w:val="24"/>
              </w:rPr>
              <w:t>Certified Rehabilitation Provider ensures</w:t>
            </w:r>
            <w:r w:rsidR="001D2B85" w:rsidRPr="00F03865">
              <w:rPr>
                <w:sz w:val="24"/>
                <w:szCs w:val="24"/>
              </w:rPr>
              <w:t xml:space="preserve"> continuity of support prior to transfer to </w:t>
            </w:r>
            <w:r w:rsidR="00294C77" w:rsidRPr="00F03865">
              <w:rPr>
                <w:sz w:val="24"/>
                <w:szCs w:val="24"/>
              </w:rPr>
              <w:t>LTS</w:t>
            </w:r>
            <w:r w:rsidR="001D2B85" w:rsidRPr="00F03865">
              <w:rPr>
                <w:sz w:val="24"/>
                <w:szCs w:val="24"/>
              </w:rPr>
              <w:t xml:space="preserve"> </w:t>
            </w:r>
            <w:r w:rsidR="00294C77" w:rsidRPr="00F03865">
              <w:rPr>
                <w:sz w:val="24"/>
                <w:szCs w:val="24"/>
              </w:rPr>
              <w:t xml:space="preserve">by providing </w:t>
            </w:r>
            <w:r w:rsidR="008351B3" w:rsidRPr="00F03865">
              <w:rPr>
                <w:sz w:val="24"/>
                <w:szCs w:val="24"/>
              </w:rPr>
              <w:t xml:space="preserve">Work Support Provider information </w:t>
            </w:r>
            <w:r w:rsidR="000A15F1" w:rsidRPr="00F03865">
              <w:rPr>
                <w:sz w:val="24"/>
                <w:szCs w:val="24"/>
              </w:rPr>
              <w:t>about the</w:t>
            </w:r>
            <w:r w:rsidR="008351B3" w:rsidRPr="00F03865">
              <w:rPr>
                <w:sz w:val="24"/>
                <w:szCs w:val="24"/>
              </w:rPr>
              <w:t xml:space="preserve"> job</w:t>
            </w:r>
            <w:r w:rsidR="0053710C" w:rsidRPr="00F03865">
              <w:rPr>
                <w:sz w:val="24"/>
                <w:szCs w:val="24"/>
              </w:rPr>
              <w:t xml:space="preserve">, work schedule, and </w:t>
            </w:r>
            <w:r w:rsidR="008351B3" w:rsidRPr="00F03865">
              <w:rPr>
                <w:sz w:val="24"/>
                <w:szCs w:val="24"/>
              </w:rPr>
              <w:t>suppor</w:t>
            </w:r>
            <w:r w:rsidR="00E7027F" w:rsidRPr="00F03865">
              <w:rPr>
                <w:sz w:val="24"/>
                <w:szCs w:val="24"/>
              </w:rPr>
              <w:t>t needs</w:t>
            </w:r>
            <w:r w:rsidR="00D148AC">
              <w:rPr>
                <w:sz w:val="24"/>
                <w:szCs w:val="24"/>
              </w:rPr>
              <w:t>, either through the VRC or by overlapping on the job site to ensure a warm handoff.</w:t>
            </w:r>
          </w:p>
        </w:tc>
        <w:tc>
          <w:tcPr>
            <w:tcW w:w="4675" w:type="dxa"/>
          </w:tcPr>
          <w:p w14:paraId="0EA977E0" w14:textId="0632BD8A" w:rsidR="00385BE3" w:rsidRPr="00F03865" w:rsidRDefault="00C16255" w:rsidP="00F03865">
            <w:pPr>
              <w:rPr>
                <w:sz w:val="24"/>
                <w:szCs w:val="24"/>
              </w:rPr>
            </w:pPr>
            <w:r w:rsidRPr="00F03865">
              <w:rPr>
                <w:sz w:val="24"/>
                <w:szCs w:val="24"/>
              </w:rPr>
              <w:t xml:space="preserve">VRC </w:t>
            </w:r>
            <w:r w:rsidR="00EA7089">
              <w:rPr>
                <w:sz w:val="24"/>
                <w:szCs w:val="24"/>
              </w:rPr>
              <w:t>and CM/CC coordinate the sharing of information and ensure transfer of information, with releases occurs.</w:t>
            </w:r>
          </w:p>
        </w:tc>
      </w:tr>
      <w:tr w:rsidR="00673BB0" w14:paraId="22D5EA9D" w14:textId="77777777" w:rsidTr="00673BB0">
        <w:tblPrEx>
          <w:tblLook w:val="04A0" w:firstRow="1" w:lastRow="0" w:firstColumn="1" w:lastColumn="0" w:noHBand="0" w:noVBand="1"/>
        </w:tblPrEx>
        <w:tc>
          <w:tcPr>
            <w:tcW w:w="4675" w:type="dxa"/>
          </w:tcPr>
          <w:p w14:paraId="2FFAAD00" w14:textId="447AF849" w:rsidR="00673BB0" w:rsidRPr="00F03865" w:rsidRDefault="00EB65FF" w:rsidP="000447AC">
            <w:pPr>
              <w:rPr>
                <w:color w:val="1F3864" w:themeColor="accent1" w:themeShade="80"/>
                <w:sz w:val="24"/>
                <w:szCs w:val="24"/>
              </w:rPr>
            </w:pPr>
            <w:r w:rsidRPr="00F03865">
              <w:rPr>
                <w:sz w:val="24"/>
                <w:szCs w:val="24"/>
              </w:rPr>
              <w:t xml:space="preserve">Waiver Work Support is identified in Plan, the service has been authorized with a start date, and </w:t>
            </w:r>
            <w:r w:rsidR="00F7109D" w:rsidRPr="00F03865">
              <w:rPr>
                <w:sz w:val="24"/>
                <w:szCs w:val="24"/>
              </w:rPr>
              <w:t xml:space="preserve">the </w:t>
            </w:r>
            <w:r w:rsidRPr="00F03865">
              <w:rPr>
                <w:sz w:val="24"/>
                <w:szCs w:val="24"/>
              </w:rPr>
              <w:t>coordinated transfer occurs between CRP and Waiver Work Support Provider</w:t>
            </w:r>
            <w:r w:rsidR="00EA7089">
              <w:rPr>
                <w:sz w:val="24"/>
                <w:szCs w:val="24"/>
              </w:rPr>
              <w:t>, all with knowledge of the person and the employer.</w:t>
            </w:r>
          </w:p>
        </w:tc>
        <w:tc>
          <w:tcPr>
            <w:tcW w:w="4675" w:type="dxa"/>
          </w:tcPr>
          <w:p w14:paraId="3ECB9312" w14:textId="690C0656" w:rsidR="00673BB0" w:rsidRPr="00F03865" w:rsidRDefault="00695091" w:rsidP="00F03865">
            <w:pPr>
              <w:rPr>
                <w:color w:val="1F3864" w:themeColor="accent1" w:themeShade="80"/>
                <w:sz w:val="24"/>
                <w:szCs w:val="24"/>
              </w:rPr>
            </w:pPr>
            <w:r w:rsidRPr="00F03865">
              <w:rPr>
                <w:sz w:val="24"/>
                <w:szCs w:val="24"/>
              </w:rPr>
              <w:t xml:space="preserve">The </w:t>
            </w:r>
            <w:r w:rsidR="00C05D51" w:rsidRPr="00F03865">
              <w:rPr>
                <w:sz w:val="24"/>
                <w:szCs w:val="24"/>
              </w:rPr>
              <w:t>VRC and CRP follow and are available for consultation</w:t>
            </w:r>
            <w:r w:rsidR="00EA7089">
              <w:rPr>
                <w:sz w:val="24"/>
                <w:szCs w:val="24"/>
              </w:rPr>
              <w:t xml:space="preserve"> until such time as VR closes the case successfully.</w:t>
            </w:r>
          </w:p>
        </w:tc>
      </w:tr>
    </w:tbl>
    <w:p w14:paraId="4AFE59ED" w14:textId="4FB95331" w:rsidR="00571D2B" w:rsidRPr="00571D2B" w:rsidRDefault="00571D2B" w:rsidP="00FE2D16">
      <w:pPr>
        <w:rPr>
          <w:color w:val="1F3864" w:themeColor="accent1" w:themeShade="80"/>
          <w:sz w:val="32"/>
          <w:szCs w:val="32"/>
        </w:rPr>
      </w:pPr>
    </w:p>
    <w:sectPr w:rsidR="00571D2B" w:rsidRPr="00571D2B" w:rsidSect="00571D2B">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BE5D5" w14:textId="77777777" w:rsidR="000B3733" w:rsidRDefault="000B3733" w:rsidP="002817AE">
      <w:pPr>
        <w:spacing w:after="0" w:line="240" w:lineRule="auto"/>
      </w:pPr>
      <w:r>
        <w:separator/>
      </w:r>
    </w:p>
  </w:endnote>
  <w:endnote w:type="continuationSeparator" w:id="0">
    <w:p w14:paraId="64DBFA9C" w14:textId="77777777" w:rsidR="000B3733" w:rsidRDefault="000B3733" w:rsidP="0028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B7397" w14:textId="022DF867" w:rsidR="007B3BF2" w:rsidRDefault="007B3BF2">
    <w:pPr>
      <w:pStyle w:val="Footer"/>
    </w:pPr>
    <w:r>
      <w:t>March 2022</w:t>
    </w:r>
  </w:p>
  <w:p w14:paraId="6588F20D" w14:textId="77777777" w:rsidR="007C4D51" w:rsidRDefault="007C4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F8DC1" w14:textId="77777777" w:rsidR="000B3733" w:rsidRDefault="000B3733" w:rsidP="002817AE">
      <w:pPr>
        <w:spacing w:after="0" w:line="240" w:lineRule="auto"/>
      </w:pPr>
      <w:r>
        <w:separator/>
      </w:r>
    </w:p>
  </w:footnote>
  <w:footnote w:type="continuationSeparator" w:id="0">
    <w:p w14:paraId="2CEE5FD6" w14:textId="77777777" w:rsidR="000B3733" w:rsidRDefault="000B3733" w:rsidP="002817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2B"/>
    <w:rsid w:val="0001164A"/>
    <w:rsid w:val="00026342"/>
    <w:rsid w:val="000447AC"/>
    <w:rsid w:val="00060B85"/>
    <w:rsid w:val="00067150"/>
    <w:rsid w:val="00074AEB"/>
    <w:rsid w:val="000A15F1"/>
    <w:rsid w:val="000A4031"/>
    <w:rsid w:val="000B3733"/>
    <w:rsid w:val="000C0BD6"/>
    <w:rsid w:val="000C7BC5"/>
    <w:rsid w:val="000D04A2"/>
    <w:rsid w:val="000D1836"/>
    <w:rsid w:val="000D2B42"/>
    <w:rsid w:val="000E46A5"/>
    <w:rsid w:val="00171298"/>
    <w:rsid w:val="001B265F"/>
    <w:rsid w:val="001D2B85"/>
    <w:rsid w:val="001D7FFA"/>
    <w:rsid w:val="001E2E40"/>
    <w:rsid w:val="002073B8"/>
    <w:rsid w:val="00250AA5"/>
    <w:rsid w:val="00267EB9"/>
    <w:rsid w:val="002817AE"/>
    <w:rsid w:val="0028701F"/>
    <w:rsid w:val="00294C77"/>
    <w:rsid w:val="002B0A7D"/>
    <w:rsid w:val="002C27C4"/>
    <w:rsid w:val="003671C1"/>
    <w:rsid w:val="00375008"/>
    <w:rsid w:val="00385BE3"/>
    <w:rsid w:val="00390AE4"/>
    <w:rsid w:val="003D7E2C"/>
    <w:rsid w:val="003E1D60"/>
    <w:rsid w:val="003E69C6"/>
    <w:rsid w:val="003F3D92"/>
    <w:rsid w:val="00402462"/>
    <w:rsid w:val="0044517B"/>
    <w:rsid w:val="004A19CF"/>
    <w:rsid w:val="004B3688"/>
    <w:rsid w:val="004B7A40"/>
    <w:rsid w:val="004E747C"/>
    <w:rsid w:val="004F4360"/>
    <w:rsid w:val="0053710C"/>
    <w:rsid w:val="00571D2B"/>
    <w:rsid w:val="005C6656"/>
    <w:rsid w:val="006115C2"/>
    <w:rsid w:val="00673BB0"/>
    <w:rsid w:val="00686DE4"/>
    <w:rsid w:val="00695091"/>
    <w:rsid w:val="006A7A3C"/>
    <w:rsid w:val="006C4EB7"/>
    <w:rsid w:val="006E6247"/>
    <w:rsid w:val="00731E3C"/>
    <w:rsid w:val="00744313"/>
    <w:rsid w:val="007622F4"/>
    <w:rsid w:val="00785FFF"/>
    <w:rsid w:val="007B3BF2"/>
    <w:rsid w:val="007C4D51"/>
    <w:rsid w:val="00832AA8"/>
    <w:rsid w:val="008351B3"/>
    <w:rsid w:val="00845B05"/>
    <w:rsid w:val="008673CD"/>
    <w:rsid w:val="008F762F"/>
    <w:rsid w:val="00936BD1"/>
    <w:rsid w:val="00955405"/>
    <w:rsid w:val="009612E9"/>
    <w:rsid w:val="009C61DD"/>
    <w:rsid w:val="00A10EFF"/>
    <w:rsid w:val="00B06A7B"/>
    <w:rsid w:val="00B07B6B"/>
    <w:rsid w:val="00B86F69"/>
    <w:rsid w:val="00BB6A33"/>
    <w:rsid w:val="00BC47E8"/>
    <w:rsid w:val="00C05D51"/>
    <w:rsid w:val="00C10F65"/>
    <w:rsid w:val="00C16255"/>
    <w:rsid w:val="00C274D0"/>
    <w:rsid w:val="00C27DE4"/>
    <w:rsid w:val="00C90F84"/>
    <w:rsid w:val="00CD5B8A"/>
    <w:rsid w:val="00D148AC"/>
    <w:rsid w:val="00D30A09"/>
    <w:rsid w:val="00D970DE"/>
    <w:rsid w:val="00DC478C"/>
    <w:rsid w:val="00DC7CFC"/>
    <w:rsid w:val="00E45242"/>
    <w:rsid w:val="00E7027F"/>
    <w:rsid w:val="00EA7089"/>
    <w:rsid w:val="00EB65FF"/>
    <w:rsid w:val="00F03865"/>
    <w:rsid w:val="00F06B15"/>
    <w:rsid w:val="00F31DB2"/>
    <w:rsid w:val="00F7109D"/>
    <w:rsid w:val="00F83DC3"/>
    <w:rsid w:val="00FA59E9"/>
    <w:rsid w:val="00FA6B9F"/>
    <w:rsid w:val="00FA7D8A"/>
    <w:rsid w:val="00FC4863"/>
    <w:rsid w:val="00FD6091"/>
    <w:rsid w:val="00FE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9A1D"/>
  <w15:chartTrackingRefBased/>
  <w15:docId w15:val="{3BBDBCE2-83E0-4652-9CAA-E25A8B2B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7AE"/>
  </w:style>
  <w:style w:type="paragraph" w:styleId="Footer">
    <w:name w:val="footer"/>
    <w:basedOn w:val="Normal"/>
    <w:link w:val="FooterChar"/>
    <w:uiPriority w:val="99"/>
    <w:unhideWhenUsed/>
    <w:rsid w:val="00281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Cline, Lisa</dc:creator>
  <cp:keywords/>
  <dc:description/>
  <cp:lastModifiedBy>Sturtevant, Lisa D</cp:lastModifiedBy>
  <cp:revision>5</cp:revision>
  <dcterms:created xsi:type="dcterms:W3CDTF">2022-03-10T16:36:00Z</dcterms:created>
  <dcterms:modified xsi:type="dcterms:W3CDTF">2022-03-10T16:40:00Z</dcterms:modified>
</cp:coreProperties>
</file>