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27468">
      <w:pPr>
        <w:tabs>
          <w:tab w:val="left" w:pos="1200"/>
        </w:tabs>
        <w:rPr>
          <w:szCs w:val="24"/>
        </w:rPr>
      </w:pPr>
    </w:p>
    <w:p w:rsidR="00F73321" w:rsidRPr="008A6D5E" w:rsidRDefault="00F73321" w:rsidP="00427468">
      <w:pPr>
        <w:pStyle w:val="ListParagraph"/>
        <w:overflowPunct w:val="0"/>
        <w:adjustRightInd w:val="0"/>
        <w:ind w:left="0" w:firstLine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6D5E">
        <w:rPr>
          <w:rFonts w:asciiTheme="minorHAnsi" w:hAnsiTheme="minorHAnsi" w:cstheme="minorHAnsi"/>
          <w:b/>
          <w:sz w:val="28"/>
          <w:szCs w:val="28"/>
          <w:u w:val="single"/>
        </w:rPr>
        <w:t>Change of Service for Section 21 or 29</w:t>
      </w:r>
    </w:p>
    <w:p w:rsidR="00F73321" w:rsidRPr="008A6D5E" w:rsidRDefault="00F73321" w:rsidP="00427468">
      <w:pPr>
        <w:pStyle w:val="ListParagraph"/>
        <w:overflowPunct w:val="0"/>
        <w:adjustRightInd w:val="0"/>
        <w:ind w:left="0" w:firstLine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6D5E">
        <w:rPr>
          <w:rFonts w:asciiTheme="minorHAnsi" w:hAnsiTheme="minorHAnsi" w:cstheme="minorHAnsi"/>
          <w:b/>
          <w:sz w:val="28"/>
          <w:szCs w:val="28"/>
          <w:u w:val="single"/>
        </w:rPr>
        <w:t>Children’s and Mental Health Case Workers</w:t>
      </w:r>
    </w:p>
    <w:p w:rsidR="00427468" w:rsidRDefault="00427468" w:rsidP="00427468">
      <w:pPr>
        <w:pStyle w:val="ListParagraph"/>
        <w:overflowPunct w:val="0"/>
        <w:adjustRightInd w:val="0"/>
        <w:ind w:left="0" w:firstLine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The Case Manager completes a </w:t>
      </w:r>
      <w:hyperlink r:id="rId9" w:history="1">
        <w:r w:rsidRPr="00E33DD6">
          <w:rPr>
            <w:rFonts w:asciiTheme="minorHAnsi" w:hAnsiTheme="minorHAnsi" w:cstheme="minorHAnsi"/>
            <w:color w:val="0000FF" w:themeColor="hyperlink"/>
            <w:szCs w:val="24"/>
            <w:u w:val="single"/>
          </w:rPr>
          <w:t>Vendor Call</w:t>
        </w:r>
      </w:hyperlink>
      <w:r w:rsidRPr="00E33DD6">
        <w:rPr>
          <w:rFonts w:asciiTheme="minorHAnsi" w:hAnsiTheme="minorHAnsi" w:cstheme="minorHAnsi"/>
          <w:szCs w:val="24"/>
        </w:rPr>
        <w:t xml:space="preserve"> to Providers for potential services to meet unmet needs identified in the Person Centered Plan.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The Case Manager Emails a completed form to </w:t>
      </w:r>
      <w:hyperlink r:id="rId10" w:history="1">
        <w:r w:rsidRPr="00E33DD6">
          <w:rPr>
            <w:rStyle w:val="Hyperlink"/>
            <w:rFonts w:asciiTheme="minorHAnsi" w:hAnsiTheme="minorHAnsi" w:cstheme="minorHAnsi"/>
            <w:szCs w:val="24"/>
          </w:rPr>
          <w:t>ResourceCoordinator-OADS@maine.gov</w:t>
        </w:r>
      </w:hyperlink>
      <w:r w:rsidRPr="00E33DD6">
        <w:rPr>
          <w:rFonts w:asciiTheme="minorHAnsi" w:hAnsiTheme="minorHAnsi" w:cstheme="minorHAnsi"/>
          <w:color w:val="0000FF"/>
          <w:szCs w:val="24"/>
          <w:u w:val="single"/>
        </w:rPr>
        <w:t>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Responding Providers will reach out to the Case Manager by Email.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The Case Manager reviews responding Providers with the Guardian and/or Member.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trike/>
          <w:szCs w:val="24"/>
        </w:rPr>
      </w:pPr>
      <w:r w:rsidRPr="00E33DD6">
        <w:rPr>
          <w:rFonts w:asciiTheme="minorHAnsi" w:hAnsiTheme="minorHAnsi" w:cstheme="minorHAnsi"/>
          <w:szCs w:val="24"/>
        </w:rPr>
        <w:t>The Member and/or Guardian visits Provider(s) if possible and selects a Provider.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Once a Provider has been selected, the Case Manager has the Provider/s complete a </w:t>
      </w:r>
      <w:hyperlink r:id="rId11" w:history="1">
        <w:r w:rsidRPr="00E33DD6">
          <w:rPr>
            <w:rStyle w:val="Hyperlink"/>
            <w:rFonts w:asciiTheme="minorHAnsi" w:hAnsiTheme="minorHAnsi" w:cstheme="minorHAnsi"/>
            <w:szCs w:val="24"/>
            <w:lang w:val="en"/>
          </w:rPr>
          <w:t>Service Proposal Request Form (Word).</w:t>
        </w:r>
      </w:hyperlink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The Case Manager facilitates a Team Meeting which includes</w:t>
      </w:r>
      <w:r>
        <w:rPr>
          <w:rFonts w:asciiTheme="minorHAnsi" w:hAnsiTheme="minorHAnsi" w:cstheme="minorHAnsi"/>
          <w:szCs w:val="24"/>
        </w:rPr>
        <w:t xml:space="preserve"> current Provider(s), </w:t>
      </w:r>
      <w:r w:rsidRPr="00E33DD6">
        <w:rPr>
          <w:rFonts w:asciiTheme="minorHAnsi" w:hAnsiTheme="minorHAnsi" w:cstheme="minorHAnsi"/>
          <w:szCs w:val="24"/>
        </w:rPr>
        <w:t>the selected Provider</w:t>
      </w:r>
      <w:r>
        <w:rPr>
          <w:rFonts w:asciiTheme="minorHAnsi" w:hAnsiTheme="minorHAnsi" w:cstheme="minorHAnsi"/>
          <w:szCs w:val="24"/>
        </w:rPr>
        <w:t>(</w:t>
      </w:r>
      <w:r w:rsidRPr="00E33DD6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),</w:t>
      </w:r>
      <w:r w:rsidRPr="00E33DD6">
        <w:rPr>
          <w:rFonts w:asciiTheme="minorHAnsi" w:hAnsiTheme="minorHAnsi" w:cstheme="minorHAnsi"/>
          <w:szCs w:val="24"/>
        </w:rPr>
        <w:t xml:space="preserve"> and individuals chosen by the Guardian and/or Member.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The Team discusses the Member’s needs, </w:t>
      </w:r>
      <w:r w:rsidR="00427468">
        <w:rPr>
          <w:rFonts w:asciiTheme="minorHAnsi" w:hAnsiTheme="minorHAnsi" w:cstheme="minorHAnsi"/>
          <w:szCs w:val="24"/>
        </w:rPr>
        <w:t xml:space="preserve">current services, </w:t>
      </w:r>
      <w:r w:rsidRPr="00E33DD6">
        <w:rPr>
          <w:rFonts w:asciiTheme="minorHAnsi" w:hAnsiTheme="minorHAnsi" w:cstheme="minorHAnsi"/>
          <w:szCs w:val="24"/>
        </w:rPr>
        <w:t xml:space="preserve">proposed services, and how the Member will transition to those services. 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The Case Manager then writes up the </w:t>
      </w:r>
      <w:hyperlink r:id="rId12" w:history="1">
        <w:r w:rsidRPr="00E33DD6">
          <w:rPr>
            <w:rStyle w:val="Hyperlink"/>
            <w:rFonts w:asciiTheme="minorHAnsi" w:hAnsiTheme="minorHAnsi" w:cstheme="minorHAnsi"/>
            <w:szCs w:val="24"/>
            <w:lang w:val="en"/>
          </w:rPr>
          <w:t>Personal Plan Update Form</w:t>
        </w:r>
      </w:hyperlink>
      <w:r w:rsidRPr="00E33DD6">
        <w:rPr>
          <w:rFonts w:asciiTheme="minorHAnsi" w:hAnsiTheme="minorHAnsi" w:cstheme="minorHAnsi"/>
          <w:szCs w:val="24"/>
          <w:lang w:val="en"/>
        </w:rPr>
        <w:t xml:space="preserve"> </w:t>
      </w:r>
      <w:r w:rsidRPr="00E33DD6">
        <w:rPr>
          <w:rFonts w:asciiTheme="minorHAnsi" w:hAnsiTheme="minorHAnsi" w:cstheme="minorHAnsi"/>
          <w:szCs w:val="24"/>
        </w:rPr>
        <w:t>to include what was discussed during the planning meeting and the services proposed.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The Case Manager has the Member and/or Guardian sign the Personal Plan Update Form.</w:t>
      </w:r>
    </w:p>
    <w:p w:rsidR="00F73321" w:rsidRPr="00E33DD6" w:rsidRDefault="00F73321" w:rsidP="00427468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  <w:lang w:val="en"/>
        </w:rPr>
        <w:t xml:space="preserve">The Case Manager completes the  </w:t>
      </w:r>
      <w:hyperlink r:id="rId13" w:history="1">
        <w:r w:rsidRPr="00E33DD6">
          <w:rPr>
            <w:rFonts w:asciiTheme="minorHAnsi" w:hAnsiTheme="minorHAnsi" w:cstheme="minorHAnsi"/>
            <w:color w:val="0000FF"/>
            <w:szCs w:val="24"/>
            <w:u w:val="single"/>
            <w:lang w:val="en"/>
          </w:rPr>
          <w:t>Authorization Request Form (Word)</w:t>
        </w:r>
      </w:hyperlink>
      <w:r w:rsidRPr="00E33DD6">
        <w:rPr>
          <w:rFonts w:asciiTheme="minorHAnsi" w:hAnsiTheme="minorHAnsi" w:cstheme="minorHAnsi"/>
          <w:color w:val="0000FF"/>
          <w:szCs w:val="24"/>
          <w:u w:val="single"/>
          <w:lang w:val="en"/>
        </w:rPr>
        <w:t>.</w:t>
      </w:r>
    </w:p>
    <w:p w:rsidR="00F73321" w:rsidRPr="00E33DD6" w:rsidRDefault="00F73321" w:rsidP="00F73321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Cs w:val="24"/>
        </w:rPr>
      </w:pPr>
    </w:p>
    <w:p w:rsidR="00F73321" w:rsidRPr="00E33DD6" w:rsidRDefault="00F73321" w:rsidP="0042746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The Case Manager submits to their assigned resource coordinator by </w:t>
      </w:r>
      <w:r w:rsidRPr="00E33DD6">
        <w:rPr>
          <w:rFonts w:asciiTheme="minorHAnsi" w:hAnsiTheme="minorHAnsi" w:cstheme="minorHAnsi"/>
          <w:b/>
          <w:szCs w:val="24"/>
        </w:rPr>
        <w:t>email</w:t>
      </w:r>
      <w:r w:rsidRPr="00E33DD6">
        <w:rPr>
          <w:rFonts w:asciiTheme="minorHAnsi" w:hAnsiTheme="minorHAnsi" w:cstheme="minorHAnsi"/>
          <w:szCs w:val="24"/>
        </w:rPr>
        <w:t>:</w:t>
      </w:r>
    </w:p>
    <w:p w:rsidR="00F73321" w:rsidRPr="00E33DD6" w:rsidRDefault="00F73321" w:rsidP="00F7332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73321" w:rsidRPr="00E33DD6" w:rsidRDefault="00F73321" w:rsidP="00427468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A copy of the current Service/Treatment Plan</w:t>
      </w:r>
    </w:p>
    <w:p w:rsidR="00F73321" w:rsidRPr="00E33DD6" w:rsidRDefault="00F73321" w:rsidP="00427468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A signed copy of the Personal Plan Update form</w:t>
      </w:r>
    </w:p>
    <w:p w:rsidR="00F73321" w:rsidRPr="00E33DD6" w:rsidRDefault="00F73321" w:rsidP="00427468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  <w:lang w:val="en"/>
        </w:rPr>
        <w:t xml:space="preserve">Completed Service Proposal Request Form for </w:t>
      </w:r>
      <w:r w:rsidR="00427468">
        <w:rPr>
          <w:rFonts w:asciiTheme="minorHAnsi" w:hAnsiTheme="minorHAnsi" w:cstheme="minorHAnsi"/>
          <w:szCs w:val="24"/>
          <w:lang w:val="en"/>
        </w:rPr>
        <w:t>new</w:t>
      </w:r>
      <w:r w:rsidRPr="00E33DD6">
        <w:rPr>
          <w:rFonts w:asciiTheme="minorHAnsi" w:hAnsiTheme="minorHAnsi" w:cstheme="minorHAnsi"/>
          <w:szCs w:val="24"/>
          <w:lang w:val="en"/>
        </w:rPr>
        <w:t xml:space="preserve"> Provider</w:t>
      </w:r>
      <w:r w:rsidR="00427468">
        <w:rPr>
          <w:rFonts w:asciiTheme="minorHAnsi" w:hAnsiTheme="minorHAnsi" w:cstheme="minorHAnsi"/>
          <w:szCs w:val="24"/>
          <w:lang w:val="en"/>
        </w:rPr>
        <w:t>(</w:t>
      </w:r>
      <w:r w:rsidRPr="00E33DD6">
        <w:rPr>
          <w:rFonts w:asciiTheme="minorHAnsi" w:hAnsiTheme="minorHAnsi" w:cstheme="minorHAnsi"/>
          <w:szCs w:val="24"/>
          <w:lang w:val="en"/>
        </w:rPr>
        <w:t>s</w:t>
      </w:r>
      <w:r w:rsidR="00427468">
        <w:rPr>
          <w:rFonts w:asciiTheme="minorHAnsi" w:hAnsiTheme="minorHAnsi" w:cstheme="minorHAnsi"/>
          <w:szCs w:val="24"/>
          <w:lang w:val="en"/>
        </w:rPr>
        <w:t>)</w:t>
      </w:r>
    </w:p>
    <w:p w:rsidR="00F73321" w:rsidRPr="00E33DD6" w:rsidRDefault="00F73321" w:rsidP="00427468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A copy of the signed Choice Letter</w:t>
      </w:r>
      <w:r w:rsidRPr="00E33DD6">
        <w:rPr>
          <w:rFonts w:asciiTheme="minorHAnsi" w:hAnsiTheme="minorHAnsi" w:cstheme="minorHAnsi"/>
          <w:szCs w:val="24"/>
          <w:lang w:val="en"/>
        </w:rPr>
        <w:t xml:space="preserve"> </w:t>
      </w:r>
      <w:r w:rsidRPr="00E33DD6">
        <w:rPr>
          <w:rFonts w:asciiTheme="minorHAnsi" w:hAnsiTheme="minorHAnsi" w:cstheme="minorHAnsi"/>
          <w:szCs w:val="24"/>
        </w:rPr>
        <w:t>regarding Waiver services</w:t>
      </w:r>
    </w:p>
    <w:p w:rsidR="00F73321" w:rsidRPr="00427468" w:rsidRDefault="00F73321" w:rsidP="00427468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427468">
        <w:rPr>
          <w:rFonts w:asciiTheme="minorHAnsi" w:hAnsiTheme="minorHAnsi" w:cstheme="minorHAnsi"/>
          <w:szCs w:val="24"/>
        </w:rPr>
        <w:t>The Authorization Request Form reflecting the</w:t>
      </w:r>
      <w:r w:rsidR="00427468" w:rsidRPr="00427468">
        <w:rPr>
          <w:rFonts w:asciiTheme="minorHAnsi" w:hAnsiTheme="minorHAnsi" w:cstheme="minorHAnsi"/>
          <w:szCs w:val="24"/>
        </w:rPr>
        <w:t xml:space="preserve"> current services and</w:t>
      </w:r>
      <w:r w:rsidRPr="00427468">
        <w:rPr>
          <w:rFonts w:asciiTheme="minorHAnsi" w:hAnsiTheme="minorHAnsi" w:cstheme="minorHAnsi"/>
          <w:szCs w:val="24"/>
        </w:rPr>
        <w:t xml:space="preserve"> services proposed</w:t>
      </w:r>
    </w:p>
    <w:p w:rsidR="00F73321" w:rsidRPr="00E33DD6" w:rsidRDefault="00F73321" w:rsidP="00F7332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</w:p>
    <w:p w:rsidR="00427468" w:rsidRDefault="00427468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427468" w:rsidRPr="008A6D5E" w:rsidRDefault="00427468" w:rsidP="00427468">
      <w:pPr>
        <w:pStyle w:val="ListParagraph"/>
        <w:overflowPunct w:val="0"/>
        <w:adjustRightInd w:val="0"/>
        <w:ind w:left="0" w:firstLine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r w:rsidRPr="008A6D5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Change of Service for Section 21 or 29</w:t>
      </w:r>
    </w:p>
    <w:p w:rsidR="00427468" w:rsidRPr="008A6D5E" w:rsidRDefault="00427468" w:rsidP="00427468">
      <w:pPr>
        <w:pStyle w:val="ListParagraph"/>
        <w:overflowPunct w:val="0"/>
        <w:adjustRightInd w:val="0"/>
        <w:ind w:left="0" w:firstLine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6D5E">
        <w:rPr>
          <w:rFonts w:asciiTheme="minorHAnsi" w:hAnsiTheme="minorHAnsi" w:cstheme="minorHAnsi"/>
          <w:b/>
          <w:sz w:val="28"/>
          <w:szCs w:val="28"/>
          <w:u w:val="single"/>
        </w:rPr>
        <w:t>Children’s and Mental Health Case Workers</w:t>
      </w:r>
    </w:p>
    <w:p w:rsidR="00427468" w:rsidRPr="008A6D5E" w:rsidRDefault="00427468" w:rsidP="00427468">
      <w:pPr>
        <w:pStyle w:val="ListParagraph"/>
        <w:overflowPunct w:val="0"/>
        <w:adjustRightInd w:val="0"/>
        <w:ind w:left="0" w:firstLine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6D5E">
        <w:rPr>
          <w:rFonts w:asciiTheme="minorHAnsi" w:hAnsiTheme="minorHAnsi" w:cstheme="minorHAnsi"/>
          <w:b/>
          <w:sz w:val="28"/>
          <w:szCs w:val="28"/>
          <w:u w:val="single"/>
        </w:rPr>
        <w:t>Continued</w:t>
      </w:r>
    </w:p>
    <w:bookmarkEnd w:id="0"/>
    <w:p w:rsidR="00427468" w:rsidRDefault="00427468" w:rsidP="00427468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</w:p>
    <w:p w:rsidR="00427468" w:rsidRDefault="00427468" w:rsidP="00F7332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</w:p>
    <w:p w:rsidR="00427468" w:rsidRDefault="00427468" w:rsidP="00F7332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</w:p>
    <w:p w:rsidR="00F73321" w:rsidRPr="00E33DD6" w:rsidRDefault="00F73321" w:rsidP="00F7332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>Once received, the Resource Coordinator will:</w:t>
      </w:r>
    </w:p>
    <w:p w:rsidR="00F73321" w:rsidRPr="00E33DD6" w:rsidRDefault="00F73321" w:rsidP="00F73321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</w:rPr>
      </w:pPr>
    </w:p>
    <w:p w:rsidR="00F73321" w:rsidRPr="00E33DD6" w:rsidRDefault="00F73321" w:rsidP="0042746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Review the current Service/Treatment Plan, Personal Plan Update, and other documents submitted to determine the proposed services are Medically Necessary. </w:t>
      </w:r>
    </w:p>
    <w:p w:rsidR="00F73321" w:rsidRPr="00E33DD6" w:rsidRDefault="00F73321" w:rsidP="0042746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Determine the Member’s proposed services are within the individual budget cap of the waiver and if there are conflicting waivers or classifications. </w:t>
      </w:r>
    </w:p>
    <w:p w:rsidR="00F73321" w:rsidRPr="00E33DD6" w:rsidRDefault="00F73321" w:rsidP="00F7332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</w:p>
    <w:p w:rsidR="00427468" w:rsidRDefault="00F73321" w:rsidP="0042746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  <w:r w:rsidRPr="00E33DD6">
        <w:rPr>
          <w:rFonts w:asciiTheme="minorHAnsi" w:hAnsiTheme="minorHAnsi" w:cstheme="minorHAnsi"/>
          <w:szCs w:val="24"/>
        </w:rPr>
        <w:t xml:space="preserve">If approved, the Resource Coordinator will enter the authorization(s) in EIS per the </w:t>
      </w:r>
      <w:r w:rsidR="00427468">
        <w:rPr>
          <w:rFonts w:asciiTheme="minorHAnsi" w:hAnsiTheme="minorHAnsi" w:cstheme="minorHAnsi"/>
          <w:szCs w:val="24"/>
        </w:rPr>
        <w:t>Service Proposal Form(s).</w:t>
      </w:r>
      <w:r w:rsidRPr="00E33DD6">
        <w:rPr>
          <w:rFonts w:asciiTheme="minorHAnsi" w:hAnsiTheme="minorHAnsi" w:cstheme="minorHAnsi"/>
          <w:szCs w:val="24"/>
        </w:rPr>
        <w:t xml:space="preserve"> The Resource Coordinator </w:t>
      </w:r>
      <w:r w:rsidR="00427468">
        <w:rPr>
          <w:rFonts w:asciiTheme="minorHAnsi" w:hAnsiTheme="minorHAnsi" w:cstheme="minorHAnsi"/>
          <w:szCs w:val="24"/>
        </w:rPr>
        <w:t>will</w:t>
      </w:r>
      <w:r w:rsidRPr="00E33DD6">
        <w:rPr>
          <w:rFonts w:asciiTheme="minorHAnsi" w:hAnsiTheme="minorHAnsi" w:cstheme="minorHAnsi"/>
          <w:szCs w:val="24"/>
        </w:rPr>
        <w:t xml:space="preserve"> send an email to the Provider(s) and Case Manager with authorization details. </w:t>
      </w:r>
    </w:p>
    <w:p w:rsidR="00427468" w:rsidRDefault="00427468" w:rsidP="0042746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</w:p>
    <w:p w:rsidR="00C73165" w:rsidRPr="00C73165" w:rsidRDefault="00427468" w:rsidP="00C73165">
      <w:pPr>
        <w:rPr>
          <w:rFonts w:ascii="Arial" w:hAnsi="Arial" w:cs="Arial"/>
          <w:sz w:val="18"/>
          <w:szCs w:val="18"/>
        </w:rPr>
      </w:pPr>
      <w:r w:rsidRPr="00C73165">
        <w:rPr>
          <w:rFonts w:asciiTheme="minorHAnsi" w:hAnsiTheme="minorHAnsi" w:cstheme="minorHAnsi"/>
          <w:b/>
          <w:szCs w:val="24"/>
        </w:rPr>
        <w:t>Please note</w:t>
      </w:r>
      <w:r>
        <w:rPr>
          <w:rFonts w:asciiTheme="minorHAnsi" w:hAnsiTheme="minorHAnsi" w:cstheme="minorHAnsi"/>
          <w:szCs w:val="24"/>
        </w:rPr>
        <w:t xml:space="preserve">: This Protocol applies to most, but not all services. There are </w:t>
      </w:r>
      <w:r w:rsidRPr="00C73165">
        <w:rPr>
          <w:rFonts w:asciiTheme="minorHAnsi" w:hAnsiTheme="minorHAnsi" w:cstheme="minorHAnsi"/>
          <w:szCs w:val="24"/>
          <w:u w:val="single"/>
        </w:rPr>
        <w:t>exceptions</w:t>
      </w:r>
      <w:r>
        <w:rPr>
          <w:rFonts w:asciiTheme="minorHAnsi" w:hAnsiTheme="minorHAnsi" w:cstheme="minorHAnsi"/>
          <w:szCs w:val="24"/>
        </w:rPr>
        <w:t xml:space="preserve">: Assistive Technology, Crisis Intervention Services, Increased Level of Support for Shared Living and Family Centered Support, Specialized Medical Equipment (aka Durable Medical Equipment not </w:t>
      </w:r>
      <w:r w:rsidR="00C73165">
        <w:rPr>
          <w:rFonts w:asciiTheme="minorHAnsi" w:hAnsiTheme="minorHAnsi" w:cstheme="minorHAnsi"/>
          <w:szCs w:val="24"/>
        </w:rPr>
        <w:t xml:space="preserve">approved under the state Medicaid plan), and Agency Per Diem (group home) residential services.  These services must be approved by the Clinical Review Team. Please find the protocols labeled </w:t>
      </w:r>
      <w:r w:rsidR="00C73165" w:rsidRPr="00C73165">
        <w:rPr>
          <w:rFonts w:asciiTheme="minorHAnsi" w:hAnsiTheme="minorHAnsi" w:cstheme="minorHAnsi"/>
          <w:b/>
          <w:bCs/>
          <w:color w:val="3C3C3C"/>
          <w:szCs w:val="24"/>
          <w:lang w:val="en"/>
        </w:rPr>
        <w:t xml:space="preserve">Clinical Review Team (CRT) Guidelines for Case Managers and Providers </w:t>
      </w:r>
      <w:r w:rsidR="00C73165">
        <w:rPr>
          <w:rFonts w:asciiTheme="minorHAnsi" w:hAnsiTheme="minorHAnsi" w:cstheme="minorHAnsi"/>
          <w:bCs/>
          <w:color w:val="3C3C3C"/>
          <w:szCs w:val="24"/>
          <w:lang w:val="en"/>
        </w:rPr>
        <w:t>on the Forms and Protocols page (</w:t>
      </w:r>
      <w:hyperlink r:id="rId14" w:history="1">
        <w:r w:rsidR="00C73165" w:rsidRPr="00FF5FDB">
          <w:rPr>
            <w:rStyle w:val="Hyperlink"/>
            <w:rFonts w:asciiTheme="minorHAnsi" w:hAnsiTheme="minorHAnsi" w:cstheme="minorHAnsi"/>
            <w:bCs/>
            <w:szCs w:val="24"/>
            <w:lang w:val="en"/>
          </w:rPr>
          <w:t>https://www.maine.gov/dhhs/oads/providers/adults-with-intellectual-disability-and-autism</w:t>
        </w:r>
      </w:hyperlink>
      <w:r w:rsidR="00C73165">
        <w:rPr>
          <w:rFonts w:asciiTheme="minorHAnsi" w:hAnsiTheme="minorHAnsi" w:cstheme="minorHAnsi"/>
          <w:bCs/>
          <w:color w:val="3C3C3C"/>
          <w:szCs w:val="24"/>
          <w:lang w:val="en"/>
        </w:rPr>
        <w:t xml:space="preserve">).  The Member’s current Service/Treatment Plan and the Personal Plan Update Form replace the Person-Centered Plan (PCP) in those protocols. For more information please contact the Clinical Review Team </w:t>
      </w:r>
      <w:r w:rsidR="00C73165" w:rsidRPr="00C73165">
        <w:rPr>
          <w:rFonts w:asciiTheme="minorHAnsi" w:hAnsiTheme="minorHAnsi" w:cstheme="minorHAnsi"/>
          <w:bCs/>
          <w:color w:val="3C3C3C"/>
          <w:szCs w:val="24"/>
          <w:lang w:val="en"/>
        </w:rPr>
        <w:t xml:space="preserve">at </w:t>
      </w:r>
      <w:hyperlink r:id="rId15" w:history="1">
        <w:r w:rsidR="00C73165" w:rsidRPr="00C73165">
          <w:rPr>
            <w:rStyle w:val="Hyperlink"/>
            <w:rFonts w:asciiTheme="minorHAnsi" w:hAnsiTheme="minorHAnsi" w:cstheme="minorHAnsi"/>
            <w:szCs w:val="24"/>
          </w:rPr>
          <w:t>CRT-OADS.DHHS@maine.gov</w:t>
        </w:r>
      </w:hyperlink>
      <w:r w:rsidR="00C73165">
        <w:rPr>
          <w:rStyle w:val="Hyperlink"/>
          <w:rFonts w:asciiTheme="minorHAnsi" w:hAnsiTheme="minorHAnsi" w:cstheme="minorHAnsi"/>
          <w:szCs w:val="24"/>
          <w:u w:val="none"/>
        </w:rPr>
        <w:t>.</w:t>
      </w:r>
    </w:p>
    <w:p w:rsidR="00427468" w:rsidRPr="00C73165" w:rsidRDefault="00427468" w:rsidP="0042746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</w:p>
    <w:p w:rsidR="00427468" w:rsidRDefault="00427468" w:rsidP="0042746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Cs w:val="24"/>
        </w:rPr>
      </w:pPr>
    </w:p>
    <w:sectPr w:rsidR="00427468" w:rsidSect="00427468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68" w:rsidRDefault="00427468" w:rsidP="00263AA1">
      <w:r>
        <w:separator/>
      </w:r>
    </w:p>
  </w:endnote>
  <w:endnote w:type="continuationSeparator" w:id="0">
    <w:p w:rsidR="00427468" w:rsidRDefault="00427468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68" w:rsidRPr="00F20073" w:rsidRDefault="00427468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68" w:rsidRDefault="00427468" w:rsidP="00263AA1">
      <w:r>
        <w:separator/>
      </w:r>
    </w:p>
  </w:footnote>
  <w:footnote w:type="continuationSeparator" w:id="0">
    <w:p w:rsidR="00427468" w:rsidRDefault="00427468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68" w:rsidRDefault="00427468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468" w:rsidRPr="00107676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427468" w:rsidRPr="00107676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427468" w:rsidRPr="00107676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427468" w:rsidRPr="00107676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427468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427468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427468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427468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427468" w:rsidRPr="0013585E" w:rsidRDefault="0042746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27468" w:rsidRPr="0001689D" w:rsidRDefault="00427468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27468" w:rsidRPr="00287C76" w:rsidRDefault="00427468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427468" w:rsidRPr="00107676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427468" w:rsidRPr="00107676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427468" w:rsidRPr="00107676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427468" w:rsidRPr="00107676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427468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427468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427468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427468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427468" w:rsidRPr="0013585E" w:rsidRDefault="0042746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27468" w:rsidRPr="0001689D" w:rsidRDefault="00427468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427468" w:rsidRPr="00287C76" w:rsidRDefault="00427468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468" w:rsidRPr="00287C76" w:rsidRDefault="00427468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427468" w:rsidRPr="00287C76" w:rsidRDefault="00427468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427468" w:rsidRPr="00287C76" w:rsidRDefault="00427468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427468" w:rsidRPr="00287C76" w:rsidRDefault="00427468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427468" w:rsidRPr="00287C76" w:rsidRDefault="00427468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427468" w:rsidRPr="00287C76" w:rsidRDefault="00427468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468" w:rsidRPr="00287C76" w:rsidRDefault="00427468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427468" w:rsidRPr="00287C76" w:rsidRDefault="00427468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427468" w:rsidRDefault="00427468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427468" w:rsidRPr="00287C76" w:rsidRDefault="00427468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427468" w:rsidRPr="00287C76" w:rsidRDefault="00427468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427468" w:rsidRDefault="00427468" w:rsidP="00F61805"/>
                </w:txbxContent>
              </v:textbox>
              <w10:wrap type="square" anchorx="margin"/>
            </v:shape>
          </w:pict>
        </mc:Fallback>
      </mc:AlternateContent>
    </w:r>
  </w:p>
  <w:p w:rsidR="00427468" w:rsidRDefault="00427468" w:rsidP="0013585E">
    <w:pPr>
      <w:jc w:val="right"/>
      <w:rPr>
        <w:sz w:val="18"/>
        <w:szCs w:val="18"/>
      </w:rPr>
    </w:pPr>
  </w:p>
  <w:p w:rsidR="00427468" w:rsidRDefault="00427468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68" w:rsidRDefault="00427468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01F43662"/>
    <w:lvl w:ilvl="0" w:tplc="94A28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247B0"/>
    <w:rsid w:val="00387A76"/>
    <w:rsid w:val="0039381B"/>
    <w:rsid w:val="0042095D"/>
    <w:rsid w:val="00425186"/>
    <w:rsid w:val="00427468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25EFF"/>
    <w:rsid w:val="007372BB"/>
    <w:rsid w:val="0075217C"/>
    <w:rsid w:val="0076607E"/>
    <w:rsid w:val="0079011C"/>
    <w:rsid w:val="007B6AB2"/>
    <w:rsid w:val="00853B30"/>
    <w:rsid w:val="008735F3"/>
    <w:rsid w:val="008A6029"/>
    <w:rsid w:val="008A6D5E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73165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  <w:rsid w:val="00F7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F733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ine.gov/dhhs/oads/provider/developmental-services/documents/Authorization%20Request%20Form%20(Word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ine.gov/dhhs/sites/maine.gov.dhhs/files/documents/Personal-Plan-Update-for-Children's-and-Mental-Health-Case-Management%202.12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dhhs/sites/maine.gov.dhhs/files/documents/Service-Proposal-Request-Form%202.1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RT-OADS.DHHS@maine.gov" TargetMode="External"/><Relationship Id="rId10" Type="http://schemas.openxmlformats.org/officeDocument/2006/relationships/hyperlink" Target="mailto:ResourceCoordinator-OADS@maine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ine.gov/dhhs/sites/maine.gov.dhhs/files/documents/Vendor-Call-Form%203.4.docx" TargetMode="External"/><Relationship Id="rId14" Type="http://schemas.openxmlformats.org/officeDocument/2006/relationships/hyperlink" Target="https://www.maine.gov/dhhs/oads/providers/adults-with-intellectual-disability-and-auti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B365-0F03-4B31-8DC2-43DF439D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Benson, Donna</cp:lastModifiedBy>
  <cp:revision>3</cp:revision>
  <cp:lastPrinted>2018-12-04T16:43:00Z</cp:lastPrinted>
  <dcterms:created xsi:type="dcterms:W3CDTF">2020-09-04T18:19:00Z</dcterms:created>
  <dcterms:modified xsi:type="dcterms:W3CDTF">2020-09-04T18:36:00Z</dcterms:modified>
</cp:coreProperties>
</file>