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B81E36" w:rsidRPr="00A354D1" w:rsidRDefault="00B81E36" w:rsidP="00B81E36">
      <w:pPr>
        <w:overflowPunct w:val="0"/>
        <w:autoSpaceDE w:val="0"/>
        <w:autoSpaceDN w:val="0"/>
        <w:adjustRightInd w:val="0"/>
        <w:jc w:val="center"/>
        <w:textAlignment w:val="baseline"/>
        <w:rPr>
          <w:rFonts w:ascii="Arial" w:hAnsi="Arial" w:cs="Arial"/>
          <w:b/>
          <w:sz w:val="28"/>
          <w:szCs w:val="28"/>
          <w:u w:val="single"/>
        </w:rPr>
      </w:pPr>
      <w:r w:rsidRPr="00A354D1">
        <w:rPr>
          <w:rFonts w:ascii="Arial" w:hAnsi="Arial" w:cs="Arial"/>
          <w:b/>
          <w:sz w:val="28"/>
          <w:szCs w:val="28"/>
          <w:u w:val="single"/>
        </w:rPr>
        <w:t>Accepting and Decli</w:t>
      </w:r>
      <w:r w:rsidR="000A7262">
        <w:rPr>
          <w:rFonts w:ascii="Arial" w:hAnsi="Arial" w:cs="Arial"/>
          <w:b/>
          <w:sz w:val="28"/>
          <w:szCs w:val="28"/>
          <w:u w:val="single"/>
        </w:rPr>
        <w:t>ni</w:t>
      </w:r>
      <w:r w:rsidRPr="00A354D1">
        <w:rPr>
          <w:rFonts w:ascii="Arial" w:hAnsi="Arial" w:cs="Arial"/>
          <w:b/>
          <w:sz w:val="28"/>
          <w:szCs w:val="28"/>
          <w:u w:val="single"/>
        </w:rPr>
        <w:t>ng</w:t>
      </w:r>
      <w:r w:rsidR="000A7262">
        <w:rPr>
          <w:rFonts w:ascii="Arial" w:hAnsi="Arial" w:cs="Arial"/>
          <w:b/>
          <w:sz w:val="28"/>
          <w:szCs w:val="28"/>
          <w:u w:val="single"/>
        </w:rPr>
        <w:t xml:space="preserve"> a</w:t>
      </w:r>
      <w:r w:rsidRPr="00A354D1">
        <w:rPr>
          <w:rFonts w:ascii="Arial" w:hAnsi="Arial" w:cs="Arial"/>
          <w:b/>
          <w:sz w:val="28"/>
          <w:szCs w:val="28"/>
          <w:u w:val="single"/>
        </w:rPr>
        <w:t xml:space="preserve"> Section 21 and/or S29 </w:t>
      </w:r>
      <w:r w:rsidR="00221BBB">
        <w:rPr>
          <w:rFonts w:ascii="Arial" w:hAnsi="Arial" w:cs="Arial"/>
          <w:b/>
          <w:sz w:val="28"/>
          <w:szCs w:val="28"/>
          <w:u w:val="single"/>
        </w:rPr>
        <w:t>Offer</w:t>
      </w:r>
    </w:p>
    <w:p w:rsidR="00B81E36" w:rsidRPr="00B81E36" w:rsidRDefault="00B81E36" w:rsidP="00B81E36">
      <w:pPr>
        <w:overflowPunct w:val="0"/>
        <w:autoSpaceDE w:val="0"/>
        <w:autoSpaceDN w:val="0"/>
        <w:adjustRightInd w:val="0"/>
        <w:jc w:val="center"/>
        <w:textAlignment w:val="baseline"/>
        <w:rPr>
          <w:rFonts w:ascii="Arial" w:hAnsi="Arial" w:cs="Arial"/>
          <w:b/>
          <w:sz w:val="28"/>
          <w:szCs w:val="24"/>
          <w:u w:val="single"/>
        </w:rPr>
      </w:pPr>
    </w:p>
    <w:p w:rsidR="00B81E36" w:rsidRDefault="00B81E36" w:rsidP="00B81E36">
      <w:pPr>
        <w:numPr>
          <w:ilvl w:val="0"/>
          <w:numId w:val="19"/>
        </w:numPr>
        <w:overflowPunct w:val="0"/>
        <w:autoSpaceDE w:val="0"/>
        <w:autoSpaceDN w:val="0"/>
        <w:adjustRightInd w:val="0"/>
        <w:contextualSpacing/>
        <w:textAlignment w:val="baseline"/>
        <w:rPr>
          <w:rFonts w:ascii="Arial" w:hAnsi="Arial" w:cs="Arial"/>
          <w:szCs w:val="24"/>
        </w:rPr>
      </w:pPr>
      <w:r w:rsidRPr="00B81E36">
        <w:rPr>
          <w:rFonts w:ascii="Arial" w:hAnsi="Arial" w:cs="Arial"/>
          <w:szCs w:val="24"/>
        </w:rPr>
        <w:t xml:space="preserve">The Member and/or Guardian </w:t>
      </w:r>
      <w:r w:rsidR="000A7262">
        <w:rPr>
          <w:rFonts w:ascii="Arial" w:hAnsi="Arial" w:cs="Arial"/>
          <w:szCs w:val="24"/>
        </w:rPr>
        <w:t>received a letter from the</w:t>
      </w:r>
      <w:r w:rsidRPr="00B81E36">
        <w:rPr>
          <w:rFonts w:ascii="Arial" w:hAnsi="Arial" w:cs="Arial"/>
          <w:szCs w:val="24"/>
        </w:rPr>
        <w:t xml:space="preserve"> Waiver </w:t>
      </w:r>
      <w:r w:rsidR="00EB18C0">
        <w:rPr>
          <w:rFonts w:ascii="Arial" w:hAnsi="Arial" w:cs="Arial"/>
          <w:szCs w:val="24"/>
        </w:rPr>
        <w:t>Specialist</w:t>
      </w:r>
      <w:r w:rsidRPr="00B81E36">
        <w:rPr>
          <w:rFonts w:ascii="Arial" w:hAnsi="Arial" w:cs="Arial"/>
          <w:szCs w:val="24"/>
        </w:rPr>
        <w:t xml:space="preserve"> by certified mail that </w:t>
      </w:r>
      <w:r w:rsidR="000A7262">
        <w:rPr>
          <w:rFonts w:ascii="Arial" w:hAnsi="Arial" w:cs="Arial"/>
          <w:szCs w:val="24"/>
        </w:rPr>
        <w:t xml:space="preserve">tell them </w:t>
      </w:r>
      <w:r w:rsidRPr="00B81E36">
        <w:rPr>
          <w:rFonts w:ascii="Arial" w:hAnsi="Arial" w:cs="Arial"/>
          <w:szCs w:val="24"/>
        </w:rPr>
        <w:t xml:space="preserve">a funded opening </w:t>
      </w:r>
      <w:r w:rsidR="000A7262">
        <w:rPr>
          <w:rFonts w:ascii="Arial" w:hAnsi="Arial" w:cs="Arial"/>
          <w:szCs w:val="24"/>
        </w:rPr>
        <w:t>for Section 21 or Section 21</w:t>
      </w:r>
      <w:r w:rsidRPr="00B81E36">
        <w:rPr>
          <w:rFonts w:ascii="Arial" w:hAnsi="Arial" w:cs="Arial"/>
          <w:szCs w:val="24"/>
        </w:rPr>
        <w:t xml:space="preserve"> waiver program is available. </w:t>
      </w:r>
    </w:p>
    <w:p w:rsidR="00355D99" w:rsidRDefault="00355D99" w:rsidP="00355D99">
      <w:pPr>
        <w:overflowPunct w:val="0"/>
        <w:autoSpaceDE w:val="0"/>
        <w:autoSpaceDN w:val="0"/>
        <w:adjustRightInd w:val="0"/>
        <w:ind w:left="720"/>
        <w:contextualSpacing/>
        <w:textAlignment w:val="baseline"/>
        <w:rPr>
          <w:rFonts w:ascii="Arial" w:hAnsi="Arial" w:cs="Arial"/>
          <w:szCs w:val="24"/>
        </w:rPr>
      </w:pPr>
      <w:bookmarkStart w:id="0" w:name="_GoBack"/>
      <w:bookmarkEnd w:id="0"/>
    </w:p>
    <w:p w:rsidR="000A7262" w:rsidRPr="00B81E36" w:rsidRDefault="000A7262" w:rsidP="00B81E36">
      <w:pPr>
        <w:numPr>
          <w:ilvl w:val="0"/>
          <w:numId w:val="19"/>
        </w:numPr>
        <w:overflowPunct w:val="0"/>
        <w:autoSpaceDE w:val="0"/>
        <w:autoSpaceDN w:val="0"/>
        <w:adjustRightInd w:val="0"/>
        <w:contextualSpacing/>
        <w:textAlignment w:val="baseline"/>
        <w:rPr>
          <w:rFonts w:ascii="Arial" w:hAnsi="Arial" w:cs="Arial"/>
          <w:szCs w:val="24"/>
        </w:rPr>
      </w:pPr>
      <w:r>
        <w:rPr>
          <w:rFonts w:ascii="Arial" w:hAnsi="Arial" w:cs="Arial"/>
          <w:szCs w:val="24"/>
        </w:rPr>
        <w:t xml:space="preserve">When a Member is offered a funded slot, they are removed from the Waiting List. If they accept the </w:t>
      </w:r>
      <w:proofErr w:type="gramStart"/>
      <w:r>
        <w:rPr>
          <w:rFonts w:ascii="Arial" w:hAnsi="Arial" w:cs="Arial"/>
          <w:szCs w:val="24"/>
        </w:rPr>
        <w:t>offer</w:t>
      </w:r>
      <w:proofErr w:type="gramEnd"/>
      <w:r>
        <w:rPr>
          <w:rFonts w:ascii="Arial" w:hAnsi="Arial" w:cs="Arial"/>
          <w:szCs w:val="24"/>
        </w:rPr>
        <w:t xml:space="preserve"> they can change their mind later and decline it. But if they decline the offer and later change their mind, they </w:t>
      </w:r>
      <w:proofErr w:type="gramStart"/>
      <w:r>
        <w:rPr>
          <w:rFonts w:ascii="Arial" w:hAnsi="Arial" w:cs="Arial"/>
          <w:szCs w:val="24"/>
        </w:rPr>
        <w:t>have to</w:t>
      </w:r>
      <w:proofErr w:type="gramEnd"/>
      <w:r>
        <w:rPr>
          <w:rFonts w:ascii="Arial" w:hAnsi="Arial" w:cs="Arial"/>
          <w:szCs w:val="24"/>
        </w:rPr>
        <w:t xml:space="preserve"> reapply and will probably go back on the Waiting List. Even if they were offered Section 21, there is no guarantee it will get another offer again soon.</w:t>
      </w:r>
    </w:p>
    <w:p w:rsidR="00B81E36" w:rsidRPr="00B81E36" w:rsidRDefault="00B81E36" w:rsidP="00B81E36">
      <w:pPr>
        <w:autoSpaceDE w:val="0"/>
        <w:autoSpaceDN w:val="0"/>
        <w:adjustRightInd w:val="0"/>
        <w:rPr>
          <w:rFonts w:ascii="Calibri" w:eastAsiaTheme="minorHAnsi" w:hAnsi="Calibri" w:cs="Calibri"/>
          <w:sz w:val="22"/>
          <w:szCs w:val="22"/>
        </w:rPr>
      </w:pPr>
    </w:p>
    <w:p w:rsidR="00B81E36" w:rsidRPr="00A354D1" w:rsidRDefault="00B81E36" w:rsidP="00B81E36">
      <w:pPr>
        <w:overflowPunct w:val="0"/>
        <w:autoSpaceDE w:val="0"/>
        <w:autoSpaceDN w:val="0"/>
        <w:adjustRightInd w:val="0"/>
        <w:jc w:val="center"/>
        <w:textAlignment w:val="baseline"/>
        <w:rPr>
          <w:rFonts w:ascii="Arial" w:hAnsi="Arial" w:cs="Arial"/>
          <w:b/>
          <w:szCs w:val="24"/>
          <w:u w:val="single"/>
        </w:rPr>
      </w:pPr>
      <w:r w:rsidRPr="00A354D1">
        <w:rPr>
          <w:rFonts w:ascii="Arial" w:hAnsi="Arial" w:cs="Arial"/>
          <w:b/>
          <w:szCs w:val="24"/>
          <w:u w:val="single"/>
        </w:rPr>
        <w:t>Accepting an Offer</w:t>
      </w:r>
    </w:p>
    <w:p w:rsidR="00B81E36" w:rsidRPr="00B81E36" w:rsidRDefault="00B81E36" w:rsidP="00B81E36">
      <w:pPr>
        <w:overflowPunct w:val="0"/>
        <w:autoSpaceDE w:val="0"/>
        <w:autoSpaceDN w:val="0"/>
        <w:adjustRightInd w:val="0"/>
        <w:textAlignment w:val="baseline"/>
        <w:rPr>
          <w:rFonts w:ascii="Arial" w:hAnsi="Arial" w:cs="Arial"/>
          <w:b/>
          <w:sz w:val="28"/>
          <w:szCs w:val="24"/>
          <w:u w:val="single"/>
        </w:rPr>
      </w:pPr>
    </w:p>
    <w:p w:rsidR="00B81E36" w:rsidRPr="00B81E36" w:rsidRDefault="00B81E36" w:rsidP="00B81E36">
      <w:pPr>
        <w:overflowPunct w:val="0"/>
        <w:autoSpaceDE w:val="0"/>
        <w:autoSpaceDN w:val="0"/>
        <w:adjustRightInd w:val="0"/>
        <w:jc w:val="center"/>
        <w:textAlignment w:val="baseline"/>
        <w:rPr>
          <w:rFonts w:ascii="Arial" w:hAnsi="Arial" w:cs="Arial"/>
          <w:szCs w:val="24"/>
        </w:rPr>
      </w:pPr>
      <w:r w:rsidRPr="00B81E36">
        <w:rPr>
          <w:rFonts w:ascii="Arial" w:hAnsi="Arial" w:cs="Arial"/>
          <w:szCs w:val="24"/>
        </w:rPr>
        <w:t xml:space="preserve">If the Member and/or Guardian chooses to </w:t>
      </w:r>
      <w:r w:rsidRPr="00B81E36">
        <w:rPr>
          <w:rFonts w:ascii="Arial" w:hAnsi="Arial" w:cs="Arial"/>
          <w:b/>
          <w:szCs w:val="24"/>
        </w:rPr>
        <w:t xml:space="preserve">Accept </w:t>
      </w:r>
      <w:r w:rsidRPr="00B81E36">
        <w:rPr>
          <w:rFonts w:ascii="Arial" w:hAnsi="Arial" w:cs="Arial"/>
          <w:szCs w:val="24"/>
        </w:rPr>
        <w:t>Waiver Funding</w:t>
      </w:r>
    </w:p>
    <w:p w:rsidR="00B81E36" w:rsidRPr="00B81E36" w:rsidRDefault="00B81E36" w:rsidP="00B81E36">
      <w:pPr>
        <w:overflowPunct w:val="0"/>
        <w:autoSpaceDE w:val="0"/>
        <w:autoSpaceDN w:val="0"/>
        <w:adjustRightInd w:val="0"/>
        <w:jc w:val="center"/>
        <w:textAlignment w:val="baseline"/>
        <w:rPr>
          <w:rFonts w:ascii="Arial" w:hAnsi="Arial" w:cs="Arial"/>
          <w:b/>
          <w:sz w:val="28"/>
          <w:szCs w:val="24"/>
          <w:u w:val="single"/>
        </w:rPr>
      </w:pPr>
    </w:p>
    <w:p w:rsidR="00B81E36" w:rsidRPr="00A354D1" w:rsidRDefault="00B81E36" w:rsidP="00B81E36">
      <w:pPr>
        <w:numPr>
          <w:ilvl w:val="0"/>
          <w:numId w:val="20"/>
        </w:numPr>
        <w:overflowPunct w:val="0"/>
        <w:autoSpaceDE w:val="0"/>
        <w:autoSpaceDN w:val="0"/>
        <w:adjustRightInd w:val="0"/>
        <w:contextualSpacing/>
        <w:textAlignment w:val="baseline"/>
        <w:rPr>
          <w:rFonts w:ascii="Arial" w:hAnsi="Arial" w:cs="Arial"/>
          <w:szCs w:val="24"/>
        </w:rPr>
      </w:pPr>
      <w:r w:rsidRPr="00B81E36">
        <w:rPr>
          <w:rFonts w:ascii="Arial" w:hAnsi="Arial" w:cs="Arial"/>
          <w:szCs w:val="24"/>
        </w:rPr>
        <w:t>The Case Manager documents in the Electronic Information System</w:t>
      </w:r>
      <w:r w:rsidR="00EB18C0">
        <w:rPr>
          <w:rFonts w:ascii="Arial" w:hAnsi="Arial" w:cs="Arial"/>
          <w:szCs w:val="24"/>
        </w:rPr>
        <w:t xml:space="preserve"> </w:t>
      </w:r>
      <w:r w:rsidRPr="00B81E36">
        <w:rPr>
          <w:rFonts w:ascii="Arial" w:hAnsi="Arial" w:cs="Arial"/>
          <w:szCs w:val="24"/>
        </w:rPr>
        <w:t>(EIS) the acceptance of the waiver, as a General Note with the Subject:</w:t>
      </w:r>
      <w:r w:rsidRPr="00B81E36">
        <w:rPr>
          <w:rFonts w:ascii="Arial" w:hAnsi="Arial" w:cs="Arial"/>
          <w:b/>
          <w:szCs w:val="24"/>
        </w:rPr>
        <w:t xml:space="preserve"> Accepting Waiver funding Section 21 and/or Section 29. (Not Applicable to M</w:t>
      </w:r>
      <w:r w:rsidR="00EB18C0">
        <w:rPr>
          <w:rFonts w:ascii="Arial" w:hAnsi="Arial" w:cs="Arial"/>
          <w:b/>
          <w:szCs w:val="24"/>
        </w:rPr>
        <w:t xml:space="preserve">ental </w:t>
      </w:r>
      <w:r w:rsidRPr="00B81E36">
        <w:rPr>
          <w:rFonts w:ascii="Arial" w:hAnsi="Arial" w:cs="Arial"/>
          <w:b/>
          <w:szCs w:val="24"/>
        </w:rPr>
        <w:t>H</w:t>
      </w:r>
      <w:r w:rsidR="00EB18C0">
        <w:rPr>
          <w:rFonts w:ascii="Arial" w:hAnsi="Arial" w:cs="Arial"/>
          <w:b/>
          <w:szCs w:val="24"/>
        </w:rPr>
        <w:t>ealth</w:t>
      </w:r>
      <w:r w:rsidRPr="00B81E36">
        <w:rPr>
          <w:rFonts w:ascii="Arial" w:hAnsi="Arial" w:cs="Arial"/>
          <w:b/>
          <w:szCs w:val="24"/>
        </w:rPr>
        <w:t xml:space="preserve"> or Children</w:t>
      </w:r>
      <w:r w:rsidR="00EB18C0">
        <w:rPr>
          <w:rFonts w:ascii="Arial" w:hAnsi="Arial" w:cs="Arial"/>
          <w:b/>
          <w:szCs w:val="24"/>
        </w:rPr>
        <w:t>’</w:t>
      </w:r>
      <w:r w:rsidRPr="00B81E36">
        <w:rPr>
          <w:rFonts w:ascii="Arial" w:hAnsi="Arial" w:cs="Arial"/>
          <w:b/>
          <w:szCs w:val="24"/>
        </w:rPr>
        <w:t>s Case Managers)</w:t>
      </w:r>
    </w:p>
    <w:p w:rsidR="00A354D1" w:rsidRPr="00B81E36" w:rsidRDefault="00A354D1" w:rsidP="00A354D1">
      <w:pPr>
        <w:overflowPunct w:val="0"/>
        <w:autoSpaceDE w:val="0"/>
        <w:autoSpaceDN w:val="0"/>
        <w:adjustRightInd w:val="0"/>
        <w:ind w:left="720"/>
        <w:contextualSpacing/>
        <w:textAlignment w:val="baseline"/>
        <w:rPr>
          <w:rFonts w:ascii="Arial" w:hAnsi="Arial" w:cs="Arial"/>
          <w:szCs w:val="24"/>
        </w:rPr>
      </w:pPr>
    </w:p>
    <w:p w:rsidR="00B81E36" w:rsidRPr="00B81E36" w:rsidRDefault="00B81E36" w:rsidP="00B81E36">
      <w:pPr>
        <w:numPr>
          <w:ilvl w:val="0"/>
          <w:numId w:val="20"/>
        </w:numPr>
        <w:overflowPunct w:val="0"/>
        <w:autoSpaceDE w:val="0"/>
        <w:autoSpaceDN w:val="0"/>
        <w:adjustRightInd w:val="0"/>
        <w:contextualSpacing/>
        <w:textAlignment w:val="baseline"/>
        <w:rPr>
          <w:rFonts w:ascii="Arial" w:hAnsi="Arial" w:cs="Arial"/>
          <w:b/>
          <w:szCs w:val="24"/>
        </w:rPr>
      </w:pPr>
      <w:r w:rsidRPr="00B81E36">
        <w:rPr>
          <w:rFonts w:ascii="Arial" w:hAnsi="Arial" w:cs="Arial"/>
          <w:szCs w:val="24"/>
        </w:rPr>
        <w:t xml:space="preserve">The Case Manager notifies the </w:t>
      </w:r>
      <w:hyperlink r:id="rId9" w:history="1">
        <w:r w:rsidR="00EB18C0" w:rsidRPr="00EB18C0">
          <w:rPr>
            <w:rStyle w:val="Hyperlink"/>
            <w:rFonts w:ascii="Arial" w:hAnsi="Arial" w:cs="Arial"/>
            <w:szCs w:val="24"/>
          </w:rPr>
          <w:t>Waiver Specialis</w:t>
        </w:r>
      </w:hyperlink>
      <w:r w:rsidR="00EB18C0">
        <w:rPr>
          <w:rFonts w:ascii="Arial" w:hAnsi="Arial" w:cs="Arial"/>
          <w:color w:val="0000FF" w:themeColor="hyperlink"/>
          <w:szCs w:val="24"/>
          <w:u w:val="single"/>
        </w:rPr>
        <w:t>t</w:t>
      </w:r>
      <w:r w:rsidRPr="00B81E36">
        <w:rPr>
          <w:rFonts w:ascii="Arial" w:hAnsi="Arial" w:cs="Arial"/>
          <w:szCs w:val="24"/>
        </w:rPr>
        <w:t xml:space="preserve"> by</w:t>
      </w:r>
      <w:r w:rsidRPr="00B81E36">
        <w:rPr>
          <w:rFonts w:ascii="Arial" w:hAnsi="Arial" w:cs="Arial"/>
          <w:b/>
          <w:szCs w:val="24"/>
        </w:rPr>
        <w:t xml:space="preserve"> Email.</w:t>
      </w:r>
    </w:p>
    <w:p w:rsidR="00B81E36" w:rsidRPr="00B81E36" w:rsidRDefault="00B81E36" w:rsidP="00B81E36">
      <w:pPr>
        <w:overflowPunct w:val="0"/>
        <w:autoSpaceDE w:val="0"/>
        <w:autoSpaceDN w:val="0"/>
        <w:adjustRightInd w:val="0"/>
        <w:ind w:left="360"/>
        <w:contextualSpacing/>
        <w:textAlignment w:val="baseline"/>
        <w:rPr>
          <w:rFonts w:ascii="Arial" w:hAnsi="Arial" w:cs="Arial"/>
          <w:b/>
          <w:szCs w:val="24"/>
        </w:rPr>
      </w:pPr>
    </w:p>
    <w:p w:rsidR="00B81E36" w:rsidRPr="00B81E36" w:rsidRDefault="00B81E36" w:rsidP="00B81E36">
      <w:pPr>
        <w:overflowPunct w:val="0"/>
        <w:autoSpaceDE w:val="0"/>
        <w:autoSpaceDN w:val="0"/>
        <w:adjustRightInd w:val="0"/>
        <w:ind w:left="360"/>
        <w:contextualSpacing/>
        <w:textAlignment w:val="baseline"/>
        <w:rPr>
          <w:rFonts w:ascii="Arial" w:hAnsi="Arial" w:cs="Arial"/>
          <w:b/>
          <w:szCs w:val="24"/>
        </w:rPr>
      </w:pPr>
    </w:p>
    <w:p w:rsidR="00B81E36" w:rsidRPr="00A354D1" w:rsidRDefault="00B81E36" w:rsidP="00B81E36">
      <w:pPr>
        <w:overflowPunct w:val="0"/>
        <w:autoSpaceDE w:val="0"/>
        <w:autoSpaceDN w:val="0"/>
        <w:adjustRightInd w:val="0"/>
        <w:ind w:left="360"/>
        <w:jc w:val="center"/>
        <w:textAlignment w:val="baseline"/>
        <w:rPr>
          <w:rFonts w:ascii="Arial" w:hAnsi="Arial" w:cs="Arial"/>
          <w:b/>
          <w:szCs w:val="24"/>
          <w:u w:val="single"/>
        </w:rPr>
      </w:pPr>
      <w:r w:rsidRPr="00A354D1">
        <w:rPr>
          <w:rFonts w:ascii="Arial" w:hAnsi="Arial" w:cs="Arial"/>
          <w:b/>
          <w:szCs w:val="24"/>
          <w:u w:val="single"/>
        </w:rPr>
        <w:t>Declining an Offer</w:t>
      </w:r>
    </w:p>
    <w:p w:rsidR="00B81E36" w:rsidRPr="00B81E36" w:rsidRDefault="00B81E36" w:rsidP="00B81E36">
      <w:pPr>
        <w:overflowPunct w:val="0"/>
        <w:autoSpaceDE w:val="0"/>
        <w:autoSpaceDN w:val="0"/>
        <w:adjustRightInd w:val="0"/>
        <w:ind w:left="360"/>
        <w:jc w:val="center"/>
        <w:textAlignment w:val="baseline"/>
        <w:rPr>
          <w:rFonts w:ascii="Arial" w:hAnsi="Arial" w:cs="Arial"/>
          <w:b/>
          <w:sz w:val="28"/>
          <w:szCs w:val="24"/>
          <w:u w:val="single"/>
        </w:rPr>
      </w:pPr>
    </w:p>
    <w:p w:rsidR="00B81E36" w:rsidRPr="00B81E36" w:rsidRDefault="00B81E36" w:rsidP="00B81E36">
      <w:pPr>
        <w:overflowPunct w:val="0"/>
        <w:autoSpaceDE w:val="0"/>
        <w:autoSpaceDN w:val="0"/>
        <w:adjustRightInd w:val="0"/>
        <w:ind w:left="360"/>
        <w:jc w:val="center"/>
        <w:textAlignment w:val="baseline"/>
        <w:rPr>
          <w:rFonts w:ascii="Arial" w:hAnsi="Arial" w:cs="Arial"/>
          <w:szCs w:val="24"/>
        </w:rPr>
      </w:pPr>
      <w:r w:rsidRPr="00B81E36">
        <w:rPr>
          <w:rFonts w:ascii="Arial" w:hAnsi="Arial" w:cs="Arial"/>
          <w:szCs w:val="24"/>
        </w:rPr>
        <w:t xml:space="preserve">If the Member and/or Guardian chooses to </w:t>
      </w:r>
      <w:r w:rsidRPr="00B81E36">
        <w:rPr>
          <w:rFonts w:ascii="Arial" w:hAnsi="Arial" w:cs="Arial"/>
          <w:b/>
          <w:szCs w:val="24"/>
        </w:rPr>
        <w:t>Decline</w:t>
      </w:r>
      <w:r w:rsidRPr="00B81E36">
        <w:rPr>
          <w:rFonts w:ascii="Arial" w:hAnsi="Arial" w:cs="Arial"/>
          <w:szCs w:val="24"/>
        </w:rPr>
        <w:t xml:space="preserve"> Waiver Funding</w:t>
      </w:r>
    </w:p>
    <w:p w:rsidR="00B81E36" w:rsidRPr="00B81E36" w:rsidRDefault="00B81E36" w:rsidP="00B81E36">
      <w:pPr>
        <w:overflowPunct w:val="0"/>
        <w:autoSpaceDE w:val="0"/>
        <w:autoSpaceDN w:val="0"/>
        <w:adjustRightInd w:val="0"/>
        <w:ind w:left="360"/>
        <w:jc w:val="center"/>
        <w:textAlignment w:val="baseline"/>
        <w:rPr>
          <w:rFonts w:ascii="Arial" w:hAnsi="Arial" w:cs="Arial"/>
          <w:szCs w:val="24"/>
        </w:rPr>
      </w:pPr>
    </w:p>
    <w:p w:rsidR="000A7262" w:rsidRPr="000A7262" w:rsidRDefault="00B81E36" w:rsidP="000A7262">
      <w:pPr>
        <w:numPr>
          <w:ilvl w:val="0"/>
          <w:numId w:val="18"/>
        </w:numPr>
        <w:overflowPunct w:val="0"/>
        <w:autoSpaceDE w:val="0"/>
        <w:autoSpaceDN w:val="0"/>
        <w:adjustRightInd w:val="0"/>
        <w:ind w:left="720"/>
        <w:contextualSpacing/>
        <w:textAlignment w:val="baseline"/>
        <w:rPr>
          <w:rFonts w:ascii="Arial" w:hAnsi="Arial" w:cs="Arial"/>
          <w:b/>
          <w:szCs w:val="24"/>
        </w:rPr>
      </w:pPr>
      <w:r w:rsidRPr="00B81E36">
        <w:rPr>
          <w:rFonts w:ascii="Arial" w:hAnsi="Arial" w:cs="Arial"/>
          <w:szCs w:val="24"/>
        </w:rPr>
        <w:t>The Case Manager discusses with the Member and/or Guardian the pros and cons regarding declin</w:t>
      </w:r>
      <w:r w:rsidR="00EB18C0">
        <w:rPr>
          <w:rFonts w:ascii="Arial" w:hAnsi="Arial" w:cs="Arial"/>
          <w:szCs w:val="24"/>
        </w:rPr>
        <w:t>ing</w:t>
      </w:r>
      <w:r w:rsidRPr="00B81E36">
        <w:rPr>
          <w:rFonts w:ascii="Arial" w:hAnsi="Arial" w:cs="Arial"/>
          <w:szCs w:val="24"/>
        </w:rPr>
        <w:t xml:space="preserve"> waiver services</w:t>
      </w:r>
      <w:r w:rsidR="000A7262">
        <w:rPr>
          <w:rFonts w:ascii="Arial" w:hAnsi="Arial" w:cs="Arial"/>
          <w:szCs w:val="24"/>
        </w:rPr>
        <w:t>.</w:t>
      </w:r>
    </w:p>
    <w:p w:rsidR="000A7262" w:rsidRPr="000A7262" w:rsidRDefault="000A7262" w:rsidP="000A7262">
      <w:pPr>
        <w:overflowPunct w:val="0"/>
        <w:autoSpaceDE w:val="0"/>
        <w:autoSpaceDN w:val="0"/>
        <w:adjustRightInd w:val="0"/>
        <w:ind w:left="720"/>
        <w:contextualSpacing/>
        <w:textAlignment w:val="baseline"/>
        <w:rPr>
          <w:rFonts w:ascii="Arial" w:hAnsi="Arial" w:cs="Arial"/>
          <w:b/>
          <w:szCs w:val="24"/>
        </w:rPr>
      </w:pPr>
    </w:p>
    <w:p w:rsidR="000A7262" w:rsidRPr="000A7262" w:rsidRDefault="000A7262" w:rsidP="000A7262">
      <w:pPr>
        <w:numPr>
          <w:ilvl w:val="0"/>
          <w:numId w:val="18"/>
        </w:numPr>
        <w:overflowPunct w:val="0"/>
        <w:autoSpaceDE w:val="0"/>
        <w:autoSpaceDN w:val="0"/>
        <w:adjustRightInd w:val="0"/>
        <w:ind w:left="720"/>
        <w:contextualSpacing/>
        <w:textAlignment w:val="baseline"/>
        <w:rPr>
          <w:rFonts w:ascii="Arial" w:hAnsi="Arial" w:cs="Arial"/>
          <w:b/>
          <w:szCs w:val="24"/>
        </w:rPr>
      </w:pPr>
      <w:r>
        <w:rPr>
          <w:rFonts w:ascii="Arial" w:hAnsi="Arial" w:cs="Arial"/>
          <w:szCs w:val="24"/>
        </w:rPr>
        <w:t xml:space="preserve">The Case Manager makes sure the Member and/or Guardian understand the Member is no longer on the Waiting List and if the offer is declined, they will have to reapply and may be back on the Waiting List for some time. </w:t>
      </w:r>
    </w:p>
    <w:p w:rsidR="00A354D1" w:rsidRPr="00B81E36" w:rsidRDefault="00A354D1" w:rsidP="00A354D1">
      <w:pPr>
        <w:overflowPunct w:val="0"/>
        <w:autoSpaceDE w:val="0"/>
        <w:autoSpaceDN w:val="0"/>
        <w:adjustRightInd w:val="0"/>
        <w:ind w:left="720"/>
        <w:contextualSpacing/>
        <w:textAlignment w:val="baseline"/>
        <w:rPr>
          <w:rFonts w:ascii="Arial" w:hAnsi="Arial" w:cs="Arial"/>
          <w:b/>
          <w:szCs w:val="24"/>
        </w:rPr>
      </w:pPr>
    </w:p>
    <w:p w:rsidR="00B81E36" w:rsidRPr="00B81E36" w:rsidRDefault="00B81E36" w:rsidP="00B81E36">
      <w:pPr>
        <w:numPr>
          <w:ilvl w:val="0"/>
          <w:numId w:val="18"/>
        </w:numPr>
        <w:overflowPunct w:val="0"/>
        <w:autoSpaceDE w:val="0"/>
        <w:autoSpaceDN w:val="0"/>
        <w:adjustRightInd w:val="0"/>
        <w:ind w:left="720"/>
        <w:contextualSpacing/>
        <w:textAlignment w:val="baseline"/>
        <w:rPr>
          <w:rFonts w:ascii="Arial" w:hAnsi="Arial" w:cs="Arial"/>
          <w:color w:val="0000FF" w:themeColor="hyperlink"/>
          <w:szCs w:val="24"/>
          <w:u w:val="single"/>
        </w:rPr>
      </w:pPr>
      <w:r w:rsidRPr="00B81E36">
        <w:rPr>
          <w:rFonts w:ascii="Arial" w:hAnsi="Arial" w:cs="Arial"/>
          <w:szCs w:val="24"/>
        </w:rPr>
        <w:t xml:space="preserve">The Case Manager has the Member and/or Guardian complete and sign the </w:t>
      </w:r>
      <w:r w:rsidRPr="00B81E36">
        <w:rPr>
          <w:rFonts w:ascii="Arial" w:hAnsi="Arial" w:cs="Arial"/>
          <w:szCs w:val="24"/>
          <w:lang w:val="en"/>
        </w:rPr>
        <w:fldChar w:fldCharType="begin"/>
      </w:r>
      <w:r w:rsidR="00A354D1">
        <w:rPr>
          <w:rFonts w:ascii="Arial" w:hAnsi="Arial" w:cs="Arial"/>
          <w:szCs w:val="24"/>
          <w:lang w:val="en"/>
        </w:rPr>
        <w:instrText>HYPERLINK "https://www.maine.gov/dhhs/sites/maine.gov.dhhs/files/documents/Declination-Voluntary-Termination-of-Waiver-Services%202.12.docx"</w:instrText>
      </w:r>
      <w:r w:rsidRPr="00B81E36">
        <w:rPr>
          <w:rFonts w:ascii="Arial" w:hAnsi="Arial" w:cs="Arial"/>
          <w:szCs w:val="24"/>
          <w:lang w:val="en"/>
        </w:rPr>
        <w:fldChar w:fldCharType="separate"/>
      </w:r>
      <w:r w:rsidRPr="00B81E36">
        <w:rPr>
          <w:rFonts w:ascii="Arial" w:hAnsi="Arial" w:cs="Arial"/>
          <w:color w:val="0000FF" w:themeColor="hyperlink"/>
          <w:szCs w:val="24"/>
          <w:u w:val="single"/>
          <w:lang w:val="en"/>
        </w:rPr>
        <w:t>Declination-Voluntary Termination of Waiver Services (Word)</w:t>
      </w:r>
      <w:r w:rsidR="00A354D1">
        <w:rPr>
          <w:rFonts w:ascii="Arial" w:hAnsi="Arial" w:cs="Arial"/>
          <w:color w:val="0000FF" w:themeColor="hyperlink"/>
          <w:szCs w:val="24"/>
          <w:u w:val="single"/>
          <w:lang w:val="en"/>
        </w:rPr>
        <w:t>.</w:t>
      </w:r>
      <w:r w:rsidR="000A7262">
        <w:rPr>
          <w:rFonts w:ascii="Arial" w:hAnsi="Arial" w:cs="Arial"/>
          <w:szCs w:val="24"/>
          <w:lang w:val="en"/>
        </w:rPr>
        <w:t xml:space="preserve"> (Please make sure to check the Declination box and include a reason if they are willing to give one.)</w:t>
      </w:r>
    </w:p>
    <w:p w:rsidR="00A354D1" w:rsidRPr="00A354D1" w:rsidRDefault="00B81E36" w:rsidP="00A354D1">
      <w:pPr>
        <w:overflowPunct w:val="0"/>
        <w:autoSpaceDE w:val="0"/>
        <w:autoSpaceDN w:val="0"/>
        <w:adjustRightInd w:val="0"/>
        <w:ind w:left="720"/>
        <w:contextualSpacing/>
        <w:textAlignment w:val="baseline"/>
        <w:rPr>
          <w:rFonts w:ascii="Arial" w:hAnsi="Arial" w:cs="Arial"/>
          <w:szCs w:val="24"/>
        </w:rPr>
      </w:pPr>
      <w:r w:rsidRPr="00B81E36">
        <w:rPr>
          <w:rFonts w:ascii="Arial" w:hAnsi="Arial" w:cs="Arial"/>
          <w:szCs w:val="24"/>
          <w:lang w:val="en"/>
        </w:rPr>
        <w:fldChar w:fldCharType="end"/>
      </w:r>
    </w:p>
    <w:p w:rsidR="00B81E36" w:rsidRPr="00EB18C0" w:rsidRDefault="00B81E36" w:rsidP="00B81E36">
      <w:pPr>
        <w:numPr>
          <w:ilvl w:val="0"/>
          <w:numId w:val="18"/>
        </w:numPr>
        <w:overflowPunct w:val="0"/>
        <w:autoSpaceDE w:val="0"/>
        <w:autoSpaceDN w:val="0"/>
        <w:adjustRightInd w:val="0"/>
        <w:ind w:left="720"/>
        <w:contextualSpacing/>
        <w:textAlignment w:val="baseline"/>
        <w:rPr>
          <w:rFonts w:ascii="Arial" w:hAnsi="Arial" w:cs="Arial"/>
          <w:szCs w:val="24"/>
        </w:rPr>
      </w:pPr>
      <w:r w:rsidRPr="00B81E36">
        <w:rPr>
          <w:rFonts w:ascii="Arial" w:hAnsi="Arial" w:cs="Arial"/>
          <w:szCs w:val="24"/>
        </w:rPr>
        <w:t xml:space="preserve">The Case Manager sends </w:t>
      </w:r>
      <w:r w:rsidR="00A354D1">
        <w:rPr>
          <w:rFonts w:ascii="Arial" w:hAnsi="Arial" w:cs="Arial"/>
          <w:szCs w:val="24"/>
        </w:rPr>
        <w:t xml:space="preserve">a copy of the signed </w:t>
      </w:r>
      <w:hyperlink r:id="rId10" w:history="1">
        <w:r w:rsidRPr="00A354D1">
          <w:rPr>
            <w:rStyle w:val="Hyperlink"/>
            <w:rFonts w:ascii="Arial" w:hAnsi="Arial" w:cs="Arial"/>
            <w:szCs w:val="24"/>
          </w:rPr>
          <w:t>Declination-Voluntary Termination of Waiver Services (Word)</w:t>
        </w:r>
      </w:hyperlink>
      <w:r w:rsidRPr="00B81E36">
        <w:rPr>
          <w:rFonts w:ascii="Arial" w:hAnsi="Arial" w:cs="Arial"/>
          <w:color w:val="0000FF" w:themeColor="hyperlink"/>
          <w:szCs w:val="24"/>
          <w:u w:val="single"/>
        </w:rPr>
        <w:t xml:space="preserve"> </w:t>
      </w:r>
      <w:r w:rsidRPr="00B81E36">
        <w:rPr>
          <w:rFonts w:ascii="Arial" w:hAnsi="Arial" w:cs="Arial"/>
          <w:szCs w:val="24"/>
        </w:rPr>
        <w:t xml:space="preserve">form to the </w:t>
      </w:r>
      <w:hyperlink r:id="rId11" w:history="1">
        <w:r w:rsidR="00EB18C0" w:rsidRPr="00EB18C0">
          <w:rPr>
            <w:rStyle w:val="Hyperlink"/>
            <w:rFonts w:ascii="Arial" w:hAnsi="Arial" w:cs="Arial"/>
          </w:rPr>
          <w:t>Waiver Specialist</w:t>
        </w:r>
      </w:hyperlink>
      <w:r w:rsidR="00EB18C0">
        <w:rPr>
          <w:rFonts w:ascii="Arial" w:hAnsi="Arial" w:cs="Arial"/>
        </w:rPr>
        <w:t xml:space="preserve"> by email.</w:t>
      </w: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8735F3" w:rsidRDefault="008735F3" w:rsidP="00C04CB9">
      <w:pPr>
        <w:autoSpaceDE w:val="0"/>
        <w:autoSpaceDN w:val="0"/>
        <w:adjustRightInd w:val="0"/>
        <w:rPr>
          <w:szCs w:val="24"/>
        </w:rPr>
      </w:pPr>
    </w:p>
    <w:sectPr w:rsidR="008735F3" w:rsidSect="00A73966">
      <w:headerReference w:type="default" r:id="rId12"/>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DF" w:rsidRDefault="00355D99">
    <w:pPr>
      <w:pStyle w:val="Header"/>
    </w:pPr>
  </w:p>
  <w:p w:rsidR="006320DF" w:rsidRDefault="0035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6D4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0EFC"/>
    <w:multiLevelType w:val="hybridMultilevel"/>
    <w:tmpl w:val="845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2D1"/>
    <w:multiLevelType w:val="hybridMultilevel"/>
    <w:tmpl w:val="3296FA26"/>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02441"/>
    <w:multiLevelType w:val="hybridMultilevel"/>
    <w:tmpl w:val="2FF8CDF4"/>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047AF"/>
    <w:multiLevelType w:val="hybridMultilevel"/>
    <w:tmpl w:val="54C216A0"/>
    <w:lvl w:ilvl="0" w:tplc="4016DD94">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A6214"/>
    <w:multiLevelType w:val="hybridMultilevel"/>
    <w:tmpl w:val="AC002DF4"/>
    <w:lvl w:ilvl="0" w:tplc="0409000F">
      <w:start w:val="1"/>
      <w:numFmt w:val="decimal"/>
      <w:lvlText w:val="%1."/>
      <w:lvlJc w:val="left"/>
      <w:pPr>
        <w:ind w:left="720" w:hanging="360"/>
      </w:pPr>
    </w:lvl>
    <w:lvl w:ilvl="1" w:tplc="3C88B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825"/>
    <w:multiLevelType w:val="hybridMultilevel"/>
    <w:tmpl w:val="D5C6BABC"/>
    <w:lvl w:ilvl="0" w:tplc="4976B6A2">
      <w:start w:val="1"/>
      <w:numFmt w:val="decimal"/>
      <w:lvlText w:val="%1."/>
      <w:lvlJc w:val="left"/>
      <w:pPr>
        <w:ind w:left="920" w:hanging="360"/>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11" w15:restartNumberingAfterBreak="0">
    <w:nsid w:val="4A317961"/>
    <w:multiLevelType w:val="hybridMultilevel"/>
    <w:tmpl w:val="8F3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5405"/>
    <w:multiLevelType w:val="hybridMultilevel"/>
    <w:tmpl w:val="F9025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A14E5"/>
    <w:multiLevelType w:val="hybridMultilevel"/>
    <w:tmpl w:val="1C9C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E2BF5"/>
    <w:multiLevelType w:val="hybridMultilevel"/>
    <w:tmpl w:val="1D5A8E4C"/>
    <w:lvl w:ilvl="0" w:tplc="A56CA922">
      <w:start w:val="1"/>
      <w:numFmt w:val="decimal"/>
      <w:lvlText w:val="%1."/>
      <w:lvlJc w:val="left"/>
      <w:pPr>
        <w:ind w:left="940" w:hanging="361"/>
        <w:jc w:val="left"/>
      </w:pPr>
      <w:rPr>
        <w:rFonts w:ascii="Times New Roman" w:eastAsia="Times New Roman" w:hAnsi="Times New Roman" w:cs="Times New Roman" w:hint="default"/>
        <w:w w:val="97"/>
        <w:sz w:val="24"/>
        <w:szCs w:val="24"/>
        <w:lang w:val="en-US" w:eastAsia="en-US" w:bidi="en-US"/>
      </w:rPr>
    </w:lvl>
    <w:lvl w:ilvl="1" w:tplc="FAB46432">
      <w:numFmt w:val="bullet"/>
      <w:lvlText w:val="•"/>
      <w:lvlJc w:val="left"/>
      <w:pPr>
        <w:ind w:left="1990" w:hanging="361"/>
      </w:pPr>
      <w:rPr>
        <w:rFonts w:hint="default"/>
        <w:lang w:val="en-US" w:eastAsia="en-US" w:bidi="en-US"/>
      </w:rPr>
    </w:lvl>
    <w:lvl w:ilvl="2" w:tplc="46CC8B20">
      <w:numFmt w:val="bullet"/>
      <w:lvlText w:val="•"/>
      <w:lvlJc w:val="left"/>
      <w:pPr>
        <w:ind w:left="3040" w:hanging="361"/>
      </w:pPr>
      <w:rPr>
        <w:rFonts w:hint="default"/>
        <w:lang w:val="en-US" w:eastAsia="en-US" w:bidi="en-US"/>
      </w:rPr>
    </w:lvl>
    <w:lvl w:ilvl="3" w:tplc="C0DE83C4">
      <w:numFmt w:val="bullet"/>
      <w:lvlText w:val="•"/>
      <w:lvlJc w:val="left"/>
      <w:pPr>
        <w:ind w:left="4090" w:hanging="361"/>
      </w:pPr>
      <w:rPr>
        <w:rFonts w:hint="default"/>
        <w:lang w:val="en-US" w:eastAsia="en-US" w:bidi="en-US"/>
      </w:rPr>
    </w:lvl>
    <w:lvl w:ilvl="4" w:tplc="8FF04DE2">
      <w:numFmt w:val="bullet"/>
      <w:lvlText w:val="•"/>
      <w:lvlJc w:val="left"/>
      <w:pPr>
        <w:ind w:left="5140" w:hanging="361"/>
      </w:pPr>
      <w:rPr>
        <w:rFonts w:hint="default"/>
        <w:lang w:val="en-US" w:eastAsia="en-US" w:bidi="en-US"/>
      </w:rPr>
    </w:lvl>
    <w:lvl w:ilvl="5" w:tplc="312CE954">
      <w:numFmt w:val="bullet"/>
      <w:lvlText w:val="•"/>
      <w:lvlJc w:val="left"/>
      <w:pPr>
        <w:ind w:left="6190" w:hanging="361"/>
      </w:pPr>
      <w:rPr>
        <w:rFonts w:hint="default"/>
        <w:lang w:val="en-US" w:eastAsia="en-US" w:bidi="en-US"/>
      </w:rPr>
    </w:lvl>
    <w:lvl w:ilvl="6" w:tplc="EDE8A134">
      <w:numFmt w:val="bullet"/>
      <w:lvlText w:val="•"/>
      <w:lvlJc w:val="left"/>
      <w:pPr>
        <w:ind w:left="7240" w:hanging="361"/>
      </w:pPr>
      <w:rPr>
        <w:rFonts w:hint="default"/>
        <w:lang w:val="en-US" w:eastAsia="en-US" w:bidi="en-US"/>
      </w:rPr>
    </w:lvl>
    <w:lvl w:ilvl="7" w:tplc="F5EAB53A">
      <w:numFmt w:val="bullet"/>
      <w:lvlText w:val="•"/>
      <w:lvlJc w:val="left"/>
      <w:pPr>
        <w:ind w:left="8290" w:hanging="361"/>
      </w:pPr>
      <w:rPr>
        <w:rFonts w:hint="default"/>
        <w:lang w:val="en-US" w:eastAsia="en-US" w:bidi="en-US"/>
      </w:rPr>
    </w:lvl>
    <w:lvl w:ilvl="8" w:tplc="FEDCD8A6">
      <w:numFmt w:val="bullet"/>
      <w:lvlText w:val="•"/>
      <w:lvlJc w:val="left"/>
      <w:pPr>
        <w:ind w:left="9340" w:hanging="361"/>
      </w:pPr>
      <w:rPr>
        <w:rFonts w:hint="default"/>
        <w:lang w:val="en-US" w:eastAsia="en-US" w:bidi="en-US"/>
      </w:rPr>
    </w:lvl>
  </w:abstractNum>
  <w:abstractNum w:abstractNumId="16" w15:restartNumberingAfterBreak="0">
    <w:nsid w:val="59EF720A"/>
    <w:multiLevelType w:val="hybridMultilevel"/>
    <w:tmpl w:val="8A82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421A"/>
    <w:multiLevelType w:val="hybridMultilevel"/>
    <w:tmpl w:val="12B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0650A"/>
    <w:multiLevelType w:val="hybridMultilevel"/>
    <w:tmpl w:val="1698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D74293"/>
    <w:multiLevelType w:val="hybridMultilevel"/>
    <w:tmpl w:val="6DE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9"/>
  </w:num>
  <w:num w:numId="5">
    <w:abstractNumId w:val="7"/>
  </w:num>
  <w:num w:numId="6">
    <w:abstractNumId w:val="0"/>
  </w:num>
  <w:num w:numId="7">
    <w:abstractNumId w:val="17"/>
  </w:num>
  <w:num w:numId="8">
    <w:abstractNumId w:val="2"/>
  </w:num>
  <w:num w:numId="9">
    <w:abstractNumId w:val="8"/>
  </w:num>
  <w:num w:numId="10">
    <w:abstractNumId w:val="4"/>
  </w:num>
  <w:num w:numId="11">
    <w:abstractNumId w:val="18"/>
  </w:num>
  <w:num w:numId="12">
    <w:abstractNumId w:val="5"/>
  </w:num>
  <w:num w:numId="13">
    <w:abstractNumId w:val="13"/>
  </w:num>
  <w:num w:numId="14">
    <w:abstractNumId w:val="14"/>
  </w:num>
  <w:num w:numId="15">
    <w:abstractNumId w:val="15"/>
  </w:num>
  <w:num w:numId="16">
    <w:abstractNumId w:val="11"/>
  </w:num>
  <w:num w:numId="17">
    <w:abstractNumId w:val="16"/>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A7262"/>
    <w:rsid w:val="000D047A"/>
    <w:rsid w:val="000D391A"/>
    <w:rsid w:val="000D48D3"/>
    <w:rsid w:val="00107676"/>
    <w:rsid w:val="0013585E"/>
    <w:rsid w:val="0014256A"/>
    <w:rsid w:val="001A4B4F"/>
    <w:rsid w:val="001A5049"/>
    <w:rsid w:val="001C3158"/>
    <w:rsid w:val="001E4CA5"/>
    <w:rsid w:val="00220B01"/>
    <w:rsid w:val="00221BBB"/>
    <w:rsid w:val="0023685D"/>
    <w:rsid w:val="00263AA1"/>
    <w:rsid w:val="0028264F"/>
    <w:rsid w:val="00287C76"/>
    <w:rsid w:val="002E3734"/>
    <w:rsid w:val="00311948"/>
    <w:rsid w:val="003247B0"/>
    <w:rsid w:val="00355D99"/>
    <w:rsid w:val="00387A76"/>
    <w:rsid w:val="0039381B"/>
    <w:rsid w:val="0042095D"/>
    <w:rsid w:val="00425186"/>
    <w:rsid w:val="004333B7"/>
    <w:rsid w:val="00434046"/>
    <w:rsid w:val="00465EF6"/>
    <w:rsid w:val="00475E01"/>
    <w:rsid w:val="004A2C04"/>
    <w:rsid w:val="004D40A4"/>
    <w:rsid w:val="004D561F"/>
    <w:rsid w:val="004F4154"/>
    <w:rsid w:val="00560F0F"/>
    <w:rsid w:val="00580738"/>
    <w:rsid w:val="005C452D"/>
    <w:rsid w:val="005D69B9"/>
    <w:rsid w:val="005E4FFE"/>
    <w:rsid w:val="005F0E73"/>
    <w:rsid w:val="00600766"/>
    <w:rsid w:val="006B0904"/>
    <w:rsid w:val="006D2C00"/>
    <w:rsid w:val="006E466A"/>
    <w:rsid w:val="006F357F"/>
    <w:rsid w:val="007372BB"/>
    <w:rsid w:val="0075217C"/>
    <w:rsid w:val="0076607E"/>
    <w:rsid w:val="0079011C"/>
    <w:rsid w:val="007A768F"/>
    <w:rsid w:val="007B6AB2"/>
    <w:rsid w:val="00853B30"/>
    <w:rsid w:val="008735F3"/>
    <w:rsid w:val="008A6029"/>
    <w:rsid w:val="00925CAF"/>
    <w:rsid w:val="00997CD5"/>
    <w:rsid w:val="009B2F14"/>
    <w:rsid w:val="00A013B9"/>
    <w:rsid w:val="00A045E1"/>
    <w:rsid w:val="00A06BB9"/>
    <w:rsid w:val="00A354D1"/>
    <w:rsid w:val="00A52029"/>
    <w:rsid w:val="00A567C7"/>
    <w:rsid w:val="00AC5146"/>
    <w:rsid w:val="00B15BA7"/>
    <w:rsid w:val="00B514B3"/>
    <w:rsid w:val="00B53BA6"/>
    <w:rsid w:val="00B81E36"/>
    <w:rsid w:val="00B85133"/>
    <w:rsid w:val="00BB52B1"/>
    <w:rsid w:val="00BC0602"/>
    <w:rsid w:val="00BC1FC1"/>
    <w:rsid w:val="00BE7DFC"/>
    <w:rsid w:val="00BF0698"/>
    <w:rsid w:val="00C02B3F"/>
    <w:rsid w:val="00C04CB9"/>
    <w:rsid w:val="00C31B31"/>
    <w:rsid w:val="00CE0951"/>
    <w:rsid w:val="00CE2A4E"/>
    <w:rsid w:val="00D0560A"/>
    <w:rsid w:val="00D469F4"/>
    <w:rsid w:val="00D73B32"/>
    <w:rsid w:val="00D87329"/>
    <w:rsid w:val="00DD28D1"/>
    <w:rsid w:val="00EB1407"/>
    <w:rsid w:val="00EB174E"/>
    <w:rsid w:val="00EB18C0"/>
    <w:rsid w:val="00EC6C15"/>
    <w:rsid w:val="00ED34F2"/>
    <w:rsid w:val="00ED727C"/>
    <w:rsid w:val="00F12117"/>
    <w:rsid w:val="00F20073"/>
    <w:rsid w:val="00F44B87"/>
    <w:rsid w:val="00F61805"/>
    <w:rsid w:val="00F64928"/>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FE54D6"/>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34"/>
    <w:qFormat/>
    <w:rsid w:val="003247B0"/>
    <w:pPr>
      <w:widowControl w:val="0"/>
      <w:autoSpaceDE w:val="0"/>
      <w:autoSpaceDN w:val="0"/>
      <w:ind w:left="920" w:hanging="360"/>
    </w:pPr>
    <w:rPr>
      <w:rFonts w:ascii="Calibri" w:eastAsia="Calibri" w:hAnsi="Calibri" w:cs="Calibri"/>
      <w:sz w:val="22"/>
      <w:szCs w:val="22"/>
      <w:lang w:bidi="en-US"/>
    </w:rPr>
  </w:style>
  <w:style w:type="character" w:styleId="Hyperlink">
    <w:name w:val="Hyperlink"/>
    <w:rsid w:val="00F12117"/>
    <w:rPr>
      <w:color w:val="0000FF"/>
      <w:u w:val="single"/>
    </w:rPr>
  </w:style>
  <w:style w:type="character" w:styleId="UnresolvedMention">
    <w:name w:val="Unresolved Mention"/>
    <w:basedOn w:val="DefaultParagraphFont"/>
    <w:uiPriority w:val="99"/>
    <w:semiHidden/>
    <w:unhideWhenUsed/>
    <w:rsid w:val="00EB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BS.waiver@maine.gov" TargetMode="External"/><Relationship Id="rId5" Type="http://schemas.openxmlformats.org/officeDocument/2006/relationships/webSettings" Target="webSettings.xml"/><Relationship Id="rId10" Type="http://schemas.openxmlformats.org/officeDocument/2006/relationships/hyperlink" Target="https://www.maine.gov/dhhs/sites/maine.gov.dhhs/files/documents/Declination-Voluntary-Termination-of-Waiver-Services%202.12.docx" TargetMode="External"/><Relationship Id="rId4" Type="http://schemas.openxmlformats.org/officeDocument/2006/relationships/settings" Target="settings.xml"/><Relationship Id="rId9" Type="http://schemas.openxmlformats.org/officeDocument/2006/relationships/hyperlink" Target="mailto:HCBS.waiver@maine.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554C-AC8F-4503-AEA6-7BDF609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8</cp:revision>
  <cp:lastPrinted>2018-12-04T16:43:00Z</cp:lastPrinted>
  <dcterms:created xsi:type="dcterms:W3CDTF">2020-08-04T20:48:00Z</dcterms:created>
  <dcterms:modified xsi:type="dcterms:W3CDTF">2020-09-03T20:16:00Z</dcterms:modified>
</cp:coreProperties>
</file>