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41" w:rsidRDefault="001C6B41" w:rsidP="00A461C0">
      <w:pPr>
        <w:tabs>
          <w:tab w:val="left" w:pos="1440"/>
        </w:tabs>
        <w:ind w:left="1440" w:hanging="1440"/>
        <w:rPr>
          <w:b/>
        </w:rPr>
      </w:pPr>
      <w:bookmarkStart w:id="0" w:name="_GoBack"/>
      <w:bookmarkEnd w:id="0"/>
    </w:p>
    <w:p w:rsidR="00CD5904" w:rsidRDefault="00CD5904" w:rsidP="00A461C0">
      <w:pPr>
        <w:tabs>
          <w:tab w:val="left" w:pos="1440"/>
        </w:tabs>
        <w:ind w:left="1440" w:hanging="1440"/>
        <w:rPr>
          <w:b/>
        </w:rPr>
      </w:pPr>
    </w:p>
    <w:p w:rsidR="001C6B41" w:rsidRPr="00312E0E" w:rsidRDefault="00CD5904" w:rsidP="00CD5904">
      <w:pPr>
        <w:tabs>
          <w:tab w:val="left" w:pos="1440"/>
        </w:tabs>
        <w:ind w:left="1440" w:hanging="1440"/>
        <w:jc w:val="center"/>
        <w:rPr>
          <w:b/>
          <w:sz w:val="25"/>
          <w:szCs w:val="25"/>
        </w:rPr>
      </w:pPr>
      <w:r w:rsidRPr="00312E0E">
        <w:rPr>
          <w:b/>
          <w:sz w:val="25"/>
          <w:szCs w:val="25"/>
        </w:rPr>
        <w:t>Preliminary Analysis</w:t>
      </w:r>
    </w:p>
    <w:p w:rsidR="00CD5904" w:rsidRDefault="00CD5904" w:rsidP="00CD5904">
      <w:pPr>
        <w:tabs>
          <w:tab w:val="left" w:pos="1440"/>
        </w:tabs>
        <w:ind w:left="1440" w:hanging="1440"/>
        <w:jc w:val="center"/>
        <w:rPr>
          <w:b/>
        </w:rPr>
      </w:pPr>
    </w:p>
    <w:p w:rsidR="001C6B41" w:rsidRDefault="001C6B41" w:rsidP="00A461C0">
      <w:pPr>
        <w:tabs>
          <w:tab w:val="left" w:pos="1440"/>
        </w:tabs>
        <w:ind w:left="1440" w:hanging="1440"/>
        <w:rPr>
          <w:b/>
        </w:rPr>
      </w:pPr>
    </w:p>
    <w:p w:rsidR="00A461C0" w:rsidRPr="002D6538" w:rsidRDefault="001C6B41" w:rsidP="00A461C0">
      <w:pPr>
        <w:tabs>
          <w:tab w:val="left" w:pos="1440"/>
        </w:tabs>
        <w:ind w:left="1440" w:hanging="1440"/>
      </w:pPr>
      <w:r>
        <w:rPr>
          <w:b/>
        </w:rPr>
        <w:t>Date:</w:t>
      </w:r>
      <w:r>
        <w:rPr>
          <w:b/>
        </w:rPr>
        <w:tab/>
      </w:r>
      <w:r>
        <w:rPr>
          <w:b/>
        </w:rPr>
        <w:tab/>
      </w:r>
      <w:r w:rsidR="009C3DF3">
        <w:rPr>
          <w:b/>
        </w:rPr>
        <w:t>October 18</w:t>
      </w:r>
      <w:r w:rsidR="000950BA">
        <w:rPr>
          <w:b/>
        </w:rPr>
        <w:t>, 2013</w:t>
      </w:r>
    </w:p>
    <w:p w:rsidR="00A461C0" w:rsidRPr="002D6538" w:rsidRDefault="00A461C0" w:rsidP="00A461C0"/>
    <w:p w:rsidR="005B4607" w:rsidRPr="00C35B9D" w:rsidRDefault="00A461C0" w:rsidP="00CD5904">
      <w:pPr>
        <w:ind w:left="1725" w:hanging="1725"/>
        <w:rPr>
          <w:b/>
        </w:rPr>
      </w:pPr>
      <w:r w:rsidRPr="002D6538">
        <w:rPr>
          <w:b/>
        </w:rPr>
        <w:t>Project</w:t>
      </w:r>
      <w:r w:rsidR="001C6B41">
        <w:t>:</w:t>
      </w:r>
      <w:r w:rsidR="001C6B41">
        <w:tab/>
      </w:r>
      <w:r w:rsidR="001C6B41">
        <w:tab/>
      </w:r>
      <w:r w:rsidR="00F83A1C">
        <w:rPr>
          <w:b/>
        </w:rPr>
        <w:t xml:space="preserve">Acquisition of Control of </w:t>
      </w:r>
      <w:r w:rsidR="00E11F6C">
        <w:rPr>
          <w:b/>
        </w:rPr>
        <w:t>Ambulatory</w:t>
      </w:r>
      <w:r w:rsidR="00016C9F">
        <w:rPr>
          <w:b/>
        </w:rPr>
        <w:t xml:space="preserve"> Surgical Centers in Lewiston and Portland</w:t>
      </w:r>
    </w:p>
    <w:p w:rsidR="00A461C0" w:rsidRPr="00C35B9D" w:rsidRDefault="00A461C0" w:rsidP="00A461C0">
      <w:pPr>
        <w:ind w:left="1080" w:hanging="1080"/>
        <w:rPr>
          <w:b/>
        </w:rPr>
      </w:pPr>
    </w:p>
    <w:p w:rsidR="00A461C0" w:rsidRPr="002D6538" w:rsidRDefault="00A461C0" w:rsidP="00A461C0">
      <w:pPr>
        <w:ind w:left="1080" w:hanging="1080"/>
      </w:pPr>
      <w:r w:rsidRPr="002D6538">
        <w:rPr>
          <w:b/>
        </w:rPr>
        <w:t>Proposal by:</w:t>
      </w:r>
      <w:r w:rsidR="001C6B41">
        <w:rPr>
          <w:b/>
        </w:rPr>
        <w:tab/>
      </w:r>
      <w:r w:rsidR="00016C9F">
        <w:rPr>
          <w:b/>
        </w:rPr>
        <w:t>Spectrum Medical Group</w:t>
      </w:r>
    </w:p>
    <w:p w:rsidR="00A461C0" w:rsidRPr="002D6538" w:rsidRDefault="00A461C0" w:rsidP="00A461C0"/>
    <w:p w:rsidR="00A461C0" w:rsidRPr="002D6538" w:rsidRDefault="00A461C0" w:rsidP="00A461C0">
      <w:pPr>
        <w:rPr>
          <w:b/>
        </w:rPr>
      </w:pPr>
      <w:r w:rsidRPr="002D6538">
        <w:rPr>
          <w:b/>
        </w:rPr>
        <w:t>Prepared by:</w:t>
      </w:r>
      <w:r w:rsidRPr="002D6538">
        <w:rPr>
          <w:b/>
        </w:rPr>
        <w:tab/>
        <w:t xml:space="preserve">Phyllis Powell, </w:t>
      </w:r>
      <w:r w:rsidR="001804AF" w:rsidRPr="002D6538">
        <w:rPr>
          <w:b/>
        </w:rPr>
        <w:t xml:space="preserve">Assistant </w:t>
      </w:r>
      <w:r w:rsidR="005B4607" w:rsidRPr="002D6538">
        <w:rPr>
          <w:b/>
        </w:rPr>
        <w:t>Director, Medical Facilities</w:t>
      </w:r>
    </w:p>
    <w:p w:rsidR="001804AF" w:rsidRPr="002D6538" w:rsidRDefault="00A461C0" w:rsidP="001C6B41">
      <w:pPr>
        <w:ind w:left="1440" w:firstLine="288"/>
        <w:rPr>
          <w:b/>
        </w:rPr>
      </w:pPr>
      <w:r w:rsidRPr="002D6538">
        <w:rPr>
          <w:b/>
        </w:rPr>
        <w:t>Larry Carbonne</w:t>
      </w:r>
      <w:r w:rsidR="001804AF" w:rsidRPr="002D6538">
        <w:rPr>
          <w:b/>
        </w:rPr>
        <w:t xml:space="preserve">au, </w:t>
      </w:r>
      <w:r w:rsidR="00556339">
        <w:rPr>
          <w:b/>
        </w:rPr>
        <w:t>Manager, Health</w:t>
      </w:r>
      <w:r w:rsidR="000950BA">
        <w:rPr>
          <w:b/>
        </w:rPr>
        <w:t xml:space="preserve"> C</w:t>
      </w:r>
      <w:r w:rsidR="00556339">
        <w:rPr>
          <w:b/>
        </w:rPr>
        <w:t>are Oversight</w:t>
      </w:r>
      <w:r w:rsidR="001804AF" w:rsidRPr="002D6538">
        <w:rPr>
          <w:b/>
        </w:rPr>
        <w:t xml:space="preserve"> </w:t>
      </w:r>
    </w:p>
    <w:p w:rsidR="005A08CC" w:rsidRDefault="005A08CC" w:rsidP="001C6B41">
      <w:pPr>
        <w:ind w:left="1440" w:firstLine="288"/>
        <w:rPr>
          <w:b/>
        </w:rPr>
      </w:pPr>
      <w:r w:rsidRPr="002D6538">
        <w:rPr>
          <w:b/>
        </w:rPr>
        <w:t>Richard S. Lawrence, Senior Health</w:t>
      </w:r>
      <w:r w:rsidR="000950BA">
        <w:rPr>
          <w:b/>
        </w:rPr>
        <w:t xml:space="preserve"> C</w:t>
      </w:r>
      <w:r w:rsidRPr="002D6538">
        <w:rPr>
          <w:b/>
        </w:rPr>
        <w:t>are Financial Analyst</w:t>
      </w:r>
    </w:p>
    <w:p w:rsidR="00BF0D2E" w:rsidRDefault="00BF0D2E" w:rsidP="00A461C0">
      <w:pPr>
        <w:ind w:left="1440"/>
        <w:rPr>
          <w:b/>
        </w:rPr>
      </w:pPr>
    </w:p>
    <w:p w:rsidR="00312E0E" w:rsidRPr="002D6538" w:rsidRDefault="00312E0E" w:rsidP="00A461C0">
      <w:pPr>
        <w:ind w:left="1440"/>
        <w:rPr>
          <w:b/>
        </w:rPr>
      </w:pPr>
    </w:p>
    <w:p w:rsidR="00BF0D2E" w:rsidRPr="002D6538" w:rsidRDefault="00A461C0" w:rsidP="00A461C0">
      <w:pPr>
        <w:rPr>
          <w:b/>
        </w:rPr>
      </w:pPr>
      <w:r w:rsidRPr="002D6538">
        <w:rPr>
          <w:b/>
        </w:rPr>
        <w:t>Directly Affected Party:</w:t>
      </w:r>
      <w:r w:rsidR="007E17B2">
        <w:rPr>
          <w:b/>
        </w:rPr>
        <w:t xml:space="preserve"> </w:t>
      </w:r>
      <w:r w:rsidR="007E17B2">
        <w:rPr>
          <w:b/>
        </w:rPr>
        <w:tab/>
      </w:r>
      <w:r w:rsidR="007E17B2">
        <w:rPr>
          <w:b/>
        </w:rPr>
        <w:tab/>
        <w:t>None</w:t>
      </w:r>
    </w:p>
    <w:p w:rsidR="00BF0D2E" w:rsidRPr="002D6538" w:rsidRDefault="00BF0D2E" w:rsidP="00A461C0">
      <w:pPr>
        <w:rPr>
          <w:b/>
        </w:rPr>
      </w:pPr>
    </w:p>
    <w:p w:rsidR="00A461C0" w:rsidRPr="002D6538" w:rsidRDefault="00A461C0" w:rsidP="00362413">
      <w:pPr>
        <w:rPr>
          <w:b/>
        </w:rPr>
      </w:pPr>
    </w:p>
    <w:p w:rsidR="00A461C0" w:rsidRDefault="00466DB7" w:rsidP="00A461C0">
      <w:pPr>
        <w:rPr>
          <w:b/>
        </w:rPr>
      </w:pPr>
      <w:r w:rsidRPr="002D6538">
        <w:rPr>
          <w:b/>
        </w:rPr>
        <w:t>C</w:t>
      </w:r>
      <w:r w:rsidR="00CD5904">
        <w:rPr>
          <w:b/>
        </w:rPr>
        <w:t>ertificate of Need Unit</w:t>
      </w:r>
      <w:r w:rsidRPr="002D6538">
        <w:rPr>
          <w:b/>
        </w:rPr>
        <w:t xml:space="preserve"> </w:t>
      </w:r>
      <w:r w:rsidR="00A461C0" w:rsidRPr="002D6538">
        <w:rPr>
          <w:b/>
        </w:rPr>
        <w:t>Recommendation:</w:t>
      </w:r>
      <w:r w:rsidR="007E17B2">
        <w:rPr>
          <w:b/>
        </w:rPr>
        <w:tab/>
        <w:t>Approved</w:t>
      </w:r>
    </w:p>
    <w:p w:rsidR="001C6B41" w:rsidRDefault="001C6B41" w:rsidP="00A461C0">
      <w:pPr>
        <w:rPr>
          <w:b/>
        </w:rPr>
      </w:pPr>
    </w:p>
    <w:p w:rsidR="001C6B41" w:rsidRDefault="001C6B41" w:rsidP="00A461C0">
      <w:pPr>
        <w:rPr>
          <w:b/>
        </w:rPr>
      </w:pPr>
    </w:p>
    <w:tbl>
      <w:tblPr>
        <w:tblStyle w:val="TableGrid"/>
        <w:tblW w:w="0" w:type="auto"/>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160"/>
        <w:gridCol w:w="2160"/>
      </w:tblGrid>
      <w:tr w:rsidR="001C6B41" w:rsidTr="00CD5904">
        <w:tc>
          <w:tcPr>
            <w:tcW w:w="5130" w:type="dxa"/>
          </w:tcPr>
          <w:p w:rsidR="001C6B41" w:rsidRDefault="001C6B41" w:rsidP="00A461C0">
            <w:pPr>
              <w:rPr>
                <w:b/>
              </w:rPr>
            </w:pPr>
          </w:p>
        </w:tc>
        <w:tc>
          <w:tcPr>
            <w:tcW w:w="2160" w:type="dxa"/>
          </w:tcPr>
          <w:p w:rsidR="001C6B41" w:rsidRDefault="001C6B41" w:rsidP="00A461C0">
            <w:pPr>
              <w:rPr>
                <w:b/>
              </w:rPr>
            </w:pPr>
            <w:r>
              <w:rPr>
                <w:b/>
              </w:rPr>
              <w:t xml:space="preserve">Proposed </w:t>
            </w:r>
          </w:p>
          <w:p w:rsidR="001C6B41" w:rsidRDefault="001C6B41" w:rsidP="00A461C0">
            <w:pPr>
              <w:rPr>
                <w:b/>
              </w:rPr>
            </w:pPr>
            <w:r>
              <w:rPr>
                <w:b/>
              </w:rPr>
              <w:t>Per Applicant</w:t>
            </w:r>
          </w:p>
        </w:tc>
        <w:tc>
          <w:tcPr>
            <w:tcW w:w="2160" w:type="dxa"/>
          </w:tcPr>
          <w:p w:rsidR="001C6B41" w:rsidRDefault="001C6B41" w:rsidP="00A461C0">
            <w:pPr>
              <w:rPr>
                <w:b/>
              </w:rPr>
            </w:pPr>
            <w:r>
              <w:rPr>
                <w:b/>
              </w:rPr>
              <w:t xml:space="preserve">Approved </w:t>
            </w:r>
          </w:p>
          <w:p w:rsidR="001C6B41" w:rsidRDefault="001C6B41" w:rsidP="00A461C0">
            <w:pPr>
              <w:rPr>
                <w:b/>
              </w:rPr>
            </w:pPr>
            <w:r>
              <w:rPr>
                <w:b/>
              </w:rPr>
              <w:t>CON</w:t>
            </w:r>
          </w:p>
        </w:tc>
      </w:tr>
    </w:tbl>
    <w:p w:rsidR="00A461C0" w:rsidRPr="002D6538" w:rsidRDefault="00A461C0" w:rsidP="00A461C0"/>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2160"/>
        <w:gridCol w:w="2160"/>
      </w:tblGrid>
      <w:tr w:rsidR="001C6B41" w:rsidTr="00CD5904">
        <w:tc>
          <w:tcPr>
            <w:tcW w:w="5130" w:type="dxa"/>
          </w:tcPr>
          <w:p w:rsidR="001C6B41" w:rsidRDefault="001C6B41" w:rsidP="00126780">
            <w:r w:rsidRPr="001C6B41">
              <w:t>Estimated Capital Expenditure</w:t>
            </w:r>
          </w:p>
        </w:tc>
        <w:tc>
          <w:tcPr>
            <w:tcW w:w="2160" w:type="dxa"/>
          </w:tcPr>
          <w:p w:rsidR="001C6B41" w:rsidRDefault="00CD5904" w:rsidP="00126780">
            <w:r>
              <w:t>$</w:t>
            </w:r>
            <w:r w:rsidR="00D97A71">
              <w:t xml:space="preserve"> 8,100,618</w:t>
            </w:r>
          </w:p>
        </w:tc>
        <w:tc>
          <w:tcPr>
            <w:tcW w:w="2160" w:type="dxa"/>
          </w:tcPr>
          <w:p w:rsidR="001C6B41" w:rsidRDefault="00CD5904" w:rsidP="00126780">
            <w:r>
              <w:t>$</w:t>
            </w:r>
            <w:r w:rsidR="00D97A71">
              <w:t xml:space="preserve"> 8,100,618</w:t>
            </w:r>
          </w:p>
        </w:tc>
      </w:tr>
      <w:tr w:rsidR="001C6B41" w:rsidTr="00CD5904">
        <w:tc>
          <w:tcPr>
            <w:tcW w:w="5130" w:type="dxa"/>
          </w:tcPr>
          <w:p w:rsidR="001C6B41" w:rsidRDefault="001C6B41" w:rsidP="00126780">
            <w:r w:rsidRPr="001C6B41">
              <w:t>Maximum Contingency</w:t>
            </w:r>
          </w:p>
        </w:tc>
        <w:tc>
          <w:tcPr>
            <w:tcW w:w="2160" w:type="dxa"/>
          </w:tcPr>
          <w:p w:rsidR="001C6B41" w:rsidRDefault="00CD5904" w:rsidP="00126780">
            <w:r>
              <w:t>$</w:t>
            </w:r>
          </w:p>
        </w:tc>
        <w:tc>
          <w:tcPr>
            <w:tcW w:w="2160" w:type="dxa"/>
          </w:tcPr>
          <w:p w:rsidR="001C6B41" w:rsidRDefault="00CD5904" w:rsidP="00126780">
            <w:r>
              <w:t>$</w:t>
            </w:r>
          </w:p>
        </w:tc>
      </w:tr>
      <w:tr w:rsidR="001C6B41" w:rsidTr="00CD5904">
        <w:tc>
          <w:tcPr>
            <w:tcW w:w="5130" w:type="dxa"/>
          </w:tcPr>
          <w:p w:rsidR="001C6B41" w:rsidRDefault="001C6B41" w:rsidP="00126780">
            <w:r w:rsidRPr="001C6B41">
              <w:t>Total Capital Expenditure with Contingency</w:t>
            </w:r>
          </w:p>
        </w:tc>
        <w:tc>
          <w:tcPr>
            <w:tcW w:w="2160" w:type="dxa"/>
          </w:tcPr>
          <w:p w:rsidR="001C6B41" w:rsidRDefault="00CD5904" w:rsidP="00126780">
            <w:r>
              <w:t>$</w:t>
            </w:r>
            <w:r w:rsidR="00D97A71">
              <w:t xml:space="preserve"> 8,100,618</w:t>
            </w:r>
          </w:p>
        </w:tc>
        <w:tc>
          <w:tcPr>
            <w:tcW w:w="2160" w:type="dxa"/>
          </w:tcPr>
          <w:p w:rsidR="001C6B41" w:rsidRDefault="00CD5904" w:rsidP="00126780">
            <w:r>
              <w:t>$</w:t>
            </w:r>
            <w:r w:rsidR="00D97A71">
              <w:t xml:space="preserve"> 8,100,618</w:t>
            </w:r>
          </w:p>
        </w:tc>
      </w:tr>
      <w:tr w:rsidR="001C6B41" w:rsidTr="00CD5904">
        <w:tc>
          <w:tcPr>
            <w:tcW w:w="5130" w:type="dxa"/>
          </w:tcPr>
          <w:p w:rsidR="001C6B41" w:rsidRDefault="00CD5904" w:rsidP="00126780">
            <w:r w:rsidRPr="00CD5904">
              <w:t>Pro-Forma Marginal Operating Costs</w:t>
            </w:r>
          </w:p>
        </w:tc>
        <w:tc>
          <w:tcPr>
            <w:tcW w:w="2160" w:type="dxa"/>
          </w:tcPr>
          <w:p w:rsidR="001C6B41" w:rsidRDefault="00D97A71" w:rsidP="00126780">
            <w:r>
              <w:t>$ 693,400</w:t>
            </w:r>
          </w:p>
        </w:tc>
        <w:tc>
          <w:tcPr>
            <w:tcW w:w="2160" w:type="dxa"/>
          </w:tcPr>
          <w:p w:rsidR="001C6B41" w:rsidRDefault="00D97A71" w:rsidP="00126780">
            <w:r>
              <w:t>$ 693,400</w:t>
            </w:r>
          </w:p>
        </w:tc>
      </w:tr>
    </w:tbl>
    <w:p w:rsidR="00CD5904" w:rsidRPr="002D6538" w:rsidRDefault="00CD5904" w:rsidP="002B386A">
      <w:pPr>
        <w:pBdr>
          <w:bottom w:val="single" w:sz="12" w:space="1" w:color="auto"/>
        </w:pBdr>
      </w:pPr>
    </w:p>
    <w:p w:rsidR="00CD5904" w:rsidRDefault="00CD5904" w:rsidP="00CD5904">
      <w:pPr>
        <w:tabs>
          <w:tab w:val="left" w:pos="9630"/>
        </w:tabs>
        <w:ind w:right="360"/>
      </w:pPr>
    </w:p>
    <w:p w:rsidR="00CD5904" w:rsidRDefault="00CD5904" w:rsidP="00CD5904"/>
    <w:p w:rsidR="00C941EE" w:rsidRPr="00CD5904" w:rsidRDefault="00C941EE" w:rsidP="00CD5904">
      <w:pPr>
        <w:sectPr w:rsidR="00C941EE" w:rsidRPr="00CD5904" w:rsidSect="00312E0E">
          <w:headerReference w:type="default" r:id="rId9"/>
          <w:pgSz w:w="12240" w:h="15840"/>
          <w:pgMar w:top="1440" w:right="1080" w:bottom="1440" w:left="1440" w:header="432" w:footer="720" w:gutter="0"/>
          <w:pgNumType w:start="1"/>
          <w:cols w:space="720"/>
          <w:docGrid w:linePitch="360"/>
        </w:sectPr>
      </w:pPr>
    </w:p>
    <w:p w:rsidR="00AE764D" w:rsidRPr="0094720C" w:rsidRDefault="00434034" w:rsidP="0094720C">
      <w:pPr>
        <w:pStyle w:val="Heading1"/>
        <w:spacing w:before="0"/>
        <w:rPr>
          <w:rFonts w:ascii="Times New Roman" w:hAnsi="Times New Roman" w:cs="Times New Roman"/>
          <w:sz w:val="28"/>
          <w:szCs w:val="28"/>
          <w:u w:val="single"/>
        </w:rPr>
      </w:pPr>
      <w:r w:rsidRPr="0094720C">
        <w:rPr>
          <w:rFonts w:ascii="Times New Roman" w:hAnsi="Times New Roman" w:cs="Times New Roman"/>
          <w:sz w:val="28"/>
          <w:szCs w:val="28"/>
          <w:u w:val="single"/>
        </w:rPr>
        <w:lastRenderedPageBreak/>
        <w:fldChar w:fldCharType="begin">
          <w:ffData>
            <w:name w:val="Text77"/>
            <w:enabled/>
            <w:calcOnExit w:val="0"/>
            <w:textInput/>
          </w:ffData>
        </w:fldChar>
      </w:r>
      <w:bookmarkStart w:id="1" w:name="Text77"/>
      <w:r w:rsidR="00BB1625" w:rsidRPr="0094720C">
        <w:rPr>
          <w:rFonts w:ascii="Times New Roman" w:hAnsi="Times New Roman" w:cs="Times New Roman"/>
          <w:sz w:val="28"/>
          <w:szCs w:val="28"/>
          <w:u w:val="single"/>
        </w:rPr>
        <w:instrText xml:space="preserve"> FORMTEXT </w:instrText>
      </w:r>
      <w:r w:rsidRPr="0094720C">
        <w:rPr>
          <w:rFonts w:ascii="Times New Roman" w:hAnsi="Times New Roman" w:cs="Times New Roman"/>
          <w:sz w:val="28"/>
          <w:szCs w:val="28"/>
          <w:u w:val="single"/>
        </w:rPr>
      </w:r>
      <w:r w:rsidRPr="0094720C">
        <w:rPr>
          <w:rFonts w:ascii="Times New Roman" w:hAnsi="Times New Roman" w:cs="Times New Roman"/>
          <w:sz w:val="28"/>
          <w:szCs w:val="28"/>
          <w:u w:val="single"/>
        </w:rPr>
        <w:fldChar w:fldCharType="separate"/>
      </w:r>
      <w:r w:rsidR="00BB1625" w:rsidRPr="0094720C">
        <w:rPr>
          <w:rFonts w:ascii="Times New Roman" w:hAnsi="Times New Roman" w:cs="Times New Roman"/>
          <w:sz w:val="28"/>
          <w:szCs w:val="28"/>
          <w:u w:val="single"/>
        </w:rPr>
        <w:t>I. Abstract</w:t>
      </w:r>
      <w:r w:rsidRPr="0094720C">
        <w:rPr>
          <w:rFonts w:ascii="Times New Roman" w:hAnsi="Times New Roman" w:cs="Times New Roman"/>
          <w:sz w:val="28"/>
          <w:szCs w:val="28"/>
          <w:u w:val="single"/>
        </w:rPr>
        <w:fldChar w:fldCharType="end"/>
      </w:r>
      <w:bookmarkEnd w:id="1"/>
    </w:p>
    <w:p w:rsidR="00DE3A4A" w:rsidRPr="00DE3A4A" w:rsidRDefault="00DE3A4A" w:rsidP="00DE3A4A"/>
    <w:p w:rsidR="00E20C60" w:rsidRPr="00B21FDB" w:rsidRDefault="002C043C" w:rsidP="002C043C">
      <w:pPr>
        <w:tabs>
          <w:tab w:val="left" w:pos="0"/>
        </w:tabs>
        <w:rPr>
          <w:b/>
        </w:rPr>
      </w:pPr>
      <w:r w:rsidRPr="00B21FDB">
        <w:rPr>
          <w:b/>
        </w:rPr>
        <w:t>A.</w:t>
      </w:r>
      <w:r w:rsidRPr="00B21FDB">
        <w:rPr>
          <w:b/>
        </w:rPr>
        <w:tab/>
      </w:r>
      <w:r w:rsidR="00E20C60" w:rsidRPr="00B21FDB">
        <w:rPr>
          <w:b/>
        </w:rPr>
        <w:t xml:space="preserve">From Applicant </w:t>
      </w:r>
    </w:p>
    <w:p w:rsidR="000950BA" w:rsidRPr="00CA53E9" w:rsidRDefault="000950BA" w:rsidP="0055003B">
      <w:pPr>
        <w:rPr>
          <w:sz w:val="16"/>
          <w:szCs w:val="16"/>
        </w:rPr>
      </w:pPr>
      <w:bookmarkStart w:id="2" w:name="_Ref195319930"/>
    </w:p>
    <w:p w:rsidR="00016C9F" w:rsidRPr="00B21FDB" w:rsidRDefault="006161BE" w:rsidP="006161BE">
      <w:pPr>
        <w:jc w:val="both"/>
        <w:rPr>
          <w:sz w:val="23"/>
          <w:szCs w:val="23"/>
        </w:rPr>
      </w:pPr>
      <w:r w:rsidRPr="00B21FDB">
        <w:rPr>
          <w:sz w:val="23"/>
          <w:szCs w:val="23"/>
        </w:rPr>
        <w:t>“</w:t>
      </w:r>
      <w:r w:rsidR="00016C9F" w:rsidRPr="00B21FDB">
        <w:rPr>
          <w:sz w:val="23"/>
          <w:szCs w:val="23"/>
        </w:rPr>
        <w:t xml:space="preserve">This Certificate of Need (“CON”) application is being submitted for review of a transaction involving the merger of three specialty care physician practices; more specifically, the mergers of the OA – Centers for </w:t>
      </w:r>
      <w:proofErr w:type="spellStart"/>
      <w:r w:rsidR="00016C9F" w:rsidRPr="00B21FDB">
        <w:rPr>
          <w:sz w:val="23"/>
          <w:szCs w:val="23"/>
        </w:rPr>
        <w:t>Orthopaedics</w:t>
      </w:r>
      <w:proofErr w:type="spellEnd"/>
      <w:r w:rsidR="00016C9F" w:rsidRPr="00B21FDB">
        <w:rPr>
          <w:sz w:val="23"/>
          <w:szCs w:val="23"/>
        </w:rPr>
        <w:t xml:space="preserve"> and Central Maine </w:t>
      </w:r>
      <w:proofErr w:type="spellStart"/>
      <w:r w:rsidR="00016C9F" w:rsidRPr="00B21FDB">
        <w:rPr>
          <w:sz w:val="23"/>
          <w:szCs w:val="23"/>
        </w:rPr>
        <w:t>Orthopaedics</w:t>
      </w:r>
      <w:proofErr w:type="spellEnd"/>
      <w:r w:rsidR="00470BB4" w:rsidRPr="00B21FDB">
        <w:rPr>
          <w:sz w:val="23"/>
          <w:szCs w:val="23"/>
        </w:rPr>
        <w:t xml:space="preserve"> into Spectrum Medical Group. </w:t>
      </w:r>
      <w:r w:rsidR="00016C9F" w:rsidRPr="00B21FDB">
        <w:rPr>
          <w:sz w:val="23"/>
          <w:szCs w:val="23"/>
        </w:rPr>
        <w:t xml:space="preserve">The CON review relates only to the transfer of ownership of two ambulatory surgical facilities imbedded within the OA – Centers for </w:t>
      </w:r>
      <w:proofErr w:type="spellStart"/>
      <w:r w:rsidR="00016C9F" w:rsidRPr="00B21FDB">
        <w:rPr>
          <w:sz w:val="23"/>
          <w:szCs w:val="23"/>
        </w:rPr>
        <w:t>Orthopaedics</w:t>
      </w:r>
      <w:proofErr w:type="spellEnd"/>
      <w:r w:rsidR="00016C9F" w:rsidRPr="00B21FDB">
        <w:rPr>
          <w:sz w:val="23"/>
          <w:szCs w:val="23"/>
        </w:rPr>
        <w:t xml:space="preserve"> and Central Maine </w:t>
      </w:r>
      <w:proofErr w:type="spellStart"/>
      <w:r w:rsidR="00016C9F" w:rsidRPr="00B21FDB">
        <w:rPr>
          <w:sz w:val="23"/>
          <w:szCs w:val="23"/>
        </w:rPr>
        <w:t>Orthopaedics</w:t>
      </w:r>
      <w:proofErr w:type="spellEnd"/>
      <w:r w:rsidR="00C961FA" w:rsidRPr="00B21FDB">
        <w:rPr>
          <w:sz w:val="23"/>
          <w:szCs w:val="23"/>
        </w:rPr>
        <w:t xml:space="preserve">. </w:t>
      </w:r>
      <w:r w:rsidR="00016C9F" w:rsidRPr="00B21FDB">
        <w:rPr>
          <w:sz w:val="23"/>
          <w:szCs w:val="23"/>
        </w:rPr>
        <w:t>None of the other triggers for CON review are implicated and are therefore beyond</w:t>
      </w:r>
      <w:r w:rsidR="00470BB4" w:rsidRPr="00B21FDB">
        <w:rPr>
          <w:sz w:val="23"/>
          <w:szCs w:val="23"/>
        </w:rPr>
        <w:t xml:space="preserve"> the scope of this application.</w:t>
      </w:r>
      <w:r w:rsidR="00016C9F" w:rsidRPr="00B21FDB">
        <w:rPr>
          <w:sz w:val="23"/>
          <w:szCs w:val="23"/>
        </w:rPr>
        <w:t xml:space="preserve"> In essence, the integration of OA – Centers for </w:t>
      </w:r>
      <w:proofErr w:type="spellStart"/>
      <w:r w:rsidR="00016C9F" w:rsidRPr="00B21FDB">
        <w:rPr>
          <w:sz w:val="23"/>
          <w:szCs w:val="23"/>
        </w:rPr>
        <w:t>Orthopaedics</w:t>
      </w:r>
      <w:proofErr w:type="spellEnd"/>
      <w:r w:rsidR="00016C9F" w:rsidRPr="00B21FDB">
        <w:rPr>
          <w:sz w:val="23"/>
          <w:szCs w:val="23"/>
        </w:rPr>
        <w:t xml:space="preserve"> and Central Maine </w:t>
      </w:r>
      <w:proofErr w:type="spellStart"/>
      <w:r w:rsidR="00016C9F" w:rsidRPr="00B21FDB">
        <w:rPr>
          <w:sz w:val="23"/>
          <w:szCs w:val="23"/>
        </w:rPr>
        <w:t>Orthopaedics</w:t>
      </w:r>
      <w:proofErr w:type="spellEnd"/>
      <w:r w:rsidR="00016C9F" w:rsidRPr="00B21FDB">
        <w:rPr>
          <w:sz w:val="23"/>
          <w:szCs w:val="23"/>
        </w:rPr>
        <w:t xml:space="preserve"> into Spectrum Medical Group results in the new management of existing providers.</w:t>
      </w:r>
      <w:r w:rsidRPr="00B21FDB">
        <w:rPr>
          <w:sz w:val="23"/>
          <w:szCs w:val="23"/>
        </w:rPr>
        <w:t>”</w:t>
      </w:r>
    </w:p>
    <w:p w:rsidR="00016C9F" w:rsidRPr="00B21FDB" w:rsidRDefault="00016C9F" w:rsidP="006161BE">
      <w:pPr>
        <w:jc w:val="both"/>
        <w:rPr>
          <w:sz w:val="23"/>
          <w:szCs w:val="23"/>
        </w:rPr>
      </w:pPr>
    </w:p>
    <w:p w:rsidR="00016C9F" w:rsidRPr="00B21FDB" w:rsidRDefault="006161BE" w:rsidP="006161BE">
      <w:pPr>
        <w:jc w:val="both"/>
        <w:rPr>
          <w:sz w:val="23"/>
          <w:szCs w:val="23"/>
        </w:rPr>
      </w:pPr>
      <w:r w:rsidRPr="00B21FDB">
        <w:rPr>
          <w:sz w:val="23"/>
          <w:szCs w:val="23"/>
        </w:rPr>
        <w:t>“</w:t>
      </w:r>
      <w:r w:rsidR="00016C9F" w:rsidRPr="00B21FDB">
        <w:rPr>
          <w:sz w:val="23"/>
          <w:szCs w:val="23"/>
        </w:rPr>
        <w:t>Spectrum Medical Group, P.A. (“Spectrum”), is a physician-owned and directed multi-specialty medical group, with more than 170 physicians practicing in the areas of anesthesiology, physical medicine, neurology, pain management, pathology, radiology, radiation oncology, and general surgery.</w:t>
      </w:r>
      <w:r w:rsidR="00C961FA" w:rsidRPr="00B21FDB">
        <w:rPr>
          <w:sz w:val="23"/>
          <w:szCs w:val="23"/>
        </w:rPr>
        <w:t xml:space="preserve"> </w:t>
      </w:r>
      <w:r w:rsidR="00016C9F" w:rsidRPr="00B21FDB">
        <w:rPr>
          <w:sz w:val="23"/>
          <w:szCs w:val="23"/>
        </w:rPr>
        <w:t xml:space="preserve">Spectrum’s administrative offices are located in South Portland, Maine. More information about Spectrum can be found on its website at </w:t>
      </w:r>
      <w:hyperlink r:id="rId10" w:history="1">
        <w:r w:rsidR="00016C9F" w:rsidRPr="00B21FDB">
          <w:rPr>
            <w:rStyle w:val="Hyperlink"/>
            <w:sz w:val="23"/>
            <w:szCs w:val="23"/>
          </w:rPr>
          <w:t>http://www.spectrummedicalgroup.com/index.html</w:t>
        </w:r>
      </w:hyperlink>
      <w:r w:rsidRPr="00B21FDB">
        <w:rPr>
          <w:sz w:val="23"/>
          <w:szCs w:val="23"/>
        </w:rPr>
        <w:t>.”</w:t>
      </w:r>
    </w:p>
    <w:p w:rsidR="00016C9F" w:rsidRPr="00B21FDB" w:rsidRDefault="00016C9F" w:rsidP="006161BE">
      <w:pPr>
        <w:jc w:val="both"/>
        <w:rPr>
          <w:sz w:val="23"/>
          <w:szCs w:val="23"/>
        </w:rPr>
      </w:pPr>
    </w:p>
    <w:p w:rsidR="00016C9F" w:rsidRPr="00B21FDB" w:rsidRDefault="006161BE" w:rsidP="006161BE">
      <w:pPr>
        <w:jc w:val="both"/>
        <w:rPr>
          <w:color w:val="000000"/>
          <w:sz w:val="23"/>
          <w:szCs w:val="23"/>
        </w:rPr>
      </w:pPr>
      <w:r w:rsidRPr="00B21FDB">
        <w:rPr>
          <w:sz w:val="23"/>
          <w:szCs w:val="23"/>
        </w:rPr>
        <w:t>“</w:t>
      </w:r>
      <w:r w:rsidR="00016C9F" w:rsidRPr="00B21FDB">
        <w:rPr>
          <w:sz w:val="23"/>
          <w:szCs w:val="23"/>
        </w:rPr>
        <w:t xml:space="preserve">Central Maine </w:t>
      </w:r>
      <w:proofErr w:type="spellStart"/>
      <w:r w:rsidR="00016C9F" w:rsidRPr="00B21FDB">
        <w:rPr>
          <w:sz w:val="23"/>
          <w:szCs w:val="23"/>
        </w:rPr>
        <w:t>Orthopaedics</w:t>
      </w:r>
      <w:proofErr w:type="spellEnd"/>
      <w:r w:rsidR="00016C9F" w:rsidRPr="00B21FDB">
        <w:rPr>
          <w:sz w:val="23"/>
          <w:szCs w:val="23"/>
        </w:rPr>
        <w:t xml:space="preserve">, P.A. (“CMO”), is an </w:t>
      </w:r>
      <w:proofErr w:type="spellStart"/>
      <w:r w:rsidR="00016C9F" w:rsidRPr="00B21FDB">
        <w:rPr>
          <w:sz w:val="23"/>
          <w:szCs w:val="23"/>
        </w:rPr>
        <w:t>orthopaedic</w:t>
      </w:r>
      <w:proofErr w:type="spellEnd"/>
      <w:r w:rsidR="00016C9F" w:rsidRPr="00B21FDB">
        <w:rPr>
          <w:sz w:val="23"/>
          <w:szCs w:val="23"/>
        </w:rPr>
        <w:t xml:space="preserve"> practice located in Auburn, Maine, with approximate</w:t>
      </w:r>
      <w:r w:rsidR="00C961FA" w:rsidRPr="00B21FDB">
        <w:rPr>
          <w:sz w:val="23"/>
          <w:szCs w:val="23"/>
        </w:rPr>
        <w:t xml:space="preserve">ly 12 physicians and surgeons. </w:t>
      </w:r>
      <w:r w:rsidR="00016C9F" w:rsidRPr="00B21FDB">
        <w:rPr>
          <w:sz w:val="23"/>
          <w:szCs w:val="23"/>
        </w:rPr>
        <w:t>CMO is dedicated to treatment of musculoskeletal injuries and illnesses through its Ambulatory Surgery Center (“ASC”), clinic, offices and spine care center of excellence, all located at its Auburn location</w:t>
      </w:r>
      <w:r w:rsidR="00C961FA" w:rsidRPr="00B21FDB">
        <w:rPr>
          <w:sz w:val="23"/>
          <w:szCs w:val="23"/>
        </w:rPr>
        <w:t xml:space="preserve">. </w:t>
      </w:r>
      <w:r w:rsidR="00016C9F" w:rsidRPr="00B21FDB">
        <w:rPr>
          <w:sz w:val="23"/>
          <w:szCs w:val="23"/>
        </w:rPr>
        <w:t xml:space="preserve">A floor plan of CMO’s office building is included as </w:t>
      </w:r>
      <w:r w:rsidR="00016C9F" w:rsidRPr="00B21FDB">
        <w:rPr>
          <w:b/>
          <w:sz w:val="23"/>
          <w:szCs w:val="23"/>
        </w:rPr>
        <w:t>Exhibit 1</w:t>
      </w:r>
      <w:r w:rsidR="00C961FA" w:rsidRPr="00B21FDB">
        <w:rPr>
          <w:sz w:val="23"/>
          <w:szCs w:val="23"/>
        </w:rPr>
        <w:t xml:space="preserve">. </w:t>
      </w:r>
      <w:r w:rsidR="00016C9F" w:rsidRPr="00B21FDB">
        <w:rPr>
          <w:sz w:val="23"/>
          <w:szCs w:val="23"/>
        </w:rPr>
        <w:t xml:space="preserve">More information about CMO can be found on its website at </w:t>
      </w:r>
      <w:hyperlink r:id="rId11" w:history="1">
        <w:r w:rsidR="00016C9F" w:rsidRPr="00B21FDB">
          <w:rPr>
            <w:rStyle w:val="Hyperlink"/>
            <w:sz w:val="23"/>
            <w:szCs w:val="23"/>
          </w:rPr>
          <w:t>http://www.cmogroup.org/</w:t>
        </w:r>
      </w:hyperlink>
      <w:r w:rsidR="00C961FA" w:rsidRPr="00B21FDB">
        <w:rPr>
          <w:sz w:val="23"/>
          <w:szCs w:val="23"/>
        </w:rPr>
        <w:t xml:space="preserve">. </w:t>
      </w:r>
      <w:r w:rsidR="00016C9F" w:rsidRPr="00B21FDB">
        <w:rPr>
          <w:sz w:val="23"/>
          <w:szCs w:val="23"/>
        </w:rPr>
        <w:t xml:space="preserve">OA – Centers for </w:t>
      </w:r>
      <w:proofErr w:type="spellStart"/>
      <w:r w:rsidR="00016C9F" w:rsidRPr="00B21FDB">
        <w:rPr>
          <w:sz w:val="23"/>
          <w:szCs w:val="23"/>
        </w:rPr>
        <w:t>Orthopaedics</w:t>
      </w:r>
      <w:proofErr w:type="spellEnd"/>
      <w:r w:rsidR="00016C9F" w:rsidRPr="00B21FDB">
        <w:rPr>
          <w:sz w:val="23"/>
          <w:szCs w:val="23"/>
        </w:rPr>
        <w:t xml:space="preserve">, P.A. (“OA”), is an </w:t>
      </w:r>
      <w:proofErr w:type="spellStart"/>
      <w:r w:rsidR="00016C9F" w:rsidRPr="00B21FDB">
        <w:rPr>
          <w:sz w:val="23"/>
          <w:szCs w:val="23"/>
        </w:rPr>
        <w:t>orthopaedic</w:t>
      </w:r>
      <w:proofErr w:type="spellEnd"/>
      <w:r w:rsidR="00016C9F" w:rsidRPr="00B21FDB">
        <w:rPr>
          <w:sz w:val="23"/>
          <w:szCs w:val="23"/>
        </w:rPr>
        <w:t xml:space="preserve"> practice located in southern Maine, with approximate</w:t>
      </w:r>
      <w:r w:rsidR="00C961FA" w:rsidRPr="00B21FDB">
        <w:rPr>
          <w:sz w:val="23"/>
          <w:szCs w:val="23"/>
        </w:rPr>
        <w:t xml:space="preserve">ly 15 physicians and surgeons. </w:t>
      </w:r>
      <w:r w:rsidR="00016C9F" w:rsidRPr="00B21FDB">
        <w:rPr>
          <w:sz w:val="23"/>
          <w:szCs w:val="23"/>
        </w:rPr>
        <w:t xml:space="preserve">OA has locations in </w:t>
      </w:r>
      <w:r w:rsidR="00016C9F" w:rsidRPr="00B21FDB">
        <w:rPr>
          <w:color w:val="000000"/>
          <w:sz w:val="23"/>
          <w:szCs w:val="23"/>
        </w:rPr>
        <w:t xml:space="preserve">Portland, Saco, Windham, and Brunswick. OA’s </w:t>
      </w:r>
      <w:proofErr w:type="spellStart"/>
      <w:r w:rsidR="00016C9F" w:rsidRPr="00B21FDB">
        <w:rPr>
          <w:color w:val="000000"/>
          <w:sz w:val="23"/>
          <w:szCs w:val="23"/>
        </w:rPr>
        <w:t>orthopaedic</w:t>
      </w:r>
      <w:proofErr w:type="spellEnd"/>
      <w:r w:rsidR="00016C9F" w:rsidRPr="00B21FDB">
        <w:rPr>
          <w:color w:val="000000"/>
          <w:sz w:val="23"/>
          <w:szCs w:val="23"/>
        </w:rPr>
        <w:t xml:space="preserve"> specialty centers include an on-site MRI center and an ASC, both located in Portland. </w:t>
      </w:r>
      <w:r w:rsidR="00016C9F" w:rsidRPr="00B21FDB">
        <w:rPr>
          <w:sz w:val="23"/>
          <w:szCs w:val="23"/>
        </w:rPr>
        <w:t xml:space="preserve">A floor plan of OA’s Portland office building is included as </w:t>
      </w:r>
      <w:r w:rsidR="00016C9F" w:rsidRPr="00B21FDB">
        <w:rPr>
          <w:b/>
          <w:sz w:val="23"/>
          <w:szCs w:val="23"/>
        </w:rPr>
        <w:t>Exhibit 2</w:t>
      </w:r>
      <w:r w:rsidR="00C961FA" w:rsidRPr="00B21FDB">
        <w:rPr>
          <w:sz w:val="23"/>
          <w:szCs w:val="23"/>
        </w:rPr>
        <w:t xml:space="preserve">. </w:t>
      </w:r>
      <w:r w:rsidR="00016C9F" w:rsidRPr="00B21FDB">
        <w:rPr>
          <w:sz w:val="23"/>
          <w:szCs w:val="23"/>
        </w:rPr>
        <w:t>More information about OA can be found on its website at</w:t>
      </w:r>
      <w:r w:rsidR="00016C9F" w:rsidRPr="00B21FDB">
        <w:rPr>
          <w:color w:val="000000"/>
          <w:sz w:val="23"/>
          <w:szCs w:val="23"/>
        </w:rPr>
        <w:t xml:space="preserve"> </w:t>
      </w:r>
      <w:hyperlink r:id="rId12" w:history="1">
        <w:r w:rsidR="00016C9F" w:rsidRPr="00B21FDB">
          <w:rPr>
            <w:rStyle w:val="Hyperlink"/>
            <w:sz w:val="23"/>
            <w:szCs w:val="23"/>
          </w:rPr>
          <w:t>http://www.orthoassociates.com/home/</w:t>
        </w:r>
      </w:hyperlink>
      <w:r w:rsidR="00016C9F" w:rsidRPr="00B21FDB">
        <w:rPr>
          <w:color w:val="000000"/>
          <w:sz w:val="23"/>
          <w:szCs w:val="23"/>
        </w:rPr>
        <w:t>.</w:t>
      </w:r>
      <w:r w:rsidRPr="00B21FDB">
        <w:rPr>
          <w:color w:val="000000"/>
          <w:sz w:val="23"/>
          <w:szCs w:val="23"/>
        </w:rPr>
        <w:t>”</w:t>
      </w:r>
    </w:p>
    <w:p w:rsidR="00016C9F" w:rsidRPr="00B21FDB" w:rsidRDefault="00016C9F" w:rsidP="006161BE">
      <w:pPr>
        <w:ind w:firstLine="720"/>
        <w:jc w:val="both"/>
        <w:rPr>
          <w:sz w:val="23"/>
          <w:szCs w:val="23"/>
        </w:rPr>
      </w:pPr>
    </w:p>
    <w:p w:rsidR="00016C9F" w:rsidRPr="00B21FDB" w:rsidRDefault="006161BE" w:rsidP="006161BE">
      <w:pPr>
        <w:jc w:val="both"/>
        <w:rPr>
          <w:sz w:val="23"/>
          <w:szCs w:val="23"/>
        </w:rPr>
      </w:pPr>
      <w:r w:rsidRPr="00B21FDB">
        <w:rPr>
          <w:sz w:val="23"/>
          <w:szCs w:val="23"/>
        </w:rPr>
        <w:t>“</w:t>
      </w:r>
      <w:r w:rsidR="00016C9F" w:rsidRPr="00B21FDB">
        <w:rPr>
          <w:sz w:val="23"/>
          <w:szCs w:val="23"/>
        </w:rPr>
        <w:t>Spectrum, OA, and CMO desire to combine their medical practices to improve patient care and respond to changes in the market for professional health care service</w:t>
      </w:r>
      <w:r w:rsidR="00C961FA" w:rsidRPr="00B21FDB">
        <w:rPr>
          <w:sz w:val="23"/>
          <w:szCs w:val="23"/>
        </w:rPr>
        <w:t xml:space="preserve">s. </w:t>
      </w:r>
      <w:r w:rsidR="00016C9F" w:rsidRPr="00B21FDB">
        <w:rPr>
          <w:sz w:val="23"/>
          <w:szCs w:val="23"/>
        </w:rPr>
        <w:t>The groups recently executed a</w:t>
      </w:r>
      <w:r w:rsidR="00C961FA" w:rsidRPr="00B21FDB">
        <w:rPr>
          <w:sz w:val="23"/>
          <w:szCs w:val="23"/>
        </w:rPr>
        <w:t xml:space="preserve"> non-binding letter of intent. </w:t>
      </w:r>
      <w:r w:rsidR="00016C9F" w:rsidRPr="00B21FDB">
        <w:rPr>
          <w:sz w:val="23"/>
          <w:szCs w:val="23"/>
        </w:rPr>
        <w:t xml:space="preserve">Under the proposed terms, OA and CMO would become divisions of </w:t>
      </w:r>
      <w:r w:rsidR="002F33D5" w:rsidRPr="00B21FDB">
        <w:rPr>
          <w:sz w:val="23"/>
          <w:szCs w:val="23"/>
        </w:rPr>
        <w:t>Spectrum;</w:t>
      </w:r>
      <w:r w:rsidR="00016C9F" w:rsidRPr="00B21FDB">
        <w:rPr>
          <w:sz w:val="23"/>
          <w:szCs w:val="23"/>
        </w:rPr>
        <w:t xml:space="preserve"> thereby joining Spectrum’s other practice groups, such as radiology and anesthesiology, under the Spectrum umbrella. </w:t>
      </w:r>
      <w:r w:rsidR="00016C9F" w:rsidRPr="00B21FDB">
        <w:rPr>
          <w:b/>
          <w:sz w:val="23"/>
          <w:szCs w:val="23"/>
        </w:rPr>
        <w:t xml:space="preserve">Exhibit 3 </w:t>
      </w:r>
      <w:r w:rsidR="00016C9F" w:rsidRPr="00B21FDB">
        <w:rPr>
          <w:sz w:val="23"/>
          <w:szCs w:val="23"/>
        </w:rPr>
        <w:t xml:space="preserve">depicts Spectrum’s current structure.  </w:t>
      </w:r>
      <w:r w:rsidR="00016C9F" w:rsidRPr="00B21FDB">
        <w:rPr>
          <w:b/>
          <w:sz w:val="23"/>
          <w:szCs w:val="23"/>
        </w:rPr>
        <w:t>Exhibit 4</w:t>
      </w:r>
      <w:r w:rsidR="00016C9F" w:rsidRPr="00B21FDB">
        <w:rPr>
          <w:sz w:val="23"/>
          <w:szCs w:val="23"/>
        </w:rPr>
        <w:t xml:space="preserve"> depicts Spectrum’s structure post</w:t>
      </w:r>
      <w:r w:rsidR="00ED52AD" w:rsidRPr="00B21FDB">
        <w:rPr>
          <w:sz w:val="23"/>
          <w:szCs w:val="23"/>
        </w:rPr>
        <w:t>-</w:t>
      </w:r>
      <w:r w:rsidR="00C961FA" w:rsidRPr="00B21FDB">
        <w:rPr>
          <w:sz w:val="23"/>
          <w:szCs w:val="23"/>
        </w:rPr>
        <w:t xml:space="preserve">merger. </w:t>
      </w:r>
      <w:r w:rsidR="00016C9F" w:rsidRPr="00B21FDB">
        <w:rPr>
          <w:sz w:val="23"/>
          <w:szCs w:val="23"/>
        </w:rPr>
        <w:t>The transaction is struc</w:t>
      </w:r>
      <w:r w:rsidR="00C961FA" w:rsidRPr="00B21FDB">
        <w:rPr>
          <w:sz w:val="23"/>
          <w:szCs w:val="23"/>
        </w:rPr>
        <w:t xml:space="preserve">tured as a merger of entities. </w:t>
      </w:r>
      <w:r w:rsidR="00016C9F" w:rsidRPr="00B21FDB">
        <w:rPr>
          <w:sz w:val="23"/>
          <w:szCs w:val="23"/>
        </w:rPr>
        <w:t>The current physician-shareholders of OA and CMO would become physician-shareholders and employees of Spectrum</w:t>
      </w:r>
      <w:r w:rsidR="00C961FA" w:rsidRPr="00B21FDB">
        <w:rPr>
          <w:sz w:val="23"/>
          <w:szCs w:val="23"/>
        </w:rPr>
        <w:t xml:space="preserve">. </w:t>
      </w:r>
      <w:r w:rsidR="00016C9F" w:rsidRPr="00B21FDB">
        <w:rPr>
          <w:sz w:val="23"/>
          <w:szCs w:val="23"/>
        </w:rPr>
        <w:t>OA and CMO would otherwise continue with the same operations, services, and qua</w:t>
      </w:r>
      <w:r w:rsidR="00C961FA" w:rsidRPr="00B21FDB">
        <w:rPr>
          <w:sz w:val="23"/>
          <w:szCs w:val="23"/>
        </w:rPr>
        <w:t xml:space="preserve">lity standards of health care. </w:t>
      </w:r>
      <w:r w:rsidR="00016C9F" w:rsidRPr="00B21FDB">
        <w:rPr>
          <w:sz w:val="23"/>
          <w:szCs w:val="23"/>
        </w:rPr>
        <w:t>As a result of the merger, Spectrum will become the owner of the ASCs currently owned and operated by OA and CMO, and of the equipment and other assets.</w:t>
      </w:r>
      <w:r w:rsidRPr="00B21FDB">
        <w:rPr>
          <w:sz w:val="23"/>
          <w:szCs w:val="23"/>
        </w:rPr>
        <w:t>”</w:t>
      </w:r>
    </w:p>
    <w:p w:rsidR="000950BA" w:rsidRPr="00B21FDB" w:rsidRDefault="000950BA" w:rsidP="006161BE">
      <w:pPr>
        <w:jc w:val="both"/>
        <w:rPr>
          <w:sz w:val="23"/>
          <w:szCs w:val="23"/>
        </w:rPr>
      </w:pPr>
    </w:p>
    <w:p w:rsidR="00016C9F" w:rsidRPr="00B21FDB" w:rsidRDefault="006161BE" w:rsidP="006161BE">
      <w:pPr>
        <w:jc w:val="both"/>
        <w:rPr>
          <w:sz w:val="23"/>
          <w:szCs w:val="23"/>
        </w:rPr>
      </w:pPr>
      <w:r w:rsidRPr="00B21FDB">
        <w:rPr>
          <w:sz w:val="23"/>
          <w:szCs w:val="23"/>
        </w:rPr>
        <w:t>“</w:t>
      </w:r>
      <w:r w:rsidR="00016C9F" w:rsidRPr="00B21FDB">
        <w:rPr>
          <w:sz w:val="23"/>
          <w:szCs w:val="23"/>
        </w:rPr>
        <w:t>This transaction will not involve a transfer of ownership of land or realty or buildings, and no capital expenditures or construction costs are</w:t>
      </w:r>
      <w:r w:rsidR="000950BA" w:rsidRPr="00B21FDB">
        <w:rPr>
          <w:sz w:val="23"/>
          <w:szCs w:val="23"/>
        </w:rPr>
        <w:t xml:space="preserve"> associated with this project. </w:t>
      </w:r>
      <w:r w:rsidR="00016C9F" w:rsidRPr="00B21FDB">
        <w:rPr>
          <w:sz w:val="23"/>
          <w:szCs w:val="23"/>
        </w:rPr>
        <w:t>The land and buildings where CMO and OA provide service</w:t>
      </w:r>
      <w:r w:rsidR="00C961FA" w:rsidRPr="00B21FDB">
        <w:rPr>
          <w:sz w:val="23"/>
          <w:szCs w:val="23"/>
        </w:rPr>
        <w:t xml:space="preserve">s are not owned by CMO and OA. </w:t>
      </w:r>
      <w:r w:rsidR="00016C9F" w:rsidRPr="00B21FDB">
        <w:rPr>
          <w:sz w:val="23"/>
          <w:szCs w:val="23"/>
        </w:rPr>
        <w:t>Rather, CMO and OA lease the space and Spectrum will assume those</w:t>
      </w:r>
      <w:r w:rsidR="000950BA" w:rsidRPr="00B21FDB">
        <w:rPr>
          <w:sz w:val="23"/>
          <w:szCs w:val="23"/>
        </w:rPr>
        <w:t xml:space="preserve"> leases as part of the merger. </w:t>
      </w:r>
      <w:r w:rsidR="00016C9F" w:rsidRPr="00B21FDB">
        <w:rPr>
          <w:sz w:val="23"/>
          <w:szCs w:val="23"/>
        </w:rPr>
        <w:t>A copy of the leases</w:t>
      </w:r>
      <w:r w:rsidR="000950BA" w:rsidRPr="00B21FDB">
        <w:rPr>
          <w:sz w:val="23"/>
          <w:szCs w:val="23"/>
        </w:rPr>
        <w:t xml:space="preserve"> can be provided upon request. </w:t>
      </w:r>
      <w:r w:rsidR="00016C9F" w:rsidRPr="00B21FDB">
        <w:rPr>
          <w:sz w:val="23"/>
          <w:szCs w:val="23"/>
        </w:rPr>
        <w:t xml:space="preserve">The proposed transaction will not result in any change in the physical location or operations of the ASCs, nor will the transaction alter the current physician-patient </w:t>
      </w:r>
      <w:r w:rsidR="00016C9F" w:rsidRPr="00B21FDB">
        <w:rPr>
          <w:sz w:val="23"/>
          <w:szCs w:val="23"/>
        </w:rPr>
        <w:lastRenderedPageBreak/>
        <w:t xml:space="preserve">relationships or affect how patients interact on a day-to-day basis with the </w:t>
      </w:r>
      <w:r w:rsidR="000950BA" w:rsidRPr="00B21FDB">
        <w:rPr>
          <w:sz w:val="23"/>
          <w:szCs w:val="23"/>
        </w:rPr>
        <w:t xml:space="preserve">practices. </w:t>
      </w:r>
      <w:r w:rsidR="00016C9F" w:rsidRPr="00B21FDB">
        <w:rPr>
          <w:sz w:val="23"/>
          <w:szCs w:val="23"/>
        </w:rPr>
        <w:t>Further, Spectrum intends to assume the ASC provider numbers from CMO and</w:t>
      </w:r>
      <w:r w:rsidR="000950BA" w:rsidRPr="00B21FDB">
        <w:rPr>
          <w:sz w:val="23"/>
          <w:szCs w:val="23"/>
        </w:rPr>
        <w:t xml:space="preserve"> OA respectively.</w:t>
      </w:r>
      <w:r w:rsidRPr="00B21FDB">
        <w:rPr>
          <w:sz w:val="23"/>
          <w:szCs w:val="23"/>
        </w:rPr>
        <w:t>”</w:t>
      </w:r>
    </w:p>
    <w:p w:rsidR="00016C9F" w:rsidRPr="00B21FDB" w:rsidRDefault="00016C9F" w:rsidP="006161BE">
      <w:pPr>
        <w:ind w:firstLine="720"/>
        <w:jc w:val="both"/>
        <w:rPr>
          <w:sz w:val="23"/>
          <w:szCs w:val="23"/>
        </w:rPr>
      </w:pPr>
    </w:p>
    <w:p w:rsidR="004B1D7A" w:rsidRPr="006161BE" w:rsidRDefault="006161BE" w:rsidP="006161BE">
      <w:pPr>
        <w:jc w:val="both"/>
        <w:rPr>
          <w:sz w:val="22"/>
          <w:szCs w:val="22"/>
        </w:rPr>
      </w:pPr>
      <w:r w:rsidRPr="00B21FDB">
        <w:rPr>
          <w:sz w:val="23"/>
          <w:szCs w:val="23"/>
        </w:rPr>
        <w:t>“</w:t>
      </w:r>
      <w:r w:rsidR="00016C9F" w:rsidRPr="00B21FDB">
        <w:rPr>
          <w:sz w:val="23"/>
          <w:szCs w:val="23"/>
        </w:rPr>
        <w:t>The parties intend to finalize the proposed merger on or before December 31, 2013, and will work with CMS and DHHS licensing to effectuate transfer of the ASC</w:t>
      </w:r>
      <w:r w:rsidR="00470BB4" w:rsidRPr="00B21FDB">
        <w:rPr>
          <w:sz w:val="23"/>
          <w:szCs w:val="23"/>
        </w:rPr>
        <w:t xml:space="preserve"> provider numbers to Spectrum.</w:t>
      </w:r>
      <w:r w:rsidRPr="00B21FDB">
        <w:rPr>
          <w:sz w:val="23"/>
          <w:szCs w:val="23"/>
        </w:rPr>
        <w:t>”</w:t>
      </w:r>
    </w:p>
    <w:p w:rsidR="007076E3" w:rsidRDefault="007076E3" w:rsidP="00DE3A4A">
      <w:pPr>
        <w:rPr>
          <w:b/>
        </w:rPr>
      </w:pPr>
    </w:p>
    <w:p w:rsidR="00B21FDB" w:rsidRDefault="00B21FDB">
      <w:pPr>
        <w:rPr>
          <w:b/>
        </w:rPr>
      </w:pPr>
      <w:r>
        <w:rPr>
          <w:b/>
        </w:rPr>
        <w:br w:type="page"/>
      </w:r>
    </w:p>
    <w:p w:rsidR="000950BA" w:rsidRPr="00DE3A4A" w:rsidRDefault="004B1D7A" w:rsidP="00DE3A4A">
      <w:pPr>
        <w:rPr>
          <w:b/>
        </w:rPr>
      </w:pPr>
      <w:r w:rsidRPr="00DE3A4A">
        <w:rPr>
          <w:b/>
        </w:rPr>
        <w:t>B.</w:t>
      </w:r>
      <w:r w:rsidRPr="00DE3A4A">
        <w:rPr>
          <w:b/>
        </w:rPr>
        <w:tab/>
      </w:r>
      <w:r w:rsidR="000950BA" w:rsidRPr="00DE3A4A">
        <w:rPr>
          <w:b/>
        </w:rPr>
        <w:t xml:space="preserve">CONU </w:t>
      </w:r>
      <w:r w:rsidRPr="00DE3A4A">
        <w:rPr>
          <w:b/>
        </w:rPr>
        <w:t>Comments</w:t>
      </w:r>
    </w:p>
    <w:p w:rsidR="00470BB4" w:rsidRPr="00CA53E9" w:rsidRDefault="00470BB4" w:rsidP="00470BB4">
      <w:pPr>
        <w:rPr>
          <w:sz w:val="16"/>
          <w:szCs w:val="16"/>
        </w:rPr>
      </w:pPr>
    </w:p>
    <w:p w:rsidR="009227F9" w:rsidRPr="000950BA" w:rsidRDefault="00C1327B" w:rsidP="006161BE">
      <w:pPr>
        <w:spacing w:before="40" w:line="276" w:lineRule="auto"/>
        <w:jc w:val="both"/>
      </w:pPr>
      <w:r w:rsidRPr="000950BA">
        <w:t>This transaction is subject t</w:t>
      </w:r>
      <w:r w:rsidR="006161BE">
        <w:t xml:space="preserve">o certificate of need review because of </w:t>
      </w:r>
      <w:r w:rsidRPr="000950BA">
        <w:t xml:space="preserve"> 22 M</w:t>
      </w:r>
      <w:r w:rsidR="003246BB" w:rsidRPr="000950BA">
        <w:t>.</w:t>
      </w:r>
      <w:r w:rsidRPr="000950BA">
        <w:t>R</w:t>
      </w:r>
      <w:r w:rsidR="003246BB" w:rsidRPr="000950BA">
        <w:t>.</w:t>
      </w:r>
      <w:r w:rsidRPr="000950BA">
        <w:t>S</w:t>
      </w:r>
      <w:r w:rsidR="003246BB" w:rsidRPr="000950BA">
        <w:t>.A</w:t>
      </w:r>
      <w:r w:rsidRPr="000950BA">
        <w:t xml:space="preserve"> §329 </w:t>
      </w:r>
      <w:r w:rsidR="008809D7">
        <w:t>that states</w:t>
      </w:r>
      <w:r w:rsidR="003246BB" w:rsidRPr="000950BA">
        <w:t xml:space="preserve"> that a</w:t>
      </w:r>
      <w:r w:rsidRPr="000950BA">
        <w:t xml:space="preserve"> certificate of need from the department is required for</w:t>
      </w:r>
      <w:r w:rsidR="003246BB" w:rsidRPr="000950BA">
        <w:t xml:space="preserve"> a</w:t>
      </w:r>
      <w:r w:rsidR="004B1D7A" w:rsidRPr="000950BA">
        <w:t>ny transfer of ownership or acquisition under lease or comparable arrangement or through donation or any acquisition of control of a health care facility under lease, management agreement or comparable arrangement or through donation that would have required review if the transfer or acquisition had been by purchase,</w:t>
      </w:r>
      <w:r w:rsidR="00224144" w:rsidRPr="000950BA">
        <w:t xml:space="preserve"> except in emergencies when that acquisition of control is at the direction of the department.</w:t>
      </w:r>
      <w:r w:rsidR="007B4E9C" w:rsidRPr="000950BA">
        <w:t xml:space="preserve"> Physician office space is specifically excluded from CON review</w:t>
      </w:r>
      <w:r w:rsidR="008809D7">
        <w:t>. H</w:t>
      </w:r>
      <w:r w:rsidR="007B4E9C" w:rsidRPr="000950BA">
        <w:t>owever</w:t>
      </w:r>
      <w:r w:rsidR="008809D7">
        <w:t>,</w:t>
      </w:r>
      <w:r w:rsidR="007B4E9C" w:rsidRPr="000950BA">
        <w:t xml:space="preserve"> as stated by the applicant</w:t>
      </w:r>
      <w:r w:rsidR="008809D7">
        <w:t>,</w:t>
      </w:r>
      <w:r w:rsidR="007B4E9C" w:rsidRPr="000950BA">
        <w:t xml:space="preserve"> OA and CMO have Ambulatory Surgical Centers which are subject to review. </w:t>
      </w:r>
      <w:r w:rsidR="009A534A" w:rsidRPr="000950BA">
        <w:t xml:space="preserve">Ambulatory surgical facility is defined in the CON statute as a facility, not part of a </w:t>
      </w:r>
      <w:r w:rsidR="002F33D5" w:rsidRPr="000950BA">
        <w:t>hospital, which</w:t>
      </w:r>
      <w:r w:rsidR="009A534A" w:rsidRPr="000950BA">
        <w:t xml:space="preserve"> provided surgical treatment to patients not requiring hospitalization.</w:t>
      </w:r>
      <w:r w:rsidR="00C912D2" w:rsidRPr="000950BA">
        <w:t xml:space="preserve"> Ambulatory surgical facility does not include the offices of private physicians or dentists, whether in individual or group practice.</w:t>
      </w:r>
    </w:p>
    <w:p w:rsidR="00016C9F" w:rsidRPr="000950BA" w:rsidRDefault="00016C9F" w:rsidP="009B2F66">
      <w:pPr>
        <w:spacing w:before="40" w:line="276" w:lineRule="auto"/>
        <w:rPr>
          <w:rFonts w:eastAsiaTheme="minorHAnsi"/>
          <w:sz w:val="23"/>
          <w:szCs w:val="23"/>
        </w:rPr>
        <w:sectPr w:rsidR="00016C9F" w:rsidRPr="000950BA" w:rsidSect="00274534">
          <w:headerReference w:type="default" r:id="rId13"/>
          <w:pgSz w:w="12240" w:h="15840"/>
          <w:pgMar w:top="1008" w:right="1440" w:bottom="1008" w:left="1440" w:header="720" w:footer="720" w:gutter="0"/>
          <w:cols w:space="720"/>
          <w:docGrid w:linePitch="360"/>
        </w:sectPr>
      </w:pPr>
    </w:p>
    <w:p w:rsidR="004336AF" w:rsidRPr="0094720C" w:rsidRDefault="009467CE" w:rsidP="002C043C">
      <w:pPr>
        <w:pStyle w:val="Heading1"/>
        <w:spacing w:before="0"/>
        <w:rPr>
          <w:rFonts w:ascii="Times New Roman" w:hAnsi="Times New Roman" w:cs="Times New Roman"/>
          <w:sz w:val="28"/>
          <w:szCs w:val="28"/>
          <w:u w:val="single"/>
        </w:rPr>
      </w:pPr>
      <w:r w:rsidRPr="0094720C">
        <w:rPr>
          <w:rFonts w:ascii="Times New Roman" w:hAnsi="Times New Roman" w:cs="Times New Roman"/>
          <w:sz w:val="28"/>
          <w:szCs w:val="28"/>
          <w:u w:val="single"/>
        </w:rPr>
        <w:t>II</w:t>
      </w:r>
      <w:r w:rsidR="004336AF" w:rsidRPr="0094720C">
        <w:rPr>
          <w:rFonts w:ascii="Times New Roman" w:hAnsi="Times New Roman" w:cs="Times New Roman"/>
          <w:sz w:val="28"/>
          <w:szCs w:val="28"/>
          <w:u w:val="single"/>
        </w:rPr>
        <w:t xml:space="preserve">. </w:t>
      </w:r>
      <w:bookmarkEnd w:id="2"/>
      <w:r w:rsidR="00BB1625" w:rsidRPr="0094720C">
        <w:rPr>
          <w:rFonts w:ascii="Times New Roman" w:hAnsi="Times New Roman" w:cs="Times New Roman"/>
          <w:sz w:val="28"/>
          <w:szCs w:val="28"/>
          <w:u w:val="single"/>
        </w:rPr>
        <w:t>Fit, Willing and Able</w:t>
      </w:r>
    </w:p>
    <w:p w:rsidR="00DE3A4A" w:rsidRPr="00DE3A4A" w:rsidRDefault="00DE3A4A" w:rsidP="00DE3A4A"/>
    <w:p w:rsidR="00BB1625" w:rsidRPr="002C043C" w:rsidRDefault="00E20C60" w:rsidP="002C043C">
      <w:pPr>
        <w:pStyle w:val="Heading2"/>
        <w:spacing w:before="0" w:after="0"/>
        <w:rPr>
          <w:rFonts w:ascii="Times New Roman" w:hAnsi="Times New Roman" w:cs="Times New Roman"/>
          <w:i w:val="0"/>
          <w:sz w:val="24"/>
          <w:szCs w:val="24"/>
        </w:rPr>
      </w:pPr>
      <w:r w:rsidRPr="002C043C">
        <w:rPr>
          <w:rFonts w:ascii="Times New Roman" w:hAnsi="Times New Roman" w:cs="Times New Roman"/>
          <w:i w:val="0"/>
          <w:sz w:val="24"/>
          <w:szCs w:val="24"/>
        </w:rPr>
        <w:t>A.</w:t>
      </w:r>
      <w:r w:rsidRPr="002C043C">
        <w:rPr>
          <w:rFonts w:ascii="Times New Roman" w:hAnsi="Times New Roman" w:cs="Times New Roman"/>
          <w:i w:val="0"/>
          <w:sz w:val="24"/>
          <w:szCs w:val="24"/>
        </w:rPr>
        <w:tab/>
        <w:t xml:space="preserve">From Applicant </w:t>
      </w:r>
    </w:p>
    <w:p w:rsidR="000950BA" w:rsidRPr="00CA53E9" w:rsidRDefault="000950BA" w:rsidP="0055003B">
      <w:pPr>
        <w:rPr>
          <w:sz w:val="16"/>
          <w:szCs w:val="16"/>
        </w:rPr>
      </w:pPr>
    </w:p>
    <w:p w:rsidR="00016C9F" w:rsidRPr="006161BE" w:rsidRDefault="006161BE" w:rsidP="006161BE">
      <w:pPr>
        <w:jc w:val="both"/>
        <w:rPr>
          <w:sz w:val="22"/>
          <w:szCs w:val="22"/>
        </w:rPr>
      </w:pPr>
      <w:r>
        <w:rPr>
          <w:sz w:val="22"/>
          <w:szCs w:val="22"/>
        </w:rPr>
        <w:t>“</w:t>
      </w:r>
      <w:r w:rsidR="00016C9F" w:rsidRPr="006161BE">
        <w:rPr>
          <w:sz w:val="22"/>
          <w:szCs w:val="22"/>
        </w:rPr>
        <w:t>Spectrum Medical</w:t>
      </w:r>
      <w:r w:rsidR="000950BA" w:rsidRPr="006161BE">
        <w:rPr>
          <w:sz w:val="22"/>
          <w:szCs w:val="22"/>
        </w:rPr>
        <w:t xml:space="preserve"> Group, P.A., is the applicant.</w:t>
      </w:r>
      <w:r w:rsidR="00016C9F" w:rsidRPr="006161BE">
        <w:rPr>
          <w:sz w:val="22"/>
          <w:szCs w:val="22"/>
        </w:rPr>
        <w:t xml:space="preserve"> Spectrum is a Professional Association organized under the Maine Profess</w:t>
      </w:r>
      <w:r w:rsidR="000950BA" w:rsidRPr="006161BE">
        <w:rPr>
          <w:sz w:val="22"/>
          <w:szCs w:val="22"/>
        </w:rPr>
        <w:t xml:space="preserve">ional Service Corporation Act. </w:t>
      </w:r>
      <w:r w:rsidR="00016C9F" w:rsidRPr="006161BE">
        <w:rPr>
          <w:sz w:val="22"/>
          <w:szCs w:val="22"/>
        </w:rPr>
        <w:t>Spectrum’s administrative offices are located at 324 Gannett Drive, Suite 200, South Portland, Maine and 6 State St</w:t>
      </w:r>
      <w:r w:rsidR="000950BA" w:rsidRPr="006161BE">
        <w:rPr>
          <w:sz w:val="22"/>
          <w:szCs w:val="22"/>
        </w:rPr>
        <w:t xml:space="preserve">reet, Suite 611, Bangor Maine. </w:t>
      </w:r>
      <w:r w:rsidR="00016C9F" w:rsidRPr="006161BE">
        <w:rPr>
          <w:sz w:val="22"/>
          <w:szCs w:val="22"/>
        </w:rPr>
        <w:t>Spectrum includes three subsidiary organizations; SMG Beacon, FIDES, and Spect</w:t>
      </w:r>
      <w:r w:rsidR="000950BA" w:rsidRPr="006161BE">
        <w:rPr>
          <w:sz w:val="22"/>
          <w:szCs w:val="22"/>
        </w:rPr>
        <w:t xml:space="preserve">rum Medical Insurance Company. </w:t>
      </w:r>
      <w:r w:rsidR="00016C9F" w:rsidRPr="006161BE">
        <w:rPr>
          <w:sz w:val="22"/>
          <w:szCs w:val="22"/>
        </w:rPr>
        <w:t xml:space="preserve">SMG Beacon is </w:t>
      </w:r>
      <w:r w:rsidR="000950BA" w:rsidRPr="006161BE">
        <w:rPr>
          <w:sz w:val="22"/>
          <w:szCs w:val="22"/>
        </w:rPr>
        <w:t xml:space="preserve">currently an inactive company. </w:t>
      </w:r>
      <w:r w:rsidR="00016C9F" w:rsidRPr="006161BE">
        <w:rPr>
          <w:sz w:val="22"/>
          <w:szCs w:val="22"/>
        </w:rPr>
        <w:t>FIDES is a subsidiary devoted to marketing and licensing Spectrum’s internally developed quality improvement tool, and Spectrum Medical Insurance Company i</w:t>
      </w:r>
      <w:r w:rsidR="000950BA" w:rsidRPr="006161BE">
        <w:rPr>
          <w:sz w:val="22"/>
          <w:szCs w:val="22"/>
        </w:rPr>
        <w:t xml:space="preserve">s a captive insurance company. </w:t>
      </w:r>
      <w:r w:rsidR="00016C9F" w:rsidRPr="006161BE">
        <w:rPr>
          <w:sz w:val="22"/>
          <w:szCs w:val="22"/>
        </w:rPr>
        <w:t>Spectrum provides professional physician services to many hospitals and other healt</w:t>
      </w:r>
      <w:r w:rsidR="000950BA" w:rsidRPr="006161BE">
        <w:rPr>
          <w:sz w:val="22"/>
          <w:szCs w:val="22"/>
        </w:rPr>
        <w:t xml:space="preserve">h care providers in the State. </w:t>
      </w:r>
      <w:r w:rsidR="00016C9F" w:rsidRPr="006161BE">
        <w:rPr>
          <w:sz w:val="22"/>
          <w:szCs w:val="22"/>
        </w:rPr>
        <w:t xml:space="preserve">More information about the health care facilities and services in which Spectrum is involved can be found on Spectrum’s website at </w:t>
      </w:r>
      <w:hyperlink r:id="rId14" w:history="1">
        <w:r w:rsidR="00016C9F" w:rsidRPr="006161BE">
          <w:rPr>
            <w:rStyle w:val="Hyperlink"/>
            <w:sz w:val="22"/>
            <w:szCs w:val="22"/>
          </w:rPr>
          <w:t>http://www.spectrummedicalgroup.com/our-partners-affiliations.html</w:t>
        </w:r>
      </w:hyperlink>
      <w:r w:rsidR="00016C9F" w:rsidRPr="006161BE">
        <w:rPr>
          <w:sz w:val="22"/>
          <w:szCs w:val="22"/>
        </w:rPr>
        <w:t>.</w:t>
      </w:r>
      <w:r>
        <w:rPr>
          <w:sz w:val="22"/>
          <w:szCs w:val="22"/>
        </w:rPr>
        <w:t>”</w:t>
      </w:r>
    </w:p>
    <w:p w:rsidR="00016C9F" w:rsidRPr="006161BE" w:rsidRDefault="00016C9F" w:rsidP="006161BE">
      <w:pPr>
        <w:jc w:val="both"/>
        <w:rPr>
          <w:sz w:val="22"/>
          <w:szCs w:val="22"/>
        </w:rPr>
      </w:pPr>
    </w:p>
    <w:p w:rsidR="00016C9F" w:rsidRPr="006161BE" w:rsidRDefault="006161BE" w:rsidP="006161BE">
      <w:pPr>
        <w:jc w:val="both"/>
        <w:rPr>
          <w:sz w:val="22"/>
          <w:szCs w:val="22"/>
        </w:rPr>
      </w:pPr>
      <w:r>
        <w:rPr>
          <w:sz w:val="22"/>
          <w:szCs w:val="22"/>
        </w:rPr>
        <w:t>“</w:t>
      </w:r>
      <w:r w:rsidR="00016C9F" w:rsidRPr="006161BE">
        <w:rPr>
          <w:sz w:val="22"/>
          <w:szCs w:val="22"/>
        </w:rPr>
        <w:t xml:space="preserve">Spectrum is fit, willing and able to successfully undertake this venture and provide the </w:t>
      </w:r>
      <w:proofErr w:type="spellStart"/>
      <w:r w:rsidR="00016C9F" w:rsidRPr="006161BE">
        <w:rPr>
          <w:sz w:val="22"/>
          <w:szCs w:val="22"/>
        </w:rPr>
        <w:t>orthopaedic</w:t>
      </w:r>
      <w:proofErr w:type="spellEnd"/>
      <w:r w:rsidR="00016C9F" w:rsidRPr="006161BE">
        <w:rPr>
          <w:sz w:val="22"/>
          <w:szCs w:val="22"/>
        </w:rPr>
        <w:t xml:space="preserve"> health care services contemplated. The following factors establish that Spectrum can provide the services at</w:t>
      </w:r>
      <w:r w:rsidR="00C961FA" w:rsidRPr="006161BE">
        <w:rPr>
          <w:sz w:val="22"/>
          <w:szCs w:val="22"/>
        </w:rPr>
        <w:t xml:space="preserve"> the proper standard of care.</w:t>
      </w:r>
      <w:r>
        <w:rPr>
          <w:sz w:val="22"/>
          <w:szCs w:val="22"/>
        </w:rPr>
        <w:t>”</w:t>
      </w:r>
    </w:p>
    <w:p w:rsidR="00016C9F" w:rsidRPr="006161BE" w:rsidRDefault="00016C9F" w:rsidP="006161BE">
      <w:pPr>
        <w:jc w:val="both"/>
        <w:rPr>
          <w:sz w:val="22"/>
          <w:szCs w:val="22"/>
        </w:rPr>
      </w:pPr>
    </w:p>
    <w:p w:rsidR="00016C9F" w:rsidRPr="006161BE" w:rsidRDefault="006161BE" w:rsidP="006161BE">
      <w:pPr>
        <w:jc w:val="both"/>
        <w:rPr>
          <w:sz w:val="22"/>
          <w:szCs w:val="22"/>
        </w:rPr>
      </w:pPr>
      <w:r>
        <w:rPr>
          <w:sz w:val="22"/>
          <w:szCs w:val="22"/>
        </w:rPr>
        <w:t>“</w:t>
      </w:r>
      <w:r w:rsidR="00016C9F" w:rsidRPr="006161BE">
        <w:rPr>
          <w:sz w:val="22"/>
          <w:szCs w:val="22"/>
        </w:rPr>
        <w:t xml:space="preserve">First, Spectrum is a financially sound health care entity, providing a progressive model for the ownership of the </w:t>
      </w:r>
      <w:proofErr w:type="spellStart"/>
      <w:r w:rsidR="00016C9F" w:rsidRPr="006161BE">
        <w:rPr>
          <w:sz w:val="22"/>
          <w:szCs w:val="22"/>
        </w:rPr>
        <w:t>orthopaedic</w:t>
      </w:r>
      <w:proofErr w:type="spellEnd"/>
      <w:r w:rsidR="00016C9F" w:rsidRPr="006161BE">
        <w:rPr>
          <w:sz w:val="22"/>
          <w:szCs w:val="22"/>
        </w:rPr>
        <w:t xml:space="preserve"> ambulatory surgery centers</w:t>
      </w:r>
      <w:r w:rsidR="00C961FA" w:rsidRPr="006161BE">
        <w:rPr>
          <w:sz w:val="22"/>
          <w:szCs w:val="22"/>
        </w:rPr>
        <w:t xml:space="preserve"> involved in this transaction. </w:t>
      </w:r>
      <w:r w:rsidR="00016C9F" w:rsidRPr="006161BE">
        <w:rPr>
          <w:sz w:val="22"/>
          <w:szCs w:val="22"/>
        </w:rPr>
        <w:t xml:space="preserve">Attached as </w:t>
      </w:r>
      <w:r w:rsidR="00016C9F" w:rsidRPr="006161BE">
        <w:rPr>
          <w:b/>
          <w:sz w:val="22"/>
          <w:szCs w:val="22"/>
        </w:rPr>
        <w:t xml:space="preserve">Exhibit 5 </w:t>
      </w:r>
      <w:r w:rsidR="00016C9F" w:rsidRPr="006161BE">
        <w:rPr>
          <w:sz w:val="22"/>
          <w:szCs w:val="22"/>
        </w:rPr>
        <w:t>we have included aggregate financial information demonstrating Spectrum, OA, and CMO’s ability to support the co</w:t>
      </w:r>
      <w:r w:rsidR="00C961FA" w:rsidRPr="006161BE">
        <w:rPr>
          <w:sz w:val="22"/>
          <w:szCs w:val="22"/>
        </w:rPr>
        <w:t>ntinued operation of the ASCs.</w:t>
      </w:r>
      <w:r>
        <w:rPr>
          <w:sz w:val="22"/>
          <w:szCs w:val="22"/>
        </w:rPr>
        <w:t>”</w:t>
      </w:r>
    </w:p>
    <w:p w:rsidR="00016C9F" w:rsidRPr="006161BE" w:rsidRDefault="00016C9F" w:rsidP="006161BE">
      <w:pPr>
        <w:jc w:val="both"/>
        <w:rPr>
          <w:sz w:val="22"/>
          <w:szCs w:val="22"/>
        </w:rPr>
      </w:pPr>
    </w:p>
    <w:p w:rsidR="00016C9F" w:rsidRPr="006161BE" w:rsidRDefault="006161BE" w:rsidP="006161BE">
      <w:pPr>
        <w:jc w:val="both"/>
        <w:rPr>
          <w:sz w:val="22"/>
          <w:szCs w:val="22"/>
        </w:rPr>
      </w:pPr>
      <w:r>
        <w:rPr>
          <w:sz w:val="22"/>
          <w:szCs w:val="22"/>
        </w:rPr>
        <w:t>“</w:t>
      </w:r>
      <w:r w:rsidR="00016C9F" w:rsidRPr="006161BE">
        <w:rPr>
          <w:sz w:val="22"/>
          <w:szCs w:val="22"/>
        </w:rPr>
        <w:t xml:space="preserve">Second, Spectrum has already proven itself as a sound owner and manager of other </w:t>
      </w:r>
      <w:r w:rsidR="00C961FA" w:rsidRPr="006161BE">
        <w:rPr>
          <w:sz w:val="22"/>
          <w:szCs w:val="22"/>
        </w:rPr>
        <w:t>thriving health care practices.</w:t>
      </w:r>
      <w:r w:rsidR="00016C9F" w:rsidRPr="006161BE">
        <w:rPr>
          <w:sz w:val="22"/>
          <w:szCs w:val="22"/>
        </w:rPr>
        <w:t xml:space="preserve"> The Spectrum governance model, as depicted on </w:t>
      </w:r>
      <w:r w:rsidR="00016C9F" w:rsidRPr="006161BE">
        <w:rPr>
          <w:b/>
          <w:sz w:val="22"/>
          <w:szCs w:val="22"/>
        </w:rPr>
        <w:t>Exhibit 6</w:t>
      </w:r>
      <w:r w:rsidR="00016C9F" w:rsidRPr="006161BE">
        <w:rPr>
          <w:sz w:val="22"/>
          <w:szCs w:val="22"/>
        </w:rPr>
        <w:t xml:space="preserve"> with associated divisions and clinical specialties, requires a deep understanding of health care delivery to successfully manage a wide r</w:t>
      </w:r>
      <w:r w:rsidR="00C961FA" w:rsidRPr="006161BE">
        <w:rPr>
          <w:sz w:val="22"/>
          <w:szCs w:val="22"/>
        </w:rPr>
        <w:t xml:space="preserve">ange of health care providers. </w:t>
      </w:r>
      <w:r w:rsidR="00016C9F" w:rsidRPr="006161BE">
        <w:rPr>
          <w:sz w:val="22"/>
          <w:szCs w:val="22"/>
        </w:rPr>
        <w:t xml:space="preserve">From the quality assurance perspective, Spectrum </w:t>
      </w:r>
      <w:r w:rsidR="00C961FA" w:rsidRPr="006161BE">
        <w:rPr>
          <w:sz w:val="22"/>
          <w:szCs w:val="22"/>
        </w:rPr>
        <w:t xml:space="preserve">is an industry leader. </w:t>
      </w:r>
      <w:r w:rsidR="00016C9F" w:rsidRPr="006161BE">
        <w:rPr>
          <w:sz w:val="22"/>
          <w:szCs w:val="22"/>
        </w:rPr>
        <w:t>This is exemplified through its internal policies and procedures, as well as by its activities within the health care marketplace</w:t>
      </w:r>
      <w:r w:rsidR="00C961FA" w:rsidRPr="006161BE">
        <w:rPr>
          <w:sz w:val="22"/>
          <w:szCs w:val="22"/>
        </w:rPr>
        <w:t xml:space="preserve">. </w:t>
      </w:r>
      <w:r w:rsidR="00016C9F" w:rsidRPr="006161BE">
        <w:rPr>
          <w:sz w:val="22"/>
          <w:szCs w:val="22"/>
        </w:rPr>
        <w:t>Spectrum’s Quality Committee (QC) reports direc</w:t>
      </w:r>
      <w:r w:rsidR="00C961FA" w:rsidRPr="006161BE">
        <w:rPr>
          <w:sz w:val="22"/>
          <w:szCs w:val="22"/>
        </w:rPr>
        <w:t xml:space="preserve">tly to its Board of Directors. </w:t>
      </w:r>
      <w:r w:rsidR="00016C9F" w:rsidRPr="006161BE">
        <w:rPr>
          <w:sz w:val="22"/>
          <w:szCs w:val="22"/>
        </w:rPr>
        <w:t>The QC provides leadership for all Spectrum quality improvement activities. To monitor quality and effectiveness, Spectrum carefully assesses patient and physician satisfaction and conducts outcome measurements as well as utilization review.  Spectrum’s strategic initiatives include:</w:t>
      </w:r>
    </w:p>
    <w:p w:rsidR="00016C9F" w:rsidRPr="006161BE" w:rsidRDefault="00016C9F" w:rsidP="006161BE">
      <w:pPr>
        <w:jc w:val="both"/>
        <w:rPr>
          <w:sz w:val="22"/>
          <w:szCs w:val="22"/>
        </w:rPr>
      </w:pPr>
    </w:p>
    <w:p w:rsidR="00016C9F" w:rsidRPr="006161BE" w:rsidRDefault="00016C9F" w:rsidP="006161BE">
      <w:pPr>
        <w:ind w:left="1440" w:hanging="720"/>
        <w:jc w:val="both"/>
        <w:rPr>
          <w:sz w:val="22"/>
          <w:szCs w:val="22"/>
        </w:rPr>
      </w:pPr>
      <w:r w:rsidRPr="006161BE">
        <w:rPr>
          <w:sz w:val="22"/>
          <w:szCs w:val="22"/>
        </w:rPr>
        <w:t>•</w:t>
      </w:r>
      <w:r w:rsidRPr="006161BE">
        <w:rPr>
          <w:sz w:val="22"/>
          <w:szCs w:val="22"/>
        </w:rPr>
        <w:tab/>
        <w:t>Providing the highest quality sub-specialty servic</w:t>
      </w:r>
      <w:r w:rsidR="006161BE">
        <w:rPr>
          <w:sz w:val="22"/>
          <w:szCs w:val="22"/>
        </w:rPr>
        <w:t xml:space="preserve">es to our customers </w:t>
      </w:r>
      <w:r w:rsidR="006161BE">
        <w:rPr>
          <w:sz w:val="22"/>
          <w:szCs w:val="22"/>
        </w:rPr>
        <w:tab/>
        <w:t xml:space="preserve">(patients, </w:t>
      </w:r>
      <w:r w:rsidRPr="006161BE">
        <w:rPr>
          <w:sz w:val="22"/>
          <w:szCs w:val="22"/>
        </w:rPr>
        <w:t>hospitals, physicians, citizens)</w:t>
      </w:r>
    </w:p>
    <w:p w:rsidR="00016C9F" w:rsidRPr="006161BE" w:rsidRDefault="00016C9F" w:rsidP="006161BE">
      <w:pPr>
        <w:jc w:val="both"/>
        <w:rPr>
          <w:sz w:val="22"/>
          <w:szCs w:val="22"/>
        </w:rPr>
      </w:pPr>
    </w:p>
    <w:p w:rsidR="00016C9F" w:rsidRPr="006161BE" w:rsidRDefault="00016C9F" w:rsidP="006161BE">
      <w:pPr>
        <w:ind w:left="720"/>
        <w:jc w:val="both"/>
        <w:rPr>
          <w:sz w:val="22"/>
          <w:szCs w:val="22"/>
        </w:rPr>
      </w:pPr>
      <w:r w:rsidRPr="006161BE">
        <w:rPr>
          <w:sz w:val="22"/>
          <w:szCs w:val="22"/>
        </w:rPr>
        <w:t>•</w:t>
      </w:r>
      <w:r w:rsidRPr="006161BE">
        <w:rPr>
          <w:sz w:val="22"/>
          <w:szCs w:val="22"/>
        </w:rPr>
        <w:tab/>
      </w:r>
      <w:r w:rsidR="0094720C">
        <w:rPr>
          <w:sz w:val="22"/>
          <w:szCs w:val="22"/>
        </w:rPr>
        <w:tab/>
      </w:r>
      <w:r w:rsidRPr="006161BE">
        <w:rPr>
          <w:sz w:val="22"/>
          <w:szCs w:val="22"/>
        </w:rPr>
        <w:t>Serving as a partner in solving regional healthcare issues (quality, access, cost).</w:t>
      </w:r>
    </w:p>
    <w:p w:rsidR="00016C9F" w:rsidRPr="006161BE" w:rsidRDefault="00016C9F" w:rsidP="006161BE">
      <w:pPr>
        <w:jc w:val="both"/>
        <w:rPr>
          <w:sz w:val="22"/>
          <w:szCs w:val="22"/>
        </w:rPr>
      </w:pPr>
    </w:p>
    <w:p w:rsidR="00016C9F" w:rsidRPr="006161BE" w:rsidRDefault="00016C9F" w:rsidP="006161BE">
      <w:pPr>
        <w:jc w:val="both"/>
        <w:rPr>
          <w:sz w:val="22"/>
          <w:szCs w:val="22"/>
        </w:rPr>
      </w:pPr>
      <w:r w:rsidRPr="006161BE">
        <w:rPr>
          <w:sz w:val="22"/>
          <w:szCs w:val="22"/>
        </w:rPr>
        <w:t>To support these initiatives, each of the specialties and divisions at Spectrum has a comprehensive quality program, demonstrating enhanced patient sa</w:t>
      </w:r>
      <w:r w:rsidR="000950BA" w:rsidRPr="006161BE">
        <w:rPr>
          <w:sz w:val="22"/>
          <w:szCs w:val="22"/>
        </w:rPr>
        <w:t>fety, and improved outcomes.</w:t>
      </w:r>
      <w:r w:rsidR="006161BE">
        <w:rPr>
          <w:sz w:val="22"/>
          <w:szCs w:val="22"/>
        </w:rPr>
        <w:t>”</w:t>
      </w:r>
    </w:p>
    <w:p w:rsidR="00016C9F" w:rsidRPr="006161BE" w:rsidRDefault="00016C9F" w:rsidP="0055003B">
      <w:pPr>
        <w:rPr>
          <w:sz w:val="22"/>
          <w:szCs w:val="22"/>
        </w:rPr>
      </w:pPr>
    </w:p>
    <w:p w:rsidR="00016C9F" w:rsidRPr="006161BE" w:rsidRDefault="006161BE" w:rsidP="006161BE">
      <w:pPr>
        <w:jc w:val="both"/>
        <w:rPr>
          <w:sz w:val="22"/>
          <w:szCs w:val="22"/>
        </w:rPr>
      </w:pPr>
      <w:r>
        <w:rPr>
          <w:sz w:val="22"/>
          <w:szCs w:val="22"/>
        </w:rPr>
        <w:t>“</w:t>
      </w:r>
      <w:r w:rsidR="00016C9F" w:rsidRPr="006161BE">
        <w:rPr>
          <w:sz w:val="22"/>
          <w:szCs w:val="22"/>
        </w:rPr>
        <w:t>Further, Spectrum has developed its own quality improvement program for anesthesia providers, including a software program, FIDES, that it currently markets and licenses to anesthesia practices through its wholly-owned entity, FIDES, LLC.   FIDES, LLC has recently become certified by the U.S. Department of Health and Human Services as a Patient Safety Organization, and is involved in pioneering quality assurance efforts with anesthesia providers.</w:t>
      </w:r>
      <w:r w:rsidR="00016C9F" w:rsidRPr="006161BE">
        <w:rPr>
          <w:i/>
          <w:sz w:val="22"/>
          <w:szCs w:val="22"/>
        </w:rPr>
        <w:t xml:space="preserve"> </w:t>
      </w:r>
      <w:r w:rsidR="00016C9F" w:rsidRPr="006161BE">
        <w:rPr>
          <w:sz w:val="22"/>
          <w:szCs w:val="22"/>
        </w:rPr>
        <w:t xml:space="preserve">More information about FIDES can be found here:  </w:t>
      </w:r>
      <w:hyperlink r:id="rId15" w:history="1">
        <w:r w:rsidR="00016C9F" w:rsidRPr="006161BE">
          <w:rPr>
            <w:rStyle w:val="Hyperlink"/>
            <w:sz w:val="22"/>
            <w:szCs w:val="22"/>
          </w:rPr>
          <w:t>http://www.fidesqa.com/</w:t>
        </w:r>
      </w:hyperlink>
      <w:r w:rsidR="00016C9F" w:rsidRPr="006161BE">
        <w:rPr>
          <w:rStyle w:val="Hyperlink"/>
          <w:sz w:val="22"/>
          <w:szCs w:val="22"/>
        </w:rPr>
        <w:t>.</w:t>
      </w:r>
      <w:r w:rsidR="00016C9F" w:rsidRPr="006161BE">
        <w:rPr>
          <w:i/>
          <w:sz w:val="22"/>
          <w:szCs w:val="22"/>
        </w:rPr>
        <w:t xml:space="preserve"> </w:t>
      </w:r>
      <w:r w:rsidR="00016C9F" w:rsidRPr="006161BE">
        <w:rPr>
          <w:sz w:val="22"/>
          <w:szCs w:val="22"/>
        </w:rPr>
        <w:t xml:space="preserve">The groundbreaking work Spectrum has successfully undertaken with FIDES would be used in connection with the </w:t>
      </w:r>
      <w:proofErr w:type="spellStart"/>
      <w:r w:rsidR="00016C9F" w:rsidRPr="006161BE">
        <w:rPr>
          <w:sz w:val="22"/>
          <w:szCs w:val="22"/>
        </w:rPr>
        <w:t>orthopaedic</w:t>
      </w:r>
      <w:proofErr w:type="spellEnd"/>
      <w:r w:rsidR="00016C9F" w:rsidRPr="006161BE">
        <w:rPr>
          <w:sz w:val="22"/>
          <w:szCs w:val="22"/>
        </w:rPr>
        <w:t xml:space="preserve"> divisions.</w:t>
      </w:r>
      <w:r>
        <w:rPr>
          <w:sz w:val="22"/>
          <w:szCs w:val="22"/>
        </w:rPr>
        <w:t>”</w:t>
      </w:r>
    </w:p>
    <w:p w:rsidR="00016C9F" w:rsidRPr="006161BE" w:rsidRDefault="00016C9F" w:rsidP="006161BE">
      <w:pPr>
        <w:jc w:val="both"/>
        <w:rPr>
          <w:i/>
          <w:sz w:val="22"/>
          <w:szCs w:val="22"/>
        </w:rPr>
      </w:pPr>
    </w:p>
    <w:p w:rsidR="00016C9F" w:rsidRPr="006161BE" w:rsidRDefault="006161BE" w:rsidP="006161BE">
      <w:pPr>
        <w:jc w:val="both"/>
        <w:rPr>
          <w:sz w:val="22"/>
          <w:szCs w:val="22"/>
        </w:rPr>
      </w:pPr>
      <w:r>
        <w:rPr>
          <w:sz w:val="22"/>
          <w:szCs w:val="22"/>
        </w:rPr>
        <w:t>“</w:t>
      </w:r>
      <w:r w:rsidR="00016C9F" w:rsidRPr="006161BE">
        <w:rPr>
          <w:sz w:val="22"/>
          <w:szCs w:val="22"/>
        </w:rPr>
        <w:t>Third and perhaps most important, the two ambulatory surgical centers involved in the planned merger already meet, if not exceed, industry standards of competence and quality with respect to the provision of orthopedic surgical services. Both entities are already licensed a</w:t>
      </w:r>
      <w:r w:rsidR="002127AD" w:rsidRPr="006161BE">
        <w:rPr>
          <w:sz w:val="22"/>
          <w:szCs w:val="22"/>
        </w:rPr>
        <w:t xml:space="preserve">mbulatory surgical facilities. </w:t>
      </w:r>
      <w:r w:rsidR="00016C9F" w:rsidRPr="006161BE">
        <w:rPr>
          <w:sz w:val="22"/>
          <w:szCs w:val="22"/>
        </w:rPr>
        <w:t>By statute, the ‘fit, willing and able’ criteria are deemed to have been met if “the applicant is a provider of health care services that are substantially similar to those services being reviewed and is li</w:t>
      </w:r>
      <w:r w:rsidR="002127AD" w:rsidRPr="006161BE">
        <w:rPr>
          <w:sz w:val="22"/>
          <w:szCs w:val="22"/>
        </w:rPr>
        <w:t xml:space="preserve">censed in the State, and </w:t>
      </w:r>
      <w:r w:rsidR="00016C9F" w:rsidRPr="006161BE">
        <w:rPr>
          <w:sz w:val="22"/>
          <w:szCs w:val="22"/>
        </w:rPr>
        <w:t>the services previously provided in the State by the applicant are consistent with applicable licensing</w:t>
      </w:r>
      <w:r w:rsidR="002127AD" w:rsidRPr="006161BE">
        <w:rPr>
          <w:sz w:val="22"/>
          <w:szCs w:val="22"/>
        </w:rPr>
        <w:t xml:space="preserve"> and certification standards.” 22 M.R.S.A. §335 (7</w:t>
      </w:r>
      <w:proofErr w:type="gramStart"/>
      <w:r w:rsidR="002127AD" w:rsidRPr="006161BE">
        <w:rPr>
          <w:sz w:val="22"/>
          <w:szCs w:val="22"/>
        </w:rPr>
        <w:t>)(</w:t>
      </w:r>
      <w:proofErr w:type="gramEnd"/>
      <w:r w:rsidR="002127AD" w:rsidRPr="006161BE">
        <w:rPr>
          <w:sz w:val="22"/>
          <w:szCs w:val="22"/>
        </w:rPr>
        <w:t>A).</w:t>
      </w:r>
      <w:r w:rsidR="00016C9F" w:rsidRPr="006161BE">
        <w:rPr>
          <w:sz w:val="22"/>
          <w:szCs w:val="22"/>
        </w:rPr>
        <w:t xml:space="preserve"> To the extent the orthopedic services are a new addition to Spectrum’s well-established current structure, the following points are noteworthy: </w:t>
      </w:r>
    </w:p>
    <w:p w:rsidR="00016C9F" w:rsidRPr="006161BE" w:rsidRDefault="00016C9F" w:rsidP="006161BE">
      <w:pPr>
        <w:pStyle w:val="ListParagraph"/>
        <w:ind w:left="1080"/>
        <w:jc w:val="both"/>
        <w:rPr>
          <w:sz w:val="22"/>
          <w:szCs w:val="22"/>
        </w:rPr>
      </w:pPr>
    </w:p>
    <w:p w:rsidR="00016C9F" w:rsidRPr="006161BE" w:rsidRDefault="00016C9F" w:rsidP="003A78B1">
      <w:pPr>
        <w:pStyle w:val="ListParagraph"/>
        <w:numPr>
          <w:ilvl w:val="0"/>
          <w:numId w:val="7"/>
        </w:numPr>
        <w:jc w:val="both"/>
        <w:rPr>
          <w:sz w:val="22"/>
          <w:szCs w:val="22"/>
        </w:rPr>
      </w:pPr>
      <w:r w:rsidRPr="006161BE">
        <w:rPr>
          <w:sz w:val="22"/>
          <w:szCs w:val="22"/>
        </w:rPr>
        <w:t xml:space="preserve">OA and CMO are both financially sound entities, operating successfully in their respective geographic regions for years.  </w:t>
      </w:r>
      <w:r w:rsidRPr="006161BE">
        <w:rPr>
          <w:sz w:val="22"/>
          <w:szCs w:val="22"/>
          <w:u w:val="single"/>
        </w:rPr>
        <w:t>See</w:t>
      </w:r>
      <w:r w:rsidRPr="006161BE">
        <w:rPr>
          <w:sz w:val="22"/>
          <w:szCs w:val="22"/>
        </w:rPr>
        <w:t xml:space="preserve"> </w:t>
      </w:r>
      <w:r w:rsidRPr="006161BE">
        <w:rPr>
          <w:b/>
          <w:sz w:val="22"/>
          <w:szCs w:val="22"/>
        </w:rPr>
        <w:t>Exhibit 5</w:t>
      </w:r>
      <w:r w:rsidRPr="006161BE">
        <w:rPr>
          <w:sz w:val="22"/>
          <w:szCs w:val="22"/>
        </w:rPr>
        <w:t xml:space="preserve">. </w:t>
      </w:r>
    </w:p>
    <w:p w:rsidR="00016C9F" w:rsidRPr="006161BE" w:rsidRDefault="00016C9F" w:rsidP="006161BE">
      <w:pPr>
        <w:pStyle w:val="ListParagraph"/>
        <w:ind w:left="1080"/>
        <w:jc w:val="both"/>
        <w:rPr>
          <w:sz w:val="22"/>
          <w:szCs w:val="22"/>
        </w:rPr>
      </w:pPr>
    </w:p>
    <w:p w:rsidR="00016C9F" w:rsidRPr="006161BE" w:rsidRDefault="00016C9F" w:rsidP="003A78B1">
      <w:pPr>
        <w:pStyle w:val="ListParagraph"/>
        <w:numPr>
          <w:ilvl w:val="0"/>
          <w:numId w:val="7"/>
        </w:numPr>
        <w:jc w:val="both"/>
        <w:rPr>
          <w:sz w:val="22"/>
          <w:szCs w:val="22"/>
        </w:rPr>
      </w:pPr>
      <w:r w:rsidRPr="006161BE">
        <w:rPr>
          <w:sz w:val="22"/>
          <w:szCs w:val="22"/>
        </w:rPr>
        <w:t xml:space="preserve">OA and CMO already have quality assurance plans and procedures which have passed state licensure and audited review standards. A copy of such plans, and/or performance measures can be provided, upon request.  </w:t>
      </w:r>
    </w:p>
    <w:p w:rsidR="00016C9F" w:rsidRPr="006161BE" w:rsidRDefault="00016C9F" w:rsidP="006161BE">
      <w:pPr>
        <w:pStyle w:val="ListParagraph"/>
        <w:jc w:val="both"/>
        <w:rPr>
          <w:sz w:val="22"/>
          <w:szCs w:val="22"/>
        </w:rPr>
      </w:pPr>
    </w:p>
    <w:p w:rsidR="00016C9F" w:rsidRPr="006161BE" w:rsidRDefault="00016C9F" w:rsidP="003A78B1">
      <w:pPr>
        <w:pStyle w:val="ListParagraph"/>
        <w:numPr>
          <w:ilvl w:val="0"/>
          <w:numId w:val="7"/>
        </w:numPr>
        <w:jc w:val="both"/>
        <w:rPr>
          <w:sz w:val="22"/>
          <w:szCs w:val="22"/>
        </w:rPr>
      </w:pPr>
      <w:r w:rsidRPr="006161BE">
        <w:rPr>
          <w:sz w:val="22"/>
          <w:szCs w:val="22"/>
        </w:rPr>
        <w:t>OA and CMO already have quality assurance data systems that generate timely, meaningful, informative quality, performance and financial data, and that illustrate the standard of care to which both facilities adhere</w:t>
      </w:r>
      <w:r w:rsidR="002127AD" w:rsidRPr="006161BE">
        <w:rPr>
          <w:sz w:val="22"/>
          <w:szCs w:val="22"/>
        </w:rPr>
        <w:t xml:space="preserve">. </w:t>
      </w:r>
      <w:r w:rsidRPr="006161BE">
        <w:rPr>
          <w:sz w:val="22"/>
          <w:szCs w:val="22"/>
        </w:rPr>
        <w:t>Such inform</w:t>
      </w:r>
      <w:r w:rsidR="002127AD" w:rsidRPr="006161BE">
        <w:rPr>
          <w:sz w:val="22"/>
          <w:szCs w:val="22"/>
        </w:rPr>
        <w:t xml:space="preserve">ation is available on request. </w:t>
      </w:r>
      <w:r w:rsidRPr="006161BE">
        <w:rPr>
          <w:sz w:val="22"/>
          <w:szCs w:val="22"/>
        </w:rPr>
        <w:t>OA convenes quarterly meetings of the Board’s Quality Assessment and Performance Improvement (QAPI) committee.  The QAPI meetings address a range of issues, including ASU complications and infection reviews, charging and documentation accuracy, outcomes measurement efforts, and re-credentialing of physicians and other licensed professionals.  OA also performs ongoing peer-reviewed monitoring of care on a systematic basis for all physi</w:t>
      </w:r>
      <w:r w:rsidR="002127AD" w:rsidRPr="006161BE">
        <w:rPr>
          <w:sz w:val="22"/>
          <w:szCs w:val="22"/>
        </w:rPr>
        <w:t xml:space="preserve">cians and mid-level providers. </w:t>
      </w:r>
      <w:r w:rsidRPr="006161BE">
        <w:rPr>
          <w:sz w:val="22"/>
          <w:szCs w:val="22"/>
        </w:rPr>
        <w:t>All of these programs will remain in place.</w:t>
      </w:r>
    </w:p>
    <w:p w:rsidR="00016C9F" w:rsidRPr="006161BE" w:rsidRDefault="00016C9F" w:rsidP="006161BE">
      <w:pPr>
        <w:pStyle w:val="ListParagraph"/>
        <w:jc w:val="both"/>
        <w:rPr>
          <w:sz w:val="22"/>
          <w:szCs w:val="22"/>
        </w:rPr>
      </w:pPr>
    </w:p>
    <w:p w:rsidR="00016C9F" w:rsidRPr="006161BE" w:rsidRDefault="00016C9F" w:rsidP="003A78B1">
      <w:pPr>
        <w:pStyle w:val="ListParagraph"/>
        <w:numPr>
          <w:ilvl w:val="0"/>
          <w:numId w:val="7"/>
        </w:numPr>
        <w:jc w:val="both"/>
        <w:rPr>
          <w:sz w:val="22"/>
          <w:szCs w:val="22"/>
        </w:rPr>
      </w:pPr>
      <w:r w:rsidRPr="006161BE">
        <w:rPr>
          <w:sz w:val="22"/>
          <w:szCs w:val="22"/>
        </w:rPr>
        <w:t>Like Spectrum, CMO and OA are members of associations that demand and evidence the commitment to providing high quality services. The ASCs at CMO and OA are accredited by the Accreditation Association for Ambulatory Health Care (AAAHC) for meeting nationally recognized standards for the pr</w:t>
      </w:r>
      <w:r w:rsidR="002127AD" w:rsidRPr="006161BE">
        <w:rPr>
          <w:sz w:val="22"/>
          <w:szCs w:val="22"/>
        </w:rPr>
        <w:t xml:space="preserve">ovision of quality healthcare. </w:t>
      </w:r>
      <w:r w:rsidRPr="006161BE">
        <w:rPr>
          <w:sz w:val="22"/>
          <w:szCs w:val="22"/>
        </w:rPr>
        <w:t xml:space="preserve">Spectrum anticipates continued AAAHC accreditation, post-merger. </w:t>
      </w:r>
    </w:p>
    <w:p w:rsidR="00016C9F" w:rsidRPr="006161BE" w:rsidRDefault="00016C9F" w:rsidP="006161BE">
      <w:pPr>
        <w:pStyle w:val="ListParagraph"/>
        <w:ind w:left="1080"/>
        <w:jc w:val="both"/>
        <w:rPr>
          <w:sz w:val="22"/>
          <w:szCs w:val="22"/>
        </w:rPr>
      </w:pPr>
    </w:p>
    <w:p w:rsidR="00016C9F" w:rsidRPr="006161BE" w:rsidRDefault="00016C9F" w:rsidP="003A78B1">
      <w:pPr>
        <w:pStyle w:val="ListParagraph"/>
        <w:numPr>
          <w:ilvl w:val="0"/>
          <w:numId w:val="7"/>
        </w:numPr>
        <w:jc w:val="both"/>
        <w:rPr>
          <w:sz w:val="22"/>
          <w:szCs w:val="22"/>
        </w:rPr>
      </w:pPr>
      <w:r w:rsidRPr="006161BE">
        <w:rPr>
          <w:sz w:val="22"/>
          <w:szCs w:val="22"/>
        </w:rPr>
        <w:t>Spectrum will be assuming the current provider numbers</w:t>
      </w:r>
      <w:r w:rsidR="002127AD" w:rsidRPr="006161BE">
        <w:rPr>
          <w:sz w:val="22"/>
          <w:szCs w:val="22"/>
        </w:rPr>
        <w:t xml:space="preserve">. </w:t>
      </w:r>
      <w:r w:rsidRPr="006161BE">
        <w:rPr>
          <w:sz w:val="22"/>
          <w:szCs w:val="22"/>
        </w:rPr>
        <w:t xml:space="preserve">Spectrum has already reached out to both DHHS and CMS regarding the transfer of ownership of the ASCs. Because the operations of the ASCs will not materially </w:t>
      </w:r>
      <w:proofErr w:type="gramStart"/>
      <w:r w:rsidRPr="006161BE">
        <w:rPr>
          <w:sz w:val="22"/>
          <w:szCs w:val="22"/>
        </w:rPr>
        <w:t>differ</w:t>
      </w:r>
      <w:proofErr w:type="gramEnd"/>
      <w:r w:rsidRPr="006161BE">
        <w:rPr>
          <w:sz w:val="22"/>
          <w:szCs w:val="22"/>
        </w:rPr>
        <w:t xml:space="preserve"> pre and post-merger, we do not anticipate any issues with respect to licensure and certification.</w:t>
      </w:r>
    </w:p>
    <w:p w:rsidR="00016C9F" w:rsidRPr="006161BE" w:rsidRDefault="00016C9F" w:rsidP="006161BE">
      <w:pPr>
        <w:pStyle w:val="ListParagraph"/>
        <w:jc w:val="both"/>
        <w:rPr>
          <w:sz w:val="22"/>
          <w:szCs w:val="22"/>
        </w:rPr>
      </w:pPr>
    </w:p>
    <w:p w:rsidR="00016C9F" w:rsidRPr="006161BE" w:rsidRDefault="00016C9F" w:rsidP="003A78B1">
      <w:pPr>
        <w:pStyle w:val="ListParagraph"/>
        <w:numPr>
          <w:ilvl w:val="0"/>
          <w:numId w:val="7"/>
        </w:numPr>
        <w:jc w:val="both"/>
        <w:rPr>
          <w:sz w:val="22"/>
          <w:szCs w:val="22"/>
        </w:rPr>
      </w:pPr>
      <w:r w:rsidRPr="006161BE">
        <w:rPr>
          <w:sz w:val="22"/>
          <w:szCs w:val="22"/>
        </w:rPr>
        <w:t>No material changes are planned for the ASCs relative to current operations</w:t>
      </w:r>
      <w:r w:rsidRPr="006161BE">
        <w:rPr>
          <w:b/>
          <w:sz w:val="22"/>
          <w:szCs w:val="22"/>
        </w:rPr>
        <w:t>.</w:t>
      </w:r>
      <w:r w:rsidR="006161BE">
        <w:rPr>
          <w:b/>
          <w:sz w:val="22"/>
          <w:szCs w:val="22"/>
        </w:rPr>
        <w:t>”</w:t>
      </w:r>
    </w:p>
    <w:p w:rsidR="00016C9F" w:rsidRPr="006161BE" w:rsidRDefault="00016C9F" w:rsidP="006161BE">
      <w:pPr>
        <w:pStyle w:val="ListParagraph"/>
        <w:jc w:val="both"/>
        <w:rPr>
          <w:sz w:val="22"/>
          <w:szCs w:val="22"/>
        </w:rPr>
      </w:pPr>
    </w:p>
    <w:p w:rsidR="009E6636" w:rsidRPr="006161BE" w:rsidRDefault="006161BE" w:rsidP="006161BE">
      <w:pPr>
        <w:pStyle w:val="ListParagraph"/>
        <w:ind w:left="0"/>
        <w:jc w:val="both"/>
        <w:rPr>
          <w:sz w:val="22"/>
          <w:szCs w:val="22"/>
        </w:rPr>
      </w:pPr>
      <w:r>
        <w:rPr>
          <w:sz w:val="22"/>
          <w:szCs w:val="22"/>
        </w:rPr>
        <w:t>“</w:t>
      </w:r>
      <w:r w:rsidR="00016C9F" w:rsidRPr="006161BE">
        <w:rPr>
          <w:sz w:val="22"/>
          <w:szCs w:val="22"/>
        </w:rPr>
        <w:t>All of the above illustrates that the current ASCs meet industry standards, and that Spectrum is, and will continue to be, fit, willing and able to own and successfully operate the ASC entitie</w:t>
      </w:r>
      <w:r w:rsidR="000950BA" w:rsidRPr="006161BE">
        <w:rPr>
          <w:sz w:val="22"/>
          <w:szCs w:val="22"/>
        </w:rPr>
        <w:t>s involved in this transaction.</w:t>
      </w:r>
      <w:r>
        <w:rPr>
          <w:sz w:val="22"/>
          <w:szCs w:val="22"/>
        </w:rPr>
        <w:t>”</w:t>
      </w:r>
    </w:p>
    <w:p w:rsidR="002C043C" w:rsidRDefault="002C043C">
      <w:pPr>
        <w:rPr>
          <w:b/>
        </w:rPr>
      </w:pPr>
      <w:r>
        <w:rPr>
          <w:b/>
        </w:rPr>
        <w:br w:type="page"/>
      </w:r>
    </w:p>
    <w:p w:rsidR="00257FA4" w:rsidRPr="00304AA4" w:rsidRDefault="00257FA4" w:rsidP="00C96AEA">
      <w:pPr>
        <w:pStyle w:val="Heading2"/>
        <w:spacing w:after="0"/>
        <w:rPr>
          <w:rFonts w:ascii="Times New Roman" w:hAnsi="Times New Roman" w:cs="Times New Roman"/>
          <w:b w:val="0"/>
          <w:i w:val="0"/>
          <w:sz w:val="24"/>
          <w:szCs w:val="24"/>
        </w:rPr>
      </w:pPr>
      <w:r w:rsidRPr="00304AA4">
        <w:rPr>
          <w:rFonts w:ascii="Times New Roman" w:hAnsi="Times New Roman" w:cs="Times New Roman"/>
          <w:i w:val="0"/>
          <w:sz w:val="24"/>
          <w:szCs w:val="24"/>
        </w:rPr>
        <w:t>B.</w:t>
      </w:r>
      <w:r w:rsidRPr="00304AA4">
        <w:rPr>
          <w:rFonts w:ascii="Times New Roman" w:hAnsi="Times New Roman" w:cs="Times New Roman"/>
          <w:i w:val="0"/>
          <w:sz w:val="24"/>
          <w:szCs w:val="24"/>
        </w:rPr>
        <w:tab/>
        <w:t xml:space="preserve">CONU Discussion </w:t>
      </w:r>
    </w:p>
    <w:p w:rsidR="00DE3A4A" w:rsidRPr="00CA53E9" w:rsidRDefault="00DE3A4A" w:rsidP="00C96AEA">
      <w:pPr>
        <w:rPr>
          <w:b/>
          <w:sz w:val="16"/>
          <w:szCs w:val="16"/>
        </w:rPr>
      </w:pPr>
    </w:p>
    <w:p w:rsidR="006161BE" w:rsidRPr="002C043C" w:rsidRDefault="00257FA4" w:rsidP="00C96AEA">
      <w:pPr>
        <w:outlineLvl w:val="2"/>
        <w:rPr>
          <w:b/>
        </w:rPr>
      </w:pPr>
      <w:r w:rsidRPr="002C043C">
        <w:rPr>
          <w:b/>
        </w:rPr>
        <w:t xml:space="preserve">CON </w:t>
      </w:r>
      <w:r w:rsidR="008C0128" w:rsidRPr="002C043C">
        <w:rPr>
          <w:b/>
        </w:rPr>
        <w:t>Standard</w:t>
      </w:r>
    </w:p>
    <w:p w:rsidR="006161BE" w:rsidRPr="00CA53E9" w:rsidRDefault="006161BE" w:rsidP="00B21FDB">
      <w:pPr>
        <w:pStyle w:val="ListParagraph"/>
        <w:ind w:left="0"/>
        <w:rPr>
          <w:b/>
          <w:sz w:val="16"/>
          <w:szCs w:val="16"/>
        </w:rPr>
      </w:pPr>
    </w:p>
    <w:p w:rsidR="009227F9" w:rsidRPr="000950BA" w:rsidRDefault="009227F9" w:rsidP="006161BE">
      <w:pPr>
        <w:jc w:val="both"/>
      </w:pPr>
      <w:r w:rsidRPr="000950BA">
        <w:t>The r</w:t>
      </w:r>
      <w:r w:rsidR="009E6636" w:rsidRPr="000950BA">
        <w:t xml:space="preserve">elevant </w:t>
      </w:r>
      <w:r w:rsidRPr="000950BA">
        <w:t xml:space="preserve">standard </w:t>
      </w:r>
      <w:r w:rsidR="009E6636" w:rsidRPr="000950BA">
        <w:t xml:space="preserve">for inclusion in this section </w:t>
      </w:r>
      <w:r w:rsidRPr="000950BA">
        <w:t>is</w:t>
      </w:r>
      <w:r w:rsidR="009E6636" w:rsidRPr="000950BA">
        <w:t xml:space="preserve"> specific to the determination 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w:t>
      </w:r>
    </w:p>
    <w:p w:rsidR="009227F9" w:rsidRPr="000950BA" w:rsidRDefault="009227F9" w:rsidP="006161BE">
      <w:pPr>
        <w:jc w:val="both"/>
      </w:pPr>
    </w:p>
    <w:p w:rsidR="009E6636" w:rsidRDefault="009E6636" w:rsidP="006161BE">
      <w:pPr>
        <w:jc w:val="both"/>
      </w:pPr>
      <w:r w:rsidRPr="000950BA">
        <w:t>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licensing and certification standards.</w:t>
      </w:r>
    </w:p>
    <w:p w:rsidR="000950BA" w:rsidRDefault="000950BA" w:rsidP="000950BA">
      <w:pPr>
        <w:rPr>
          <w:b/>
        </w:rPr>
      </w:pPr>
    </w:p>
    <w:p w:rsidR="00257FA4" w:rsidRPr="002C043C" w:rsidRDefault="00257FA4" w:rsidP="00C96AEA">
      <w:pPr>
        <w:outlineLvl w:val="2"/>
        <w:rPr>
          <w:b/>
        </w:rPr>
      </w:pPr>
      <w:r w:rsidRPr="002C043C">
        <w:rPr>
          <w:b/>
        </w:rPr>
        <w:t>CON Analysis</w:t>
      </w:r>
    </w:p>
    <w:p w:rsidR="00257FA4" w:rsidRPr="00CA53E9" w:rsidRDefault="00257FA4" w:rsidP="00257FA4">
      <w:pPr>
        <w:ind w:left="360"/>
        <w:rPr>
          <w:b/>
          <w:sz w:val="16"/>
          <w:szCs w:val="16"/>
        </w:rPr>
      </w:pPr>
    </w:p>
    <w:p w:rsidR="009227F9" w:rsidRPr="000950BA" w:rsidRDefault="00E11F6C" w:rsidP="006161BE">
      <w:pPr>
        <w:jc w:val="both"/>
      </w:pPr>
      <w:r w:rsidRPr="000950BA">
        <w:t xml:space="preserve">The most recent survey of Central Maine </w:t>
      </w:r>
      <w:proofErr w:type="spellStart"/>
      <w:r w:rsidRPr="000950BA">
        <w:t>Orthopaedics</w:t>
      </w:r>
      <w:proofErr w:type="spellEnd"/>
      <w:r w:rsidRPr="000950BA">
        <w:t xml:space="preserve"> </w:t>
      </w:r>
      <w:r w:rsidR="00761F4F" w:rsidRPr="000950BA">
        <w:t xml:space="preserve">(CMO) </w:t>
      </w:r>
      <w:r w:rsidRPr="000950BA">
        <w:t xml:space="preserve">was completed on June 6, 2013. As part of the survey some violations were cited. There were three </w:t>
      </w:r>
      <w:r w:rsidR="007F7BFC" w:rsidRPr="000950BA">
        <w:t>violations</w:t>
      </w:r>
      <w:r w:rsidRPr="000950BA">
        <w:t xml:space="preserve"> of personnel stan</w:t>
      </w:r>
      <w:r w:rsidR="00761F4F" w:rsidRPr="000950BA">
        <w:t xml:space="preserve">dards. Two employees were working as operation room technicians without the required certifications. One of the prior employees </w:t>
      </w:r>
      <w:r w:rsidR="007F7BFC" w:rsidRPr="000950BA">
        <w:t xml:space="preserve">was </w:t>
      </w:r>
      <w:r w:rsidR="00761F4F" w:rsidRPr="000950BA">
        <w:t>employed as a medical assistant but does not have the proper certification for that position either. Expired endotracheal tubes were located in t</w:t>
      </w:r>
      <w:r w:rsidR="00CA53E9">
        <w:t>wo different operating rooms. Fifteen of nineteen</w:t>
      </w:r>
      <w:r w:rsidR="00761F4F" w:rsidRPr="000950BA">
        <w:t xml:space="preserve"> expired the month previously and the remaining </w:t>
      </w:r>
      <w:r w:rsidR="00CA53E9">
        <w:t>four</w:t>
      </w:r>
      <w:r w:rsidR="00761F4F" w:rsidRPr="000950BA">
        <w:t xml:space="preserve"> expired in November 2012. The facility was also surveyed for life safety issues and was found to be in substantial compliance. A plan of </w:t>
      </w:r>
      <w:r w:rsidR="007F7BFC" w:rsidRPr="000950BA">
        <w:t xml:space="preserve">correction was received from the facility by </w:t>
      </w:r>
      <w:proofErr w:type="gramStart"/>
      <w:r w:rsidR="007F7BFC" w:rsidRPr="000950BA">
        <w:t>Licensing</w:t>
      </w:r>
      <w:proofErr w:type="gramEnd"/>
      <w:r w:rsidR="007F7BFC" w:rsidRPr="000950BA">
        <w:t xml:space="preserve"> staff on July 3, 2013.</w:t>
      </w:r>
      <w:r w:rsidR="00CA53E9">
        <w:t xml:space="preserve"> </w:t>
      </w:r>
      <w:r w:rsidR="00761F4F" w:rsidRPr="000950BA">
        <w:t xml:space="preserve">CMO’s administrator is Dr. Matthew Bush. He has been administrator since 10/26/2011. The facility ownership is listed as Central Maine </w:t>
      </w:r>
      <w:proofErr w:type="spellStart"/>
      <w:r w:rsidR="00761F4F" w:rsidRPr="000950BA">
        <w:t>Orthopaedics</w:t>
      </w:r>
      <w:proofErr w:type="spellEnd"/>
      <w:r w:rsidR="00761F4F" w:rsidRPr="000950BA">
        <w:t xml:space="preserve">, PA. </w:t>
      </w:r>
    </w:p>
    <w:p w:rsidR="007F7BFC" w:rsidRPr="000950BA" w:rsidRDefault="007F7BFC" w:rsidP="006161BE">
      <w:pPr>
        <w:jc w:val="both"/>
      </w:pPr>
    </w:p>
    <w:p w:rsidR="006D1170" w:rsidRDefault="007F7BFC" w:rsidP="006161BE">
      <w:pPr>
        <w:jc w:val="both"/>
      </w:pPr>
      <w:r w:rsidRPr="000950BA">
        <w:t xml:space="preserve">The most recent survey of </w:t>
      </w:r>
      <w:proofErr w:type="spellStart"/>
      <w:r w:rsidRPr="000950BA">
        <w:t>Orthopaedic</w:t>
      </w:r>
      <w:proofErr w:type="spellEnd"/>
      <w:r w:rsidRPr="000950BA">
        <w:t xml:space="preserve"> Surgery Center (OA) was completed on November 16, 2009. As part of the survey many violations were cited. There were twenty-one vi</w:t>
      </w:r>
      <w:r w:rsidR="00ED52AD" w:rsidRPr="000950BA">
        <w:t>olations of governing standards</w:t>
      </w:r>
      <w:r w:rsidRPr="000950BA">
        <w:t xml:space="preserve">. </w:t>
      </w:r>
      <w:r w:rsidR="00E42E71" w:rsidRPr="000950BA">
        <w:t xml:space="preserve">The facility did not have a contract review process in order to ascertain the safety of contracted services. The facility did not have a disaster preparedness plan. The facility was cited for immediate jeopardy to the health and safety of patients. These serious issues were corrected by December 15, 2009. The quality and performance improvement (QAPI) </w:t>
      </w:r>
      <w:r w:rsidR="002F33D5" w:rsidRPr="000950BA">
        <w:t>programs were</w:t>
      </w:r>
      <w:r w:rsidR="00E42E71" w:rsidRPr="000950BA">
        <w:t xml:space="preserve"> found to b</w:t>
      </w:r>
      <w:r w:rsidR="00CA53E9">
        <w:t>e out of compliance because of six issues. All of the</w:t>
      </w:r>
      <w:r w:rsidR="00E42E71" w:rsidRPr="000950BA">
        <w:t xml:space="preserve"> corrections were made by January 15, 2010. </w:t>
      </w:r>
      <w:r w:rsidRPr="000950BA">
        <w:t xml:space="preserve">The facility was also surveyed for life safety issues and was found to be in substantial compliance. </w:t>
      </w:r>
      <w:r w:rsidR="00E42E71" w:rsidRPr="000950BA">
        <w:t xml:space="preserve">Since the federal </w:t>
      </w:r>
      <w:r w:rsidR="00F927FF" w:rsidRPr="000950BA">
        <w:t>inspection,</w:t>
      </w:r>
      <w:r w:rsidR="00E42E71" w:rsidRPr="000950BA">
        <w:t xml:space="preserve"> there have been three state re-</w:t>
      </w:r>
      <w:r w:rsidR="00F927FF" w:rsidRPr="000950BA">
        <w:t>licensure</w:t>
      </w:r>
      <w:r w:rsidR="00E42E71" w:rsidRPr="000950BA">
        <w:t xml:space="preserve"> surveys and all three have found that the ASC is in substantial compliance with the regulations governing Ambulatory Surgical Centers. OA</w:t>
      </w:r>
      <w:r w:rsidRPr="000950BA">
        <w:t xml:space="preserve">’s administrator is </w:t>
      </w:r>
      <w:r w:rsidR="00E42E71" w:rsidRPr="000950BA">
        <w:t xml:space="preserve">Linda </w:t>
      </w:r>
      <w:proofErr w:type="spellStart"/>
      <w:r w:rsidR="00E42E71" w:rsidRPr="000950BA">
        <w:t>Ruterbories</w:t>
      </w:r>
      <w:proofErr w:type="spellEnd"/>
      <w:r w:rsidR="00E42E71" w:rsidRPr="000950BA">
        <w:t>.</w:t>
      </w:r>
      <w:r w:rsidRPr="000950BA">
        <w:t xml:space="preserve"> </w:t>
      </w:r>
    </w:p>
    <w:p w:rsidR="002127AD" w:rsidRPr="000950BA" w:rsidRDefault="002127AD" w:rsidP="006161BE">
      <w:pPr>
        <w:jc w:val="both"/>
      </w:pPr>
    </w:p>
    <w:p w:rsidR="004E7E23" w:rsidRPr="000950BA" w:rsidRDefault="006D1170" w:rsidP="006161BE">
      <w:pPr>
        <w:jc w:val="both"/>
      </w:pPr>
      <w:r w:rsidRPr="000950BA">
        <w:t xml:space="preserve">CONU obtained </w:t>
      </w:r>
      <w:r w:rsidR="00732C06" w:rsidRPr="000950BA">
        <w:t>detailed descriptions</w:t>
      </w:r>
      <w:r w:rsidRPr="000950BA">
        <w:t xml:space="preserve"> of </w:t>
      </w:r>
      <w:r w:rsidR="00732C06" w:rsidRPr="000950BA">
        <w:t xml:space="preserve">OA and CMO’s quality assurance programs. These programs will remain in place post-merger. </w:t>
      </w:r>
    </w:p>
    <w:p w:rsidR="007F7BFC" w:rsidRDefault="007F7BFC" w:rsidP="00257FA4"/>
    <w:p w:rsidR="002C043C" w:rsidRDefault="002C043C" w:rsidP="00257FA4"/>
    <w:p w:rsidR="002C043C" w:rsidRDefault="002C043C" w:rsidP="00257FA4"/>
    <w:p w:rsidR="002C043C" w:rsidRDefault="002C043C" w:rsidP="00257FA4"/>
    <w:p w:rsidR="00C96AEA" w:rsidRDefault="00C96AEA" w:rsidP="00257FA4"/>
    <w:p w:rsidR="00C96AEA" w:rsidRPr="000950BA" w:rsidRDefault="00C96AEA" w:rsidP="00257FA4"/>
    <w:p w:rsidR="004E7E23" w:rsidRPr="002C043C" w:rsidRDefault="004E7E23" w:rsidP="00257FA4">
      <w:pPr>
        <w:rPr>
          <w:b/>
        </w:rPr>
      </w:pPr>
      <w:r w:rsidRPr="002C043C">
        <w:rPr>
          <w:b/>
        </w:rPr>
        <w:t>Deeming of Standard</w:t>
      </w:r>
    </w:p>
    <w:p w:rsidR="004E7E23" w:rsidRPr="00CA53E9" w:rsidRDefault="004E7E23" w:rsidP="00257FA4">
      <w:pPr>
        <w:rPr>
          <w:b/>
          <w:sz w:val="16"/>
          <w:szCs w:val="16"/>
          <w:u w:val="single"/>
        </w:rPr>
      </w:pPr>
    </w:p>
    <w:p w:rsidR="00F927FF" w:rsidRDefault="00F927FF" w:rsidP="006161BE">
      <w:pPr>
        <w:jc w:val="both"/>
      </w:pPr>
      <w:r w:rsidRPr="000950BA">
        <w:t>If the applicant is a provider of health care services that are substantially similar to those services being reviewed and is licensed in the State, the requirements of this paragraph are deemed to have been met if the services previously provided in the State by the applicant are consistent with applicable licensi</w:t>
      </w:r>
      <w:r w:rsidR="002C043C">
        <w:t>ng and certification standards.</w:t>
      </w:r>
    </w:p>
    <w:p w:rsidR="002C043C" w:rsidRPr="000950BA" w:rsidRDefault="002C043C" w:rsidP="006161BE">
      <w:pPr>
        <w:jc w:val="both"/>
        <w:rPr>
          <w:b/>
        </w:rPr>
      </w:pPr>
    </w:p>
    <w:p w:rsidR="00257FA4" w:rsidRPr="002C043C" w:rsidRDefault="00257FA4" w:rsidP="00C96AEA">
      <w:pPr>
        <w:pStyle w:val="Heading3"/>
        <w:spacing w:before="0" w:after="0"/>
        <w:rPr>
          <w:rFonts w:ascii="Times New Roman" w:hAnsi="Times New Roman" w:cs="Times New Roman"/>
          <w:sz w:val="24"/>
          <w:szCs w:val="24"/>
        </w:rPr>
      </w:pPr>
      <w:r w:rsidRPr="002C043C">
        <w:rPr>
          <w:rFonts w:ascii="Times New Roman" w:hAnsi="Times New Roman" w:cs="Times New Roman"/>
          <w:sz w:val="24"/>
          <w:szCs w:val="24"/>
        </w:rPr>
        <w:t xml:space="preserve">Conclusion </w:t>
      </w:r>
    </w:p>
    <w:p w:rsidR="00257FA4" w:rsidRPr="00CA53E9" w:rsidRDefault="00257FA4" w:rsidP="00257FA4">
      <w:pPr>
        <w:rPr>
          <w:strike/>
          <w:sz w:val="16"/>
          <w:szCs w:val="16"/>
        </w:rPr>
      </w:pPr>
    </w:p>
    <w:p w:rsidR="00257FA4" w:rsidRPr="000950BA" w:rsidRDefault="00257FA4" w:rsidP="00257FA4">
      <w:r w:rsidRPr="000950BA">
        <w:t xml:space="preserve">CONU recommends that the Commissioner find that the applicant </w:t>
      </w:r>
      <w:r w:rsidR="004910F8" w:rsidRPr="000950BA">
        <w:t>has met</w:t>
      </w:r>
      <w:r w:rsidRPr="000950BA">
        <w:t xml:space="preserve"> their burden to show that the</w:t>
      </w:r>
      <w:r w:rsidR="009E6636" w:rsidRPr="000950BA">
        <w:t xml:space="preserve"> applicant is fit</w:t>
      </w:r>
      <w:r w:rsidR="00E24268" w:rsidRPr="000950BA">
        <w:t>,</w:t>
      </w:r>
      <w:r w:rsidR="009E6636" w:rsidRPr="000950BA">
        <w:t xml:space="preserve"> willing and able.</w:t>
      </w:r>
      <w:r w:rsidRPr="000950BA">
        <w:t xml:space="preserve"> </w:t>
      </w:r>
    </w:p>
    <w:p w:rsidR="00257FA4" w:rsidRPr="000950BA" w:rsidRDefault="00257FA4" w:rsidP="00257FA4"/>
    <w:p w:rsidR="00AE3C39" w:rsidRPr="000950BA" w:rsidRDefault="00AE3C39" w:rsidP="008E41AC">
      <w:pPr>
        <w:sectPr w:rsidR="00AE3C39" w:rsidRPr="000950BA" w:rsidSect="00274534">
          <w:headerReference w:type="default" r:id="rId16"/>
          <w:pgSz w:w="12240" w:h="15840"/>
          <w:pgMar w:top="1008" w:right="1440" w:bottom="1008" w:left="1440" w:header="720" w:footer="720" w:gutter="0"/>
          <w:cols w:space="720"/>
          <w:docGrid w:linePitch="360"/>
        </w:sectPr>
      </w:pPr>
    </w:p>
    <w:p w:rsidR="00861AD4" w:rsidRPr="0094720C" w:rsidRDefault="004336AF" w:rsidP="0094720C">
      <w:pPr>
        <w:pStyle w:val="Heading1"/>
        <w:spacing w:before="0" w:after="0"/>
        <w:rPr>
          <w:rFonts w:ascii="Times New Roman" w:hAnsi="Times New Roman" w:cs="Times New Roman"/>
          <w:sz w:val="28"/>
          <w:szCs w:val="28"/>
          <w:u w:val="single"/>
        </w:rPr>
      </w:pPr>
      <w:bookmarkStart w:id="3" w:name="_Ref195319937"/>
      <w:r w:rsidRPr="0094720C">
        <w:rPr>
          <w:rFonts w:ascii="Times New Roman" w:hAnsi="Times New Roman" w:cs="Times New Roman"/>
          <w:sz w:val="28"/>
          <w:szCs w:val="28"/>
          <w:u w:val="single"/>
        </w:rPr>
        <w:t xml:space="preserve">III. </w:t>
      </w:r>
      <w:bookmarkEnd w:id="3"/>
      <w:r w:rsidR="00237C8E" w:rsidRPr="0094720C">
        <w:rPr>
          <w:rFonts w:ascii="Times New Roman" w:hAnsi="Times New Roman" w:cs="Times New Roman"/>
          <w:sz w:val="28"/>
          <w:szCs w:val="28"/>
          <w:u w:val="single"/>
        </w:rPr>
        <w:t>Economic Feasibility</w:t>
      </w:r>
    </w:p>
    <w:p w:rsidR="00DE3A4A" w:rsidRDefault="00DE3A4A" w:rsidP="00DE3A4A">
      <w:pPr>
        <w:rPr>
          <w:sz w:val="28"/>
          <w:szCs w:val="28"/>
        </w:rPr>
      </w:pPr>
    </w:p>
    <w:p w:rsidR="00861AD4" w:rsidRPr="00DE3A4A" w:rsidRDefault="00304AA4" w:rsidP="00DE3A4A">
      <w:pPr>
        <w:rPr>
          <w:b/>
        </w:rPr>
      </w:pPr>
      <w:r>
        <w:rPr>
          <w:b/>
        </w:rPr>
        <w:t>A.</w:t>
      </w:r>
      <w:r w:rsidR="00DE3A4A" w:rsidRPr="00DE3A4A">
        <w:rPr>
          <w:b/>
        </w:rPr>
        <w:tab/>
      </w:r>
      <w:r w:rsidR="00FF631B" w:rsidRPr="00DE3A4A">
        <w:rPr>
          <w:b/>
        </w:rPr>
        <w:t xml:space="preserve">From Applicant </w:t>
      </w:r>
    </w:p>
    <w:p w:rsidR="00C45CF1" w:rsidRPr="00CA53E9" w:rsidRDefault="00C45CF1" w:rsidP="00C45CF1">
      <w:pPr>
        <w:rPr>
          <w:sz w:val="16"/>
          <w:szCs w:val="16"/>
        </w:rPr>
      </w:pPr>
    </w:p>
    <w:p w:rsidR="00016C9F" w:rsidRPr="00304AA4" w:rsidRDefault="00304AA4" w:rsidP="00304AA4">
      <w:pPr>
        <w:jc w:val="both"/>
        <w:rPr>
          <w:sz w:val="22"/>
          <w:szCs w:val="22"/>
        </w:rPr>
      </w:pPr>
      <w:r w:rsidRPr="00304AA4">
        <w:rPr>
          <w:sz w:val="22"/>
          <w:szCs w:val="22"/>
        </w:rPr>
        <w:t>“</w:t>
      </w:r>
      <w:r w:rsidR="00016C9F" w:rsidRPr="00304AA4">
        <w:rPr>
          <w:sz w:val="22"/>
          <w:szCs w:val="22"/>
        </w:rPr>
        <w:t>The proposed project meets, if not far exceeds, the economic feasibility criteria a</w:t>
      </w:r>
      <w:r w:rsidR="000950BA" w:rsidRPr="00304AA4">
        <w:rPr>
          <w:sz w:val="22"/>
          <w:szCs w:val="22"/>
        </w:rPr>
        <w:t>pplicable to CON applications.</w:t>
      </w:r>
      <w:r w:rsidRPr="00304AA4">
        <w:rPr>
          <w:sz w:val="22"/>
          <w:szCs w:val="22"/>
        </w:rPr>
        <w:t>”</w:t>
      </w:r>
    </w:p>
    <w:p w:rsidR="00016C9F" w:rsidRPr="00304AA4" w:rsidRDefault="00016C9F" w:rsidP="00304AA4">
      <w:pPr>
        <w:jc w:val="both"/>
        <w:rPr>
          <w:sz w:val="22"/>
          <w:szCs w:val="22"/>
        </w:rPr>
      </w:pPr>
    </w:p>
    <w:p w:rsidR="00016C9F" w:rsidRPr="00304AA4" w:rsidRDefault="00304AA4" w:rsidP="00304AA4">
      <w:pPr>
        <w:jc w:val="both"/>
        <w:rPr>
          <w:sz w:val="22"/>
          <w:szCs w:val="22"/>
        </w:rPr>
      </w:pPr>
      <w:r w:rsidRPr="00304AA4">
        <w:rPr>
          <w:sz w:val="22"/>
          <w:szCs w:val="22"/>
        </w:rPr>
        <w:t>“</w:t>
      </w:r>
      <w:r w:rsidR="00016C9F" w:rsidRPr="00304AA4">
        <w:rPr>
          <w:sz w:val="22"/>
          <w:szCs w:val="22"/>
        </w:rPr>
        <w:t xml:space="preserve">Spectrum and the two ASCs each have the ability to support the continued operations of the ASCs over their useful life, due in part to the rates the applicant expects to be able to charge for orthopedic and other surgery </w:t>
      </w:r>
      <w:r w:rsidR="002127AD" w:rsidRPr="00304AA4">
        <w:rPr>
          <w:sz w:val="22"/>
          <w:szCs w:val="22"/>
        </w:rPr>
        <w:t xml:space="preserve">services provided in the ASCs. </w:t>
      </w:r>
      <w:r w:rsidR="00016C9F" w:rsidRPr="00304AA4">
        <w:rPr>
          <w:sz w:val="22"/>
          <w:szCs w:val="22"/>
        </w:rPr>
        <w:t xml:space="preserve">In light of the uncertainties of the health care market, there can be </w:t>
      </w:r>
      <w:r w:rsidR="002127AD" w:rsidRPr="00304AA4">
        <w:rPr>
          <w:sz w:val="22"/>
          <w:szCs w:val="22"/>
        </w:rPr>
        <w:t xml:space="preserve">no assurances regarding rates. </w:t>
      </w:r>
      <w:r w:rsidR="00016C9F" w:rsidRPr="00304AA4">
        <w:rPr>
          <w:sz w:val="22"/>
          <w:szCs w:val="22"/>
        </w:rPr>
        <w:t>However, there is no reason to ex</w:t>
      </w:r>
      <w:r w:rsidR="002127AD" w:rsidRPr="00304AA4">
        <w:rPr>
          <w:sz w:val="22"/>
          <w:szCs w:val="22"/>
        </w:rPr>
        <w:t xml:space="preserve">pect that rates will decrease. </w:t>
      </w:r>
      <w:r w:rsidR="00F927FF" w:rsidRPr="00304AA4">
        <w:rPr>
          <w:sz w:val="22"/>
          <w:szCs w:val="22"/>
        </w:rPr>
        <w:t>To the extent that the orthopedic services are covered by private, commercial insurance coverage, and Spectrum has contracts with those insurers, the Spectrum contracts and rates would potentially apply, based upon the terms and conditions negotiated b</w:t>
      </w:r>
      <w:r w:rsidR="000950BA" w:rsidRPr="00304AA4">
        <w:rPr>
          <w:sz w:val="22"/>
          <w:szCs w:val="22"/>
        </w:rPr>
        <w:t>y Spectrum with those carriers.</w:t>
      </w:r>
      <w:r w:rsidRPr="00304AA4">
        <w:rPr>
          <w:sz w:val="22"/>
          <w:szCs w:val="22"/>
        </w:rPr>
        <w:t>”</w:t>
      </w:r>
    </w:p>
    <w:p w:rsidR="00016C9F" w:rsidRDefault="00304AA4" w:rsidP="002C043C">
      <w:pPr>
        <w:shd w:val="clear" w:color="auto" w:fill="FFFFFF"/>
        <w:spacing w:line="264" w:lineRule="exact"/>
        <w:jc w:val="both"/>
        <w:rPr>
          <w:sz w:val="22"/>
          <w:szCs w:val="22"/>
        </w:rPr>
      </w:pPr>
      <w:r w:rsidRPr="00304AA4">
        <w:rPr>
          <w:sz w:val="22"/>
          <w:szCs w:val="22"/>
        </w:rPr>
        <w:t>“</w:t>
      </w:r>
      <w:r w:rsidR="00016C9F" w:rsidRPr="00304AA4">
        <w:rPr>
          <w:sz w:val="22"/>
          <w:szCs w:val="22"/>
        </w:rPr>
        <w:t>The proven track record of the ASCs combined with the financial resources of Spectrum, provides assurance regarding stability into the future, and the financial feasibility of the pr</w:t>
      </w:r>
      <w:r w:rsidR="002127AD" w:rsidRPr="00304AA4">
        <w:rPr>
          <w:sz w:val="22"/>
          <w:szCs w:val="22"/>
        </w:rPr>
        <w:t xml:space="preserve">oject. </w:t>
      </w:r>
      <w:r w:rsidR="00016C9F" w:rsidRPr="00304AA4">
        <w:rPr>
          <w:sz w:val="22"/>
          <w:szCs w:val="22"/>
        </w:rPr>
        <w:t>It is noteworthy that:</w:t>
      </w:r>
    </w:p>
    <w:p w:rsidR="00016C9F" w:rsidRPr="00304AA4" w:rsidRDefault="00016C9F" w:rsidP="003A78B1">
      <w:pPr>
        <w:pStyle w:val="ListParagraph"/>
        <w:numPr>
          <w:ilvl w:val="0"/>
          <w:numId w:val="7"/>
        </w:numPr>
        <w:shd w:val="clear" w:color="auto" w:fill="FFFFFF"/>
        <w:spacing w:before="250" w:line="264" w:lineRule="exact"/>
        <w:jc w:val="both"/>
        <w:rPr>
          <w:sz w:val="22"/>
          <w:szCs w:val="22"/>
        </w:rPr>
      </w:pPr>
      <w:r w:rsidRPr="00304AA4">
        <w:rPr>
          <w:sz w:val="22"/>
          <w:szCs w:val="22"/>
        </w:rPr>
        <w:t>No capital expenditures are anticipated;</w:t>
      </w:r>
    </w:p>
    <w:p w:rsidR="00016C9F" w:rsidRPr="00304AA4" w:rsidRDefault="00016C9F" w:rsidP="003A78B1">
      <w:pPr>
        <w:pStyle w:val="ListParagraph"/>
        <w:numPr>
          <w:ilvl w:val="0"/>
          <w:numId w:val="7"/>
        </w:numPr>
        <w:shd w:val="clear" w:color="auto" w:fill="FFFFFF"/>
        <w:spacing w:before="250" w:line="264" w:lineRule="exact"/>
        <w:jc w:val="both"/>
        <w:rPr>
          <w:sz w:val="22"/>
          <w:szCs w:val="22"/>
        </w:rPr>
      </w:pPr>
      <w:r w:rsidRPr="00304AA4">
        <w:rPr>
          <w:sz w:val="22"/>
          <w:szCs w:val="22"/>
        </w:rPr>
        <w:t xml:space="preserve">There will be no construction associated with the project. </w:t>
      </w:r>
    </w:p>
    <w:p w:rsidR="00016C9F" w:rsidRPr="00304AA4" w:rsidRDefault="00016C9F" w:rsidP="003A78B1">
      <w:pPr>
        <w:pStyle w:val="ListParagraph"/>
        <w:numPr>
          <w:ilvl w:val="0"/>
          <w:numId w:val="7"/>
        </w:numPr>
        <w:shd w:val="clear" w:color="auto" w:fill="FFFFFF"/>
        <w:spacing w:before="250" w:line="264" w:lineRule="exact"/>
        <w:jc w:val="both"/>
        <w:rPr>
          <w:sz w:val="22"/>
          <w:szCs w:val="22"/>
        </w:rPr>
      </w:pPr>
      <w:r w:rsidRPr="00304AA4">
        <w:rPr>
          <w:sz w:val="22"/>
          <w:szCs w:val="22"/>
        </w:rPr>
        <w:t>Changes to payroll or payroll costs are not anticipated in connection with the project, although over time, efficiencies will be so</w:t>
      </w:r>
      <w:r w:rsidR="00470BB4" w:rsidRPr="00304AA4">
        <w:rPr>
          <w:sz w:val="22"/>
          <w:szCs w:val="22"/>
        </w:rPr>
        <w:t xml:space="preserve">ught with respect to management </w:t>
      </w:r>
      <w:r w:rsidRPr="00304AA4">
        <w:rPr>
          <w:sz w:val="22"/>
          <w:szCs w:val="22"/>
        </w:rPr>
        <w:t>and administration of the orthopedic services.</w:t>
      </w:r>
      <w:r w:rsidR="00304AA4" w:rsidRPr="00304AA4">
        <w:rPr>
          <w:sz w:val="22"/>
          <w:szCs w:val="22"/>
        </w:rPr>
        <w:t>”</w:t>
      </w:r>
      <w:r w:rsidRPr="00304AA4">
        <w:rPr>
          <w:sz w:val="22"/>
          <w:szCs w:val="22"/>
        </w:rPr>
        <w:t xml:space="preserve"> </w:t>
      </w:r>
    </w:p>
    <w:p w:rsidR="00016C9F" w:rsidRPr="00304AA4" w:rsidRDefault="00304AA4" w:rsidP="00304AA4">
      <w:pPr>
        <w:shd w:val="clear" w:color="auto" w:fill="FFFFFF"/>
        <w:spacing w:before="230" w:line="274" w:lineRule="exact"/>
        <w:ind w:left="38" w:right="19"/>
        <w:jc w:val="both"/>
        <w:rPr>
          <w:sz w:val="22"/>
          <w:szCs w:val="22"/>
        </w:rPr>
      </w:pPr>
      <w:r w:rsidRPr="00304AA4">
        <w:rPr>
          <w:sz w:val="22"/>
          <w:szCs w:val="22"/>
        </w:rPr>
        <w:t>“</w:t>
      </w:r>
      <w:r w:rsidR="00016C9F" w:rsidRPr="00304AA4">
        <w:rPr>
          <w:sz w:val="22"/>
          <w:szCs w:val="22"/>
        </w:rPr>
        <w:t>Spectrum is well-positioned financially to operate the ASCs in accordance with existing and reasonably anticipated future changes in federal, state and local licensure a</w:t>
      </w:r>
      <w:r w:rsidR="00470BB4" w:rsidRPr="00304AA4">
        <w:rPr>
          <w:sz w:val="22"/>
          <w:szCs w:val="22"/>
        </w:rPr>
        <w:t xml:space="preserve">nd other rules. </w:t>
      </w:r>
      <w:r w:rsidR="00016C9F" w:rsidRPr="00304AA4">
        <w:rPr>
          <w:sz w:val="22"/>
          <w:szCs w:val="22"/>
        </w:rPr>
        <w:t>As the two entities to be merged into Spectrum are already licensed amb</w:t>
      </w:r>
      <w:r w:rsidR="002127AD" w:rsidRPr="00304AA4">
        <w:rPr>
          <w:sz w:val="22"/>
          <w:szCs w:val="22"/>
        </w:rPr>
        <w:t xml:space="preserve">ulatory surgery centers in this </w:t>
      </w:r>
      <w:r w:rsidR="00016C9F" w:rsidRPr="00304AA4">
        <w:rPr>
          <w:sz w:val="22"/>
          <w:szCs w:val="22"/>
        </w:rPr>
        <w:t>state, these requirements should be deemed to have been met. 22 M.R.S.A. §335 (7</w:t>
      </w:r>
      <w:proofErr w:type="gramStart"/>
      <w:r w:rsidR="00016C9F" w:rsidRPr="00304AA4">
        <w:rPr>
          <w:sz w:val="22"/>
          <w:szCs w:val="22"/>
        </w:rPr>
        <w:t>)(</w:t>
      </w:r>
      <w:proofErr w:type="gramEnd"/>
      <w:r w:rsidR="00016C9F" w:rsidRPr="00304AA4">
        <w:rPr>
          <w:sz w:val="22"/>
          <w:szCs w:val="22"/>
        </w:rPr>
        <w:t>B).  Spectrum, CMO and OA do not anticipate any interruption in service</w:t>
      </w:r>
      <w:r w:rsidR="00470BB4" w:rsidRPr="00304AA4">
        <w:rPr>
          <w:sz w:val="22"/>
          <w:szCs w:val="22"/>
        </w:rPr>
        <w:t xml:space="preserve">s during and after the merger. </w:t>
      </w:r>
      <w:r w:rsidR="00016C9F" w:rsidRPr="00304AA4">
        <w:rPr>
          <w:sz w:val="22"/>
          <w:szCs w:val="22"/>
        </w:rPr>
        <w:t>Again, CMO and OA will maintain operations substantially in their current form and, other than signage and changes to websites related to re-branding, no significant changes in the day-to-day operations of the ASCs from a patient or financial perspective are anticipated.  Therefore, we do not anticipate any increase in incremental operating expense in the first three (3) years</w:t>
      </w:r>
      <w:r w:rsidR="000950BA" w:rsidRPr="00304AA4">
        <w:rPr>
          <w:sz w:val="22"/>
          <w:szCs w:val="22"/>
        </w:rPr>
        <w:t>.</w:t>
      </w:r>
      <w:r w:rsidR="00016C9F" w:rsidRPr="00304AA4">
        <w:rPr>
          <w:sz w:val="22"/>
          <w:szCs w:val="22"/>
        </w:rPr>
        <w:t xml:space="preserve"> </w:t>
      </w:r>
      <w:proofErr w:type="gramStart"/>
      <w:r w:rsidR="00016C9F" w:rsidRPr="00304AA4">
        <w:rPr>
          <w:sz w:val="22"/>
          <w:szCs w:val="22"/>
        </w:rPr>
        <w:t xml:space="preserve">In the event further supporting information is necessary, attached as </w:t>
      </w:r>
      <w:r w:rsidR="00016C9F" w:rsidRPr="00304AA4">
        <w:rPr>
          <w:b/>
          <w:sz w:val="22"/>
          <w:szCs w:val="22"/>
        </w:rPr>
        <w:t xml:space="preserve">Exhibit 7 </w:t>
      </w:r>
      <w:r w:rsidR="00016C9F" w:rsidRPr="00304AA4">
        <w:rPr>
          <w:sz w:val="22"/>
          <w:szCs w:val="22"/>
        </w:rPr>
        <w:t>is Spectrum’s three (3) year finan</w:t>
      </w:r>
      <w:r w:rsidR="000950BA" w:rsidRPr="00304AA4">
        <w:rPr>
          <w:sz w:val="22"/>
          <w:szCs w:val="22"/>
        </w:rPr>
        <w:t>cial projections for each ASC.</w:t>
      </w:r>
      <w:proofErr w:type="gramEnd"/>
      <w:r w:rsidR="000950BA" w:rsidRPr="00304AA4">
        <w:rPr>
          <w:sz w:val="22"/>
          <w:szCs w:val="22"/>
        </w:rPr>
        <w:t xml:space="preserve"> </w:t>
      </w:r>
      <w:r w:rsidR="00016C9F" w:rsidRPr="00304AA4">
        <w:rPr>
          <w:sz w:val="22"/>
          <w:szCs w:val="22"/>
        </w:rPr>
        <w:t xml:space="preserve">Please note that </w:t>
      </w:r>
      <w:r w:rsidR="00016C9F" w:rsidRPr="00304AA4">
        <w:rPr>
          <w:b/>
          <w:sz w:val="22"/>
          <w:szCs w:val="22"/>
        </w:rPr>
        <w:t>Exhibit</w:t>
      </w:r>
      <w:r w:rsidR="00016C9F" w:rsidRPr="00304AA4">
        <w:rPr>
          <w:sz w:val="22"/>
          <w:szCs w:val="22"/>
        </w:rPr>
        <w:t xml:space="preserve"> </w:t>
      </w:r>
      <w:r w:rsidR="00016C9F" w:rsidRPr="00304AA4">
        <w:rPr>
          <w:b/>
          <w:sz w:val="22"/>
          <w:szCs w:val="22"/>
        </w:rPr>
        <w:t>7</w:t>
      </w:r>
      <w:r w:rsidR="00016C9F" w:rsidRPr="00304AA4">
        <w:rPr>
          <w:sz w:val="22"/>
          <w:szCs w:val="22"/>
        </w:rPr>
        <w:t xml:space="preserve"> is subject to further due diligence and, if the projections change or are refined as a result, Spectrum will update accordingly.</w:t>
      </w:r>
      <w:r w:rsidRPr="00304AA4">
        <w:rPr>
          <w:sz w:val="22"/>
          <w:szCs w:val="22"/>
        </w:rPr>
        <w:t>”</w:t>
      </w:r>
    </w:p>
    <w:p w:rsidR="00016C9F" w:rsidRPr="00304AA4" w:rsidRDefault="00304AA4" w:rsidP="00304AA4">
      <w:pPr>
        <w:shd w:val="clear" w:color="auto" w:fill="FFFFFF"/>
        <w:spacing w:before="250" w:line="264" w:lineRule="exact"/>
        <w:jc w:val="both"/>
        <w:rPr>
          <w:sz w:val="22"/>
          <w:szCs w:val="22"/>
        </w:rPr>
      </w:pPr>
      <w:r w:rsidRPr="00304AA4">
        <w:rPr>
          <w:sz w:val="22"/>
          <w:szCs w:val="22"/>
        </w:rPr>
        <w:t>“</w:t>
      </w:r>
      <w:r w:rsidR="00016C9F" w:rsidRPr="00304AA4">
        <w:rPr>
          <w:sz w:val="22"/>
          <w:szCs w:val="22"/>
        </w:rPr>
        <w:t xml:space="preserve">Effective September 1, 2012, ambulatory surgery centers are no longer eligible for </w:t>
      </w:r>
      <w:r w:rsidR="00055F06" w:rsidRPr="00304AA4">
        <w:rPr>
          <w:sz w:val="22"/>
          <w:szCs w:val="22"/>
        </w:rPr>
        <w:t xml:space="preserve">reimbursement under MaineCare. </w:t>
      </w:r>
      <w:r w:rsidR="00016C9F" w:rsidRPr="00304AA4">
        <w:rPr>
          <w:sz w:val="22"/>
          <w:szCs w:val="22"/>
        </w:rPr>
        <w:t>While this recent legislative change has implications for the revenue of the ambulatory surgery centers, such impact ex</w:t>
      </w:r>
      <w:r w:rsidR="00055F06" w:rsidRPr="00304AA4">
        <w:rPr>
          <w:sz w:val="22"/>
          <w:szCs w:val="22"/>
        </w:rPr>
        <w:t xml:space="preserve">ists regardless of the merger. </w:t>
      </w:r>
      <w:r w:rsidR="00016C9F" w:rsidRPr="00304AA4">
        <w:rPr>
          <w:sz w:val="22"/>
          <w:szCs w:val="22"/>
        </w:rPr>
        <w:t>Further, no changes have been necessitated or undertaken, and none are planned by either ASC in resp</w:t>
      </w:r>
      <w:r w:rsidR="00055F06" w:rsidRPr="00304AA4">
        <w:rPr>
          <w:sz w:val="22"/>
          <w:szCs w:val="22"/>
        </w:rPr>
        <w:t xml:space="preserve">onse to the regulatory change. </w:t>
      </w:r>
      <w:r w:rsidR="00016C9F" w:rsidRPr="00304AA4">
        <w:rPr>
          <w:sz w:val="22"/>
          <w:szCs w:val="22"/>
        </w:rPr>
        <w:t>Neither this regulatory change, nor any other federal, state or local licensure or other laws, rules or regulations, present obstacles to or undermine Spectrum’s ability to own or operate the ASCs.</w:t>
      </w:r>
      <w:r w:rsidRPr="00304AA4">
        <w:rPr>
          <w:sz w:val="22"/>
          <w:szCs w:val="22"/>
        </w:rPr>
        <w:t>”</w:t>
      </w:r>
      <w:r w:rsidR="00016C9F" w:rsidRPr="00304AA4">
        <w:rPr>
          <w:sz w:val="22"/>
          <w:szCs w:val="22"/>
        </w:rPr>
        <w:t xml:space="preserve"> </w:t>
      </w:r>
    </w:p>
    <w:p w:rsidR="002C043C" w:rsidRDefault="002C043C">
      <w:r>
        <w:br w:type="page"/>
      </w:r>
    </w:p>
    <w:p w:rsidR="008E41AC" w:rsidRDefault="008E41AC" w:rsidP="00DE3A4A">
      <w:pPr>
        <w:rPr>
          <w:b/>
        </w:rPr>
      </w:pPr>
      <w:r w:rsidRPr="00DE3A4A">
        <w:rPr>
          <w:b/>
        </w:rPr>
        <w:t>B.</w:t>
      </w:r>
      <w:r w:rsidRPr="00DE3A4A">
        <w:rPr>
          <w:b/>
        </w:rPr>
        <w:tab/>
        <w:t xml:space="preserve">CONU Discussion </w:t>
      </w:r>
    </w:p>
    <w:p w:rsidR="00C96AEA" w:rsidRPr="00DE3A4A" w:rsidRDefault="00C96AEA" w:rsidP="00DE3A4A">
      <w:pPr>
        <w:rPr>
          <w:b/>
        </w:rPr>
      </w:pPr>
    </w:p>
    <w:p w:rsidR="008E41AC" w:rsidRPr="002C043C" w:rsidRDefault="008E41AC" w:rsidP="00C96AEA">
      <w:pPr>
        <w:pStyle w:val="Heading3"/>
        <w:spacing w:before="0" w:after="0"/>
        <w:rPr>
          <w:rFonts w:ascii="Times New Roman" w:hAnsi="Times New Roman" w:cs="Times New Roman"/>
          <w:sz w:val="24"/>
          <w:szCs w:val="24"/>
        </w:rPr>
      </w:pPr>
      <w:r w:rsidRPr="002C043C">
        <w:rPr>
          <w:rFonts w:ascii="Times New Roman" w:hAnsi="Times New Roman" w:cs="Times New Roman"/>
          <w:sz w:val="24"/>
          <w:szCs w:val="24"/>
        </w:rPr>
        <w:t xml:space="preserve">CON </w:t>
      </w:r>
      <w:r w:rsidR="008C0128" w:rsidRPr="002C043C">
        <w:rPr>
          <w:rFonts w:ascii="Times New Roman" w:hAnsi="Times New Roman" w:cs="Times New Roman"/>
          <w:sz w:val="24"/>
          <w:szCs w:val="24"/>
        </w:rPr>
        <w:t>Standard</w:t>
      </w:r>
      <w:r w:rsidRPr="002C043C">
        <w:rPr>
          <w:rFonts w:ascii="Times New Roman" w:hAnsi="Times New Roman" w:cs="Times New Roman"/>
          <w:sz w:val="24"/>
          <w:szCs w:val="24"/>
        </w:rPr>
        <w:t xml:space="preserve"> </w:t>
      </w:r>
    </w:p>
    <w:p w:rsidR="008E41AC" w:rsidRPr="00CA53E9" w:rsidRDefault="008E41AC" w:rsidP="008E41AC">
      <w:pPr>
        <w:rPr>
          <w:b/>
          <w:sz w:val="16"/>
          <w:szCs w:val="16"/>
        </w:rPr>
      </w:pPr>
    </w:p>
    <w:p w:rsidR="008E41AC" w:rsidRPr="006161BE" w:rsidRDefault="008C0128" w:rsidP="006161BE">
      <w:pPr>
        <w:jc w:val="both"/>
      </w:pPr>
      <w:r w:rsidRPr="006161BE">
        <w:t>The r</w:t>
      </w:r>
      <w:r w:rsidR="008E41AC" w:rsidRPr="006161BE">
        <w:t xml:space="preserve">elevant </w:t>
      </w:r>
      <w:r w:rsidR="002F33D5" w:rsidRPr="006161BE">
        <w:t>standards for inclusion in this section are</w:t>
      </w:r>
      <w:r w:rsidR="008E41AC" w:rsidRPr="006161BE">
        <w:t xml:space="preserve"> specific to the determination that the economic feasibility of the proposed services is demonstrated in terms of the: </w:t>
      </w:r>
    </w:p>
    <w:p w:rsidR="008E41AC" w:rsidRPr="006161BE" w:rsidRDefault="008E41AC" w:rsidP="006161BE">
      <w:pPr>
        <w:jc w:val="both"/>
      </w:pPr>
    </w:p>
    <w:p w:rsidR="008E41AC" w:rsidRPr="006161BE" w:rsidRDefault="008E41AC" w:rsidP="006161BE">
      <w:pPr>
        <w:numPr>
          <w:ilvl w:val="0"/>
          <w:numId w:val="1"/>
        </w:numPr>
        <w:jc w:val="both"/>
      </w:pPr>
      <w:r w:rsidRPr="006161BE">
        <w:t xml:space="preserve">Capacity of the applicant to support the project financially over its useful life, in light of the rates the applicant expects to be able to charge for the services to be provided by the project; and </w:t>
      </w:r>
    </w:p>
    <w:p w:rsidR="008E41AC" w:rsidRPr="006161BE" w:rsidRDefault="008E41AC" w:rsidP="006161BE">
      <w:pPr>
        <w:jc w:val="both"/>
      </w:pPr>
    </w:p>
    <w:p w:rsidR="008C0128" w:rsidRDefault="008E41AC" w:rsidP="006161BE">
      <w:pPr>
        <w:widowControl w:val="0"/>
        <w:numPr>
          <w:ilvl w:val="0"/>
          <w:numId w:val="1"/>
        </w:numPr>
        <w:autoSpaceDE w:val="0"/>
        <w:autoSpaceDN w:val="0"/>
        <w:adjustRightInd w:val="0"/>
        <w:spacing w:before="100"/>
        <w:jc w:val="both"/>
      </w:pPr>
      <w:r w:rsidRPr="006161BE">
        <w:t>The applicant's ability to establish and operate the project in accordance with existing and reasonably anticipated future changes in federal, state and local licensure and other applicable or potentially applicable rules.</w:t>
      </w:r>
      <w:r w:rsidRPr="006161BE">
        <w:rPr>
          <w:b/>
        </w:rPr>
        <w:t xml:space="preserve"> </w:t>
      </w:r>
      <w:r w:rsidR="008C0128" w:rsidRPr="006161BE">
        <w:t>If the applicant is a provider of health care services that are substantially similar to those services being reviewed and is licensed in the State, the applicant is deemed to have fulfilled the requirements</w:t>
      </w:r>
      <w:r w:rsidR="006B13F0" w:rsidRPr="006161BE">
        <w:t>. This is allowable</w:t>
      </w:r>
      <w:r w:rsidR="008C0128" w:rsidRPr="006161BE">
        <w:t xml:space="preserve"> if the services provided in the State by the applicant during the most recent 3-year period are of similar size and scope and are consistent with applicable licensing and certification standards</w:t>
      </w:r>
      <w:r w:rsidR="00F927FF" w:rsidRPr="006161BE">
        <w:t>.</w:t>
      </w:r>
    </w:p>
    <w:p w:rsidR="00C96AEA" w:rsidRDefault="00C96AEA" w:rsidP="00C96AEA">
      <w:pPr>
        <w:pStyle w:val="ListParagraph"/>
      </w:pPr>
    </w:p>
    <w:p w:rsidR="008E41AC" w:rsidRPr="002C043C" w:rsidRDefault="000A06C5" w:rsidP="00C96AEA">
      <w:pPr>
        <w:pStyle w:val="Heading3"/>
        <w:spacing w:before="0" w:after="0"/>
        <w:rPr>
          <w:rFonts w:ascii="Times New Roman" w:hAnsi="Times New Roman" w:cs="Times New Roman"/>
          <w:sz w:val="24"/>
          <w:szCs w:val="24"/>
        </w:rPr>
      </w:pPr>
      <w:r w:rsidRPr="002C043C">
        <w:rPr>
          <w:rFonts w:ascii="Times New Roman" w:hAnsi="Times New Roman" w:cs="Times New Roman"/>
          <w:sz w:val="24"/>
          <w:szCs w:val="24"/>
        </w:rPr>
        <w:t xml:space="preserve">CON </w:t>
      </w:r>
      <w:r w:rsidR="008E41AC" w:rsidRPr="002C043C">
        <w:rPr>
          <w:rFonts w:ascii="Times New Roman" w:hAnsi="Times New Roman" w:cs="Times New Roman"/>
          <w:sz w:val="24"/>
          <w:szCs w:val="24"/>
        </w:rPr>
        <w:t>Analysis</w:t>
      </w:r>
    </w:p>
    <w:p w:rsidR="00F927FF" w:rsidRPr="00CA53E9" w:rsidRDefault="00F927FF" w:rsidP="00F927FF">
      <w:pPr>
        <w:rPr>
          <w:sz w:val="16"/>
          <w:szCs w:val="16"/>
        </w:rPr>
      </w:pPr>
    </w:p>
    <w:p w:rsidR="002127AD" w:rsidRDefault="00F927FF" w:rsidP="006161BE">
      <w:pPr>
        <w:jc w:val="both"/>
      </w:pPr>
      <w:r w:rsidRPr="000950BA">
        <w:t>The first standard relevant to the determination of economic feasibility is the analysis of the capacity of the applicant to support the project financially over its useful life, in light</w:t>
      </w:r>
      <w:r w:rsidR="00D8602B" w:rsidRPr="000950BA">
        <w:t xml:space="preserve"> </w:t>
      </w:r>
      <w:r w:rsidRPr="000950BA">
        <w:t xml:space="preserve">of the rates the applicant expects to be able to charge for the services to be provided by the project. </w:t>
      </w:r>
      <w:r w:rsidR="005960C8" w:rsidRPr="000950BA">
        <w:t>As stand</w:t>
      </w:r>
      <w:r w:rsidR="009C40CD" w:rsidRPr="000950BA">
        <w:t>-</w:t>
      </w:r>
      <w:r w:rsidR="005960C8" w:rsidRPr="000950BA">
        <w:t xml:space="preserve"> alone facilities OA and CMO were profitable entities. There are no capital expenditures associated with this </w:t>
      </w:r>
      <w:r w:rsidR="006A183C" w:rsidRPr="000950BA">
        <w:t>merger</w:t>
      </w:r>
      <w:r w:rsidR="00B272E5" w:rsidRPr="000950BA">
        <w:t>,</w:t>
      </w:r>
      <w:r w:rsidR="005960C8" w:rsidRPr="000950BA">
        <w:t xml:space="preserve"> </w:t>
      </w:r>
      <w:r w:rsidR="00B272E5" w:rsidRPr="000950BA">
        <w:t>no significant changes in the day-to-day operations of the ASCs</w:t>
      </w:r>
      <w:r w:rsidR="009C40CD" w:rsidRPr="000950BA">
        <w:t xml:space="preserve"> are proposed</w:t>
      </w:r>
      <w:r w:rsidR="00B272E5" w:rsidRPr="000950BA">
        <w:t xml:space="preserve">, and no additional health services are being added to the </w:t>
      </w:r>
      <w:r w:rsidR="006A183C" w:rsidRPr="000950BA">
        <w:t>health care system.</w:t>
      </w:r>
      <w:r w:rsidR="00B272E5" w:rsidRPr="000950BA">
        <w:t xml:space="preserve"> </w:t>
      </w:r>
      <w:r w:rsidR="00C96AEA" w:rsidRPr="000950BA">
        <w:t>A review of Year 1 through Year 3 financial projections shows</w:t>
      </w:r>
      <w:r w:rsidR="00B272E5" w:rsidRPr="000950BA">
        <w:t xml:space="preserve"> </w:t>
      </w:r>
      <w:r w:rsidR="006A183C" w:rsidRPr="000950BA">
        <w:t xml:space="preserve">modest growth in volume, revenue and </w:t>
      </w:r>
      <w:r w:rsidR="000C7F8B" w:rsidRPr="000950BA">
        <w:t>operational profitability (Earnings before interest, taxes, depreciation and amortization).</w:t>
      </w:r>
      <w:r w:rsidR="005960C8" w:rsidRPr="000950BA">
        <w:t xml:space="preserve"> </w:t>
      </w:r>
      <w:r w:rsidR="00B02C90" w:rsidRPr="000950BA">
        <w:t>The applicant submitted a combined balance sheet for Spectrum, OA and CMO. This balance sheet was prepared using the income tax basis of accounting. This method involves preparing financial statements based on the methods and principles that are used by the client to file its income tax return. This method of reporti</w:t>
      </w:r>
      <w:r w:rsidR="00C96AEA">
        <w:t>ng excludes certain accruals (</w:t>
      </w:r>
      <w:proofErr w:type="gramStart"/>
      <w:r w:rsidR="00B02C90" w:rsidRPr="000950BA">
        <w:t xml:space="preserve">this case 12-15 million dollars </w:t>
      </w:r>
      <w:r w:rsidR="00C96AEA">
        <w:t>in</w:t>
      </w:r>
      <w:r w:rsidR="00B02C90" w:rsidRPr="000950BA">
        <w:t xml:space="preserve"> accounts receivables)</w:t>
      </w:r>
      <w:proofErr w:type="gramEnd"/>
      <w:r w:rsidR="00B02C90" w:rsidRPr="000950BA">
        <w:t xml:space="preserve"> which skew the true financial position of the combined entities. CONU chose not to use this information for our analysis. </w:t>
      </w:r>
      <w:r w:rsidR="00CA53E9">
        <w:t xml:space="preserve"> This transaction will</w:t>
      </w:r>
      <w:r w:rsidR="00B26554" w:rsidRPr="000950BA">
        <w:t xml:space="preserve"> no</w:t>
      </w:r>
      <w:r w:rsidR="00CA53E9">
        <w:t xml:space="preserve">t have an </w:t>
      </w:r>
      <w:r w:rsidR="00B26554" w:rsidRPr="000950BA">
        <w:t>effect on the rates cha</w:t>
      </w:r>
      <w:r w:rsidR="00CA53E9">
        <w:t xml:space="preserve">rged for services provided. </w:t>
      </w:r>
      <w:r w:rsidR="00B26554" w:rsidRPr="000950BA">
        <w:t xml:space="preserve">CONU is unaware of any impending changes to </w:t>
      </w:r>
    </w:p>
    <w:p w:rsidR="00F927FF" w:rsidRPr="000950BA" w:rsidRDefault="00B26554" w:rsidP="006161BE">
      <w:pPr>
        <w:jc w:val="both"/>
      </w:pPr>
      <w:proofErr w:type="gramStart"/>
      <w:r w:rsidRPr="000950BA">
        <w:t>reimbursement</w:t>
      </w:r>
      <w:proofErr w:type="gramEnd"/>
      <w:r w:rsidRPr="000950BA">
        <w:t xml:space="preserve"> rates which would effect this transaction. </w:t>
      </w:r>
      <w:r w:rsidR="005D01C7" w:rsidRPr="000950BA">
        <w:t>As mentioned previously in the application</w:t>
      </w:r>
      <w:r w:rsidR="005D01C7">
        <w:t>,</w:t>
      </w:r>
      <w:r w:rsidR="005D01C7" w:rsidRPr="000950BA">
        <w:t xml:space="preserve"> </w:t>
      </w:r>
      <w:r w:rsidR="005D01C7">
        <w:t>MaineCare reimbursement for Ambulatory Surgical Centers</w:t>
      </w:r>
      <w:r w:rsidR="005D01C7" w:rsidRPr="000950BA">
        <w:t xml:space="preserve"> ended on September 1, 2012.  </w:t>
      </w:r>
      <w:r w:rsidRPr="000950BA">
        <w:t xml:space="preserve">The impact of this change in reimbursement has been factored in to the </w:t>
      </w:r>
      <w:r w:rsidR="002F33D5" w:rsidRPr="000950BA">
        <w:t>applicants’</w:t>
      </w:r>
      <w:r w:rsidRPr="000950BA">
        <w:t xml:space="preserve"> financial projections and occurred regardless of the planned merger.</w:t>
      </w:r>
    </w:p>
    <w:p w:rsidR="00415E79" w:rsidRDefault="00415E79" w:rsidP="00F927FF"/>
    <w:p w:rsidR="00C96AEA" w:rsidRDefault="00C96AEA" w:rsidP="00F927FF"/>
    <w:p w:rsidR="00C96AEA" w:rsidRDefault="00C96AEA" w:rsidP="00F927FF"/>
    <w:p w:rsidR="00C96AEA" w:rsidRPr="000950BA" w:rsidRDefault="00C96AEA" w:rsidP="00F927FF"/>
    <w:p w:rsidR="00415E79" w:rsidRPr="003A78B1" w:rsidRDefault="00415E79" w:rsidP="00415E79">
      <w:pPr>
        <w:rPr>
          <w:b/>
          <w:bCs/>
          <w:iCs/>
        </w:rPr>
      </w:pPr>
      <w:r w:rsidRPr="003A78B1">
        <w:rPr>
          <w:b/>
          <w:bCs/>
          <w:iCs/>
        </w:rPr>
        <w:t>Changing Laws and Regulations</w:t>
      </w:r>
    </w:p>
    <w:p w:rsidR="00415E79" w:rsidRPr="00CA53E9" w:rsidRDefault="00415E79" w:rsidP="00415E79">
      <w:pPr>
        <w:rPr>
          <w:bCs/>
          <w:iCs/>
          <w:sz w:val="16"/>
          <w:szCs w:val="16"/>
        </w:rPr>
      </w:pPr>
    </w:p>
    <w:p w:rsidR="00415E79" w:rsidRDefault="00415E79" w:rsidP="006161BE">
      <w:pPr>
        <w:jc w:val="both"/>
        <w:rPr>
          <w:bCs/>
          <w:iCs/>
        </w:rPr>
      </w:pPr>
      <w:r w:rsidRPr="00C96AEA">
        <w:rPr>
          <w:bCs/>
          <w:iCs/>
        </w:rPr>
        <w:t>Certificate</w:t>
      </w:r>
      <w:r w:rsidRPr="000950BA">
        <w:rPr>
          <w:bCs/>
          <w:iCs/>
        </w:rPr>
        <w:t xml:space="preserve"> of Need Unit staff is not aware of any imminent or proposed changes in laws and regulations that would affect the project, except for federal health care reform as part of the Affordable Care Act (ACA). The impact of health reform as part of the ACA has not been determined.</w:t>
      </w:r>
    </w:p>
    <w:p w:rsidR="003A78B1" w:rsidRDefault="003A78B1" w:rsidP="006161BE">
      <w:pPr>
        <w:jc w:val="both"/>
        <w:rPr>
          <w:bCs/>
          <w:iCs/>
        </w:rPr>
      </w:pPr>
    </w:p>
    <w:p w:rsidR="003A78B1" w:rsidRDefault="003A78B1" w:rsidP="003A78B1">
      <w:pPr>
        <w:rPr>
          <w:b/>
          <w:bCs/>
        </w:rPr>
      </w:pPr>
      <w:r>
        <w:rPr>
          <w:b/>
          <w:bCs/>
        </w:rPr>
        <w:t>Deeming of Standard</w:t>
      </w:r>
    </w:p>
    <w:p w:rsidR="003A78B1" w:rsidRPr="00CA53E9" w:rsidRDefault="003A78B1" w:rsidP="003A78B1">
      <w:pPr>
        <w:rPr>
          <w:sz w:val="16"/>
          <w:szCs w:val="16"/>
        </w:rPr>
      </w:pPr>
    </w:p>
    <w:p w:rsidR="003A78B1" w:rsidRDefault="003A78B1" w:rsidP="003A78B1">
      <w:r>
        <w:t>As provided for at 22 M.R.S. § 335 (7</w:t>
      </w:r>
      <w:proofErr w:type="gramStart"/>
      <w:r>
        <w:t>)(</w:t>
      </w:r>
      <w:proofErr w:type="gramEnd"/>
      <w:r>
        <w:t>B), if the applicant is a provider of health care services that are substantially similar to those services being reviewed and is licensed in the State, the applicant is deemed to have fulfilled the requirements of this standard if the services provided in the State by the applicant during the most recent 3-year period are of similar size and scope and are consistent with applicable licensing and certification standards.</w:t>
      </w:r>
    </w:p>
    <w:p w:rsidR="003A78B1" w:rsidRPr="000950BA" w:rsidRDefault="003A78B1" w:rsidP="006161BE">
      <w:pPr>
        <w:jc w:val="both"/>
        <w:rPr>
          <w:bCs/>
          <w:iCs/>
        </w:rPr>
      </w:pPr>
    </w:p>
    <w:p w:rsidR="004D4509" w:rsidRPr="00C96AEA" w:rsidRDefault="00AD4724" w:rsidP="00C96AEA">
      <w:pPr>
        <w:pStyle w:val="Heading3"/>
        <w:spacing w:before="0" w:after="0"/>
        <w:rPr>
          <w:rFonts w:ascii="Times New Roman" w:hAnsi="Times New Roman" w:cs="Times New Roman"/>
          <w:sz w:val="24"/>
          <w:szCs w:val="24"/>
        </w:rPr>
      </w:pPr>
      <w:bookmarkStart w:id="4" w:name="_Ref195319944"/>
      <w:r w:rsidRPr="00C96AEA">
        <w:rPr>
          <w:rFonts w:ascii="Times New Roman" w:hAnsi="Times New Roman" w:cs="Times New Roman"/>
          <w:sz w:val="24"/>
          <w:szCs w:val="24"/>
        </w:rPr>
        <w:t>Conclusion</w:t>
      </w:r>
    </w:p>
    <w:p w:rsidR="00AB172C" w:rsidRPr="00CA53E9" w:rsidRDefault="00AB172C" w:rsidP="00C96AEA">
      <w:pPr>
        <w:rPr>
          <w:sz w:val="16"/>
          <w:szCs w:val="16"/>
        </w:rPr>
      </w:pPr>
    </w:p>
    <w:p w:rsidR="004D4509" w:rsidRPr="000950BA" w:rsidRDefault="004D4509" w:rsidP="00FD4DBE">
      <w:r w:rsidRPr="000950BA">
        <w:t>CONU recommends that the Commissioner determine that the applicant has demonstrated that the project is economic</w:t>
      </w:r>
      <w:r w:rsidR="00B30FE3" w:rsidRPr="000950BA">
        <w:t>ally</w:t>
      </w:r>
      <w:r w:rsidRPr="000950BA">
        <w:t xml:space="preserve"> </w:t>
      </w:r>
      <w:r w:rsidR="00B30FE3" w:rsidRPr="000950BA">
        <w:t>feasible</w:t>
      </w:r>
      <w:r w:rsidRPr="000950BA">
        <w:t>.</w:t>
      </w:r>
    </w:p>
    <w:p w:rsidR="006B13F0" w:rsidRPr="000950BA" w:rsidRDefault="006B13F0" w:rsidP="0051353A">
      <w:pPr>
        <w:pStyle w:val="Heading1"/>
        <w:rPr>
          <w:rFonts w:ascii="Times New Roman" w:hAnsi="Times New Roman" w:cs="Times New Roman"/>
          <w:sz w:val="28"/>
          <w:szCs w:val="28"/>
        </w:rPr>
        <w:sectPr w:rsidR="006B13F0" w:rsidRPr="000950BA" w:rsidSect="00C45CF1">
          <w:headerReference w:type="default" r:id="rId17"/>
          <w:pgSz w:w="12240" w:h="15840"/>
          <w:pgMar w:top="1440" w:right="1080" w:bottom="1440" w:left="1800" w:header="720" w:footer="720" w:gutter="0"/>
          <w:cols w:space="720"/>
          <w:docGrid w:linePitch="360"/>
        </w:sectPr>
      </w:pPr>
    </w:p>
    <w:p w:rsidR="004336AF" w:rsidRPr="0094720C" w:rsidRDefault="004336AF" w:rsidP="00C96AEA">
      <w:pPr>
        <w:pStyle w:val="Heading1"/>
        <w:spacing w:before="0" w:after="0"/>
        <w:rPr>
          <w:rFonts w:ascii="Times New Roman" w:hAnsi="Times New Roman" w:cs="Times New Roman"/>
          <w:sz w:val="28"/>
          <w:szCs w:val="28"/>
          <w:u w:val="single"/>
        </w:rPr>
      </w:pPr>
      <w:r w:rsidRPr="0094720C">
        <w:rPr>
          <w:rFonts w:ascii="Times New Roman" w:hAnsi="Times New Roman" w:cs="Times New Roman"/>
          <w:sz w:val="28"/>
          <w:szCs w:val="28"/>
          <w:u w:val="single"/>
        </w:rPr>
        <w:t xml:space="preserve">IV. </w:t>
      </w:r>
      <w:bookmarkEnd w:id="4"/>
      <w:r w:rsidR="00CF12AC" w:rsidRPr="0094720C">
        <w:rPr>
          <w:rFonts w:ascii="Times New Roman" w:hAnsi="Times New Roman" w:cs="Times New Roman"/>
          <w:sz w:val="28"/>
          <w:szCs w:val="28"/>
          <w:u w:val="single"/>
        </w:rPr>
        <w:t>Public Need</w:t>
      </w:r>
      <w:r w:rsidRPr="0094720C">
        <w:rPr>
          <w:rFonts w:ascii="Times New Roman" w:hAnsi="Times New Roman" w:cs="Times New Roman"/>
          <w:sz w:val="28"/>
          <w:szCs w:val="28"/>
          <w:u w:val="single"/>
        </w:rPr>
        <w:t xml:space="preserve"> </w:t>
      </w:r>
    </w:p>
    <w:p w:rsidR="00DE3A4A" w:rsidRPr="00DE3A4A" w:rsidRDefault="00DE3A4A" w:rsidP="00DE3A4A"/>
    <w:p w:rsidR="00B26788" w:rsidRPr="00C96AEA" w:rsidRDefault="00C96AEA" w:rsidP="00C96AEA">
      <w:pPr>
        <w:rPr>
          <w:b/>
        </w:rPr>
      </w:pPr>
      <w:r>
        <w:rPr>
          <w:b/>
        </w:rPr>
        <w:t>A.</w:t>
      </w:r>
      <w:r>
        <w:rPr>
          <w:b/>
        </w:rPr>
        <w:tab/>
      </w:r>
      <w:r w:rsidR="00B26788" w:rsidRPr="00C96AEA">
        <w:rPr>
          <w:b/>
        </w:rPr>
        <w:t xml:space="preserve">From Applicant </w:t>
      </w:r>
    </w:p>
    <w:p w:rsidR="00DE3A4A" w:rsidRPr="00CA53E9" w:rsidRDefault="00DE3A4A" w:rsidP="00DE3A4A">
      <w:pPr>
        <w:ind w:left="360"/>
        <w:rPr>
          <w:b/>
          <w:sz w:val="16"/>
          <w:szCs w:val="16"/>
        </w:rPr>
      </w:pPr>
    </w:p>
    <w:p w:rsidR="00B04EB3" w:rsidRPr="00304AA4" w:rsidRDefault="00304AA4" w:rsidP="00304AA4">
      <w:pPr>
        <w:jc w:val="both"/>
        <w:rPr>
          <w:sz w:val="22"/>
          <w:szCs w:val="22"/>
        </w:rPr>
      </w:pPr>
      <w:bookmarkStart w:id="5" w:name="_1426315039"/>
      <w:bookmarkEnd w:id="5"/>
      <w:r>
        <w:rPr>
          <w:sz w:val="22"/>
          <w:szCs w:val="22"/>
        </w:rPr>
        <w:t>“</w:t>
      </w:r>
      <w:r w:rsidR="00B04EB3" w:rsidRPr="00304AA4">
        <w:rPr>
          <w:sz w:val="22"/>
          <w:szCs w:val="22"/>
        </w:rPr>
        <w:t>This proposed project involves the merger of CMO and OA into Spectrum, which includes the change in ownership of two existi</w:t>
      </w:r>
      <w:r w:rsidR="00055F06" w:rsidRPr="00304AA4">
        <w:rPr>
          <w:sz w:val="22"/>
          <w:szCs w:val="22"/>
        </w:rPr>
        <w:t xml:space="preserve">ng and fully operational ASCs. </w:t>
      </w:r>
      <w:r w:rsidR="00B04EB3" w:rsidRPr="00304AA4">
        <w:rPr>
          <w:sz w:val="22"/>
          <w:szCs w:val="22"/>
        </w:rPr>
        <w:t xml:space="preserve">Thus, this is not a new project or new service, but the continuation of ASC services currently provided and needed </w:t>
      </w:r>
      <w:r w:rsidR="00055F06" w:rsidRPr="00304AA4">
        <w:rPr>
          <w:sz w:val="22"/>
          <w:szCs w:val="22"/>
        </w:rPr>
        <w:t xml:space="preserve">in the respective communities. </w:t>
      </w:r>
      <w:r w:rsidR="00B04EB3" w:rsidRPr="00304AA4">
        <w:rPr>
          <w:sz w:val="22"/>
          <w:szCs w:val="22"/>
        </w:rPr>
        <w:t xml:space="preserve">The continuation of these services will address the need for </w:t>
      </w:r>
      <w:proofErr w:type="spellStart"/>
      <w:r w:rsidR="00B04EB3" w:rsidRPr="00304AA4">
        <w:rPr>
          <w:sz w:val="22"/>
          <w:szCs w:val="22"/>
        </w:rPr>
        <w:t>orthopaedic</w:t>
      </w:r>
      <w:proofErr w:type="spellEnd"/>
      <w:r w:rsidR="00B04EB3" w:rsidRPr="00304AA4">
        <w:rPr>
          <w:sz w:val="22"/>
          <w:szCs w:val="22"/>
        </w:rPr>
        <w:t xml:space="preserve"> and other surgery services in central and southern </w:t>
      </w:r>
      <w:r w:rsidR="00055F06" w:rsidRPr="00304AA4">
        <w:rPr>
          <w:sz w:val="22"/>
          <w:szCs w:val="22"/>
        </w:rPr>
        <w:t xml:space="preserve">Maine. </w:t>
      </w:r>
      <w:r w:rsidR="00B04EB3" w:rsidRPr="00304AA4">
        <w:rPr>
          <w:sz w:val="22"/>
          <w:szCs w:val="22"/>
        </w:rPr>
        <w:t>With respect to CMO, it offers the only licensed independent surgical cente</w:t>
      </w:r>
      <w:r w:rsidR="00055F06" w:rsidRPr="00304AA4">
        <w:rPr>
          <w:sz w:val="22"/>
          <w:szCs w:val="22"/>
        </w:rPr>
        <w:t xml:space="preserve">r in the Lewiston/Auburn area. </w:t>
      </w:r>
      <w:r w:rsidR="00B04EB3" w:rsidRPr="00304AA4">
        <w:rPr>
          <w:sz w:val="22"/>
          <w:szCs w:val="22"/>
        </w:rPr>
        <w:t xml:space="preserve">With respect to OA, it has offered </w:t>
      </w:r>
      <w:proofErr w:type="spellStart"/>
      <w:r w:rsidR="00B04EB3" w:rsidRPr="00304AA4">
        <w:rPr>
          <w:sz w:val="22"/>
          <w:szCs w:val="22"/>
        </w:rPr>
        <w:t>orthopaedic</w:t>
      </w:r>
      <w:proofErr w:type="spellEnd"/>
      <w:r w:rsidR="00B04EB3" w:rsidRPr="00304AA4">
        <w:rPr>
          <w:sz w:val="22"/>
          <w:szCs w:val="22"/>
        </w:rPr>
        <w:t xml:space="preserve"> surgery services to patients in Portland and surrounding southern Maine communities since 1989.</w:t>
      </w:r>
      <w:r>
        <w:rPr>
          <w:sz w:val="22"/>
          <w:szCs w:val="22"/>
        </w:rPr>
        <w:t>”</w:t>
      </w:r>
    </w:p>
    <w:p w:rsidR="00B04EB3" w:rsidRPr="00304AA4" w:rsidRDefault="00B04EB3" w:rsidP="00304AA4">
      <w:pPr>
        <w:jc w:val="both"/>
        <w:rPr>
          <w:sz w:val="22"/>
          <w:szCs w:val="22"/>
        </w:rPr>
      </w:pPr>
    </w:p>
    <w:p w:rsidR="00B04EB3" w:rsidRPr="00304AA4" w:rsidRDefault="00304AA4" w:rsidP="00304AA4">
      <w:pPr>
        <w:jc w:val="both"/>
        <w:rPr>
          <w:sz w:val="22"/>
          <w:szCs w:val="22"/>
        </w:rPr>
      </w:pPr>
      <w:r>
        <w:rPr>
          <w:sz w:val="22"/>
          <w:szCs w:val="22"/>
        </w:rPr>
        <w:t>“</w:t>
      </w:r>
      <w:r w:rsidR="00B04EB3" w:rsidRPr="00304AA4">
        <w:rPr>
          <w:sz w:val="22"/>
          <w:szCs w:val="22"/>
        </w:rPr>
        <w:t>Regarding utilization and public need, CMO performed approximately 2400 to 2500 surgical procedures in its ASC in each of the years 2010, 2011, and 2012, respectively</w:t>
      </w:r>
      <w:r w:rsidR="00055F06" w:rsidRPr="00304AA4">
        <w:rPr>
          <w:sz w:val="22"/>
          <w:szCs w:val="22"/>
        </w:rPr>
        <w:t xml:space="preserve">. </w:t>
      </w:r>
      <w:r w:rsidR="00B04EB3" w:rsidRPr="00304AA4">
        <w:rPr>
          <w:sz w:val="22"/>
          <w:szCs w:val="22"/>
        </w:rPr>
        <w:t>Based on utilization through June 2013, CMO expects to perform approximately the same number of procedures in 2013, with the potential for modest increases in 2014 and 2015</w:t>
      </w:r>
      <w:r w:rsidR="00055F06" w:rsidRPr="00304AA4">
        <w:rPr>
          <w:sz w:val="22"/>
          <w:szCs w:val="22"/>
        </w:rPr>
        <w:t xml:space="preserve">. </w:t>
      </w:r>
      <w:r w:rsidR="00B04EB3" w:rsidRPr="00304AA4">
        <w:rPr>
          <w:sz w:val="22"/>
          <w:szCs w:val="22"/>
        </w:rPr>
        <w:t>The utilization of OA’s ASC decreased somewhat over the years 2010 through 2012 because in and around 2010 and 2011 certain physicians left OA to become employees</w:t>
      </w:r>
      <w:r w:rsidR="00055F06" w:rsidRPr="00304AA4">
        <w:rPr>
          <w:sz w:val="22"/>
          <w:szCs w:val="22"/>
        </w:rPr>
        <w:t xml:space="preserve"> of MaineHealth. </w:t>
      </w:r>
      <w:r w:rsidR="00B04EB3" w:rsidRPr="00304AA4">
        <w:rPr>
          <w:sz w:val="22"/>
          <w:szCs w:val="22"/>
        </w:rPr>
        <w:t>As a result, in 2010 OA performed approximately 5,000 surgical procedures and in 2012 they performed approximately 4,200 surgical procedures.</w:t>
      </w:r>
      <w:r w:rsidR="00055F06" w:rsidRPr="00304AA4">
        <w:rPr>
          <w:sz w:val="22"/>
          <w:szCs w:val="22"/>
        </w:rPr>
        <w:t xml:space="preserve"> </w:t>
      </w:r>
      <w:r w:rsidR="00B04EB3" w:rsidRPr="00304AA4">
        <w:rPr>
          <w:sz w:val="22"/>
          <w:szCs w:val="22"/>
        </w:rPr>
        <w:t>Based on utilization through June 2013, OA expects to perform approximately 4,400 procedures in 2013, with the potential for modest increases in 2014 and 2015.</w:t>
      </w:r>
      <w:r w:rsidR="00055F06" w:rsidRPr="00304AA4">
        <w:rPr>
          <w:sz w:val="22"/>
          <w:szCs w:val="22"/>
        </w:rPr>
        <w:t xml:space="preserve"> </w:t>
      </w:r>
      <w:r w:rsidR="00B04EB3" w:rsidRPr="00304AA4">
        <w:rPr>
          <w:sz w:val="22"/>
          <w:szCs w:val="22"/>
        </w:rPr>
        <w:t xml:space="preserve">Thus, Spectrum expects that the ASCs will continue to meet the need and demand for </w:t>
      </w:r>
      <w:proofErr w:type="spellStart"/>
      <w:r w:rsidR="00B04EB3" w:rsidRPr="00304AA4">
        <w:rPr>
          <w:sz w:val="22"/>
          <w:szCs w:val="22"/>
        </w:rPr>
        <w:t>orthopaedic</w:t>
      </w:r>
      <w:proofErr w:type="spellEnd"/>
      <w:r w:rsidR="00B04EB3" w:rsidRPr="00304AA4">
        <w:rPr>
          <w:sz w:val="22"/>
          <w:szCs w:val="22"/>
        </w:rPr>
        <w:t xml:space="preserve"> and other surgery services</w:t>
      </w:r>
      <w:r w:rsidR="00055F06" w:rsidRPr="00304AA4">
        <w:rPr>
          <w:sz w:val="22"/>
          <w:szCs w:val="22"/>
        </w:rPr>
        <w:t xml:space="preserve"> in central and southern Maine.</w:t>
      </w:r>
      <w:r w:rsidR="00B04EB3" w:rsidRPr="00304AA4">
        <w:rPr>
          <w:sz w:val="22"/>
          <w:szCs w:val="22"/>
        </w:rPr>
        <w:t xml:space="preserve"> Spectrum does not project the need to expand ASC capacity for </w:t>
      </w:r>
      <w:proofErr w:type="spellStart"/>
      <w:r w:rsidR="00B04EB3" w:rsidRPr="00304AA4">
        <w:rPr>
          <w:sz w:val="22"/>
          <w:szCs w:val="22"/>
        </w:rPr>
        <w:t>orthopaedic</w:t>
      </w:r>
      <w:proofErr w:type="spellEnd"/>
      <w:r w:rsidR="00B04EB3" w:rsidRPr="00304AA4">
        <w:rPr>
          <w:sz w:val="22"/>
          <w:szCs w:val="22"/>
        </w:rPr>
        <w:t xml:space="preserve"> ser</w:t>
      </w:r>
      <w:r w:rsidR="00055F06" w:rsidRPr="00304AA4">
        <w:rPr>
          <w:sz w:val="22"/>
          <w:szCs w:val="22"/>
        </w:rPr>
        <w:t xml:space="preserve">vices in the immediate future. </w:t>
      </w:r>
      <w:r w:rsidR="00B04EB3" w:rsidRPr="00304AA4">
        <w:rPr>
          <w:sz w:val="22"/>
          <w:szCs w:val="22"/>
        </w:rPr>
        <w:t>In the event physical capacity becomes an issue in the future, Spectrum would work through the CON process, as necessary and appropriate, to address the capacity issue.</w:t>
      </w:r>
      <w:r>
        <w:rPr>
          <w:sz w:val="22"/>
          <w:szCs w:val="22"/>
        </w:rPr>
        <w:t>”</w:t>
      </w:r>
    </w:p>
    <w:p w:rsidR="00B04EB3" w:rsidRPr="00304AA4" w:rsidRDefault="00B04EB3" w:rsidP="00304AA4">
      <w:pPr>
        <w:ind w:firstLine="720"/>
        <w:jc w:val="both"/>
        <w:rPr>
          <w:sz w:val="22"/>
          <w:szCs w:val="22"/>
        </w:rPr>
      </w:pPr>
    </w:p>
    <w:p w:rsidR="00B04EB3" w:rsidRPr="00304AA4" w:rsidRDefault="00304AA4" w:rsidP="00304AA4">
      <w:pPr>
        <w:jc w:val="both"/>
        <w:rPr>
          <w:sz w:val="22"/>
          <w:szCs w:val="22"/>
        </w:rPr>
      </w:pPr>
      <w:r>
        <w:rPr>
          <w:sz w:val="22"/>
          <w:szCs w:val="22"/>
        </w:rPr>
        <w:t>“</w:t>
      </w:r>
      <w:r w:rsidR="00B04EB3" w:rsidRPr="00304AA4">
        <w:rPr>
          <w:sz w:val="22"/>
          <w:szCs w:val="22"/>
        </w:rPr>
        <w:t xml:space="preserve">With respect to access, </w:t>
      </w:r>
      <w:r w:rsidR="00B04EB3" w:rsidRPr="00304AA4">
        <w:rPr>
          <w:bCs/>
          <w:sz w:val="22"/>
          <w:szCs w:val="22"/>
        </w:rPr>
        <w:t xml:space="preserve">Spectrum is committed to caring for all patients in need of care, and the accessibility </w:t>
      </w:r>
      <w:r w:rsidR="00B04EB3" w:rsidRPr="00304AA4">
        <w:rPr>
          <w:sz w:val="22"/>
          <w:szCs w:val="22"/>
        </w:rPr>
        <w:t>CMO and OA afford in their respective geogra</w:t>
      </w:r>
      <w:r w:rsidR="000950BA" w:rsidRPr="00304AA4">
        <w:rPr>
          <w:sz w:val="22"/>
          <w:szCs w:val="22"/>
        </w:rPr>
        <w:t xml:space="preserve">phic markets would not change. </w:t>
      </w:r>
      <w:r w:rsidR="00B04EB3" w:rsidRPr="00304AA4">
        <w:rPr>
          <w:sz w:val="22"/>
          <w:szCs w:val="22"/>
        </w:rPr>
        <w:t xml:space="preserve">CMO treats Maine residents primarily from the Androscoggin County area, as well as from surrounding regions, as </w:t>
      </w:r>
      <w:r w:rsidR="00055F06" w:rsidRPr="00304AA4">
        <w:rPr>
          <w:sz w:val="22"/>
          <w:szCs w:val="22"/>
        </w:rPr>
        <w:t xml:space="preserve">far north as Aroostook County. </w:t>
      </w:r>
      <w:r w:rsidR="00B04EB3" w:rsidRPr="00304AA4">
        <w:rPr>
          <w:sz w:val="22"/>
          <w:szCs w:val="22"/>
        </w:rPr>
        <w:t>OA treats patients primarily from Por</w:t>
      </w:r>
      <w:r w:rsidR="00055F06" w:rsidRPr="00304AA4">
        <w:rPr>
          <w:sz w:val="22"/>
          <w:szCs w:val="22"/>
        </w:rPr>
        <w:t xml:space="preserve">tland and surrounding regions. </w:t>
      </w:r>
      <w:r w:rsidR="00B04EB3" w:rsidRPr="00304AA4">
        <w:rPr>
          <w:sz w:val="22"/>
          <w:szCs w:val="22"/>
        </w:rPr>
        <w:t xml:space="preserve">Both facilities treat patients covered by private, commercial insurers, worker compensation plans, self-funded employer plans, and by government </w:t>
      </w:r>
      <w:proofErr w:type="spellStart"/>
      <w:r w:rsidR="00B04EB3" w:rsidRPr="00304AA4">
        <w:rPr>
          <w:sz w:val="22"/>
          <w:szCs w:val="22"/>
        </w:rPr>
        <w:t>payors</w:t>
      </w:r>
      <w:proofErr w:type="spellEnd"/>
      <w:r w:rsidR="00B04EB3" w:rsidRPr="00304AA4">
        <w:rPr>
          <w:sz w:val="22"/>
          <w:szCs w:val="22"/>
        </w:rPr>
        <w:t>. If MaineCare regulations are revised in the future to include coverage for ASC services, the facilities will resume providing services to those patients. Moreover, both facilities have financial assistance policies and procedures in place, to allow patients without insurance coverage (or with only partial insurance coverage) to obtain medically necessary services. The policies establish guidelines for the treatment of patients applying for financial assistance, based on income tiers relative to the federal poverty guidelines. These guidelines, available upon request, would continue to apply post</w:t>
      </w:r>
      <w:r w:rsidR="00872CB0" w:rsidRPr="00304AA4">
        <w:rPr>
          <w:sz w:val="22"/>
          <w:szCs w:val="22"/>
        </w:rPr>
        <w:t>-</w:t>
      </w:r>
      <w:r w:rsidR="00055F06" w:rsidRPr="00304AA4">
        <w:rPr>
          <w:sz w:val="22"/>
          <w:szCs w:val="22"/>
        </w:rPr>
        <w:t>merger.</w:t>
      </w:r>
      <w:r>
        <w:rPr>
          <w:sz w:val="22"/>
          <w:szCs w:val="22"/>
        </w:rPr>
        <w:t>”</w:t>
      </w:r>
    </w:p>
    <w:p w:rsidR="000950BA" w:rsidRPr="00304AA4" w:rsidRDefault="000950BA" w:rsidP="00304AA4">
      <w:pPr>
        <w:jc w:val="both"/>
        <w:rPr>
          <w:sz w:val="22"/>
          <w:szCs w:val="22"/>
        </w:rPr>
      </w:pPr>
    </w:p>
    <w:p w:rsidR="00B04EB3" w:rsidRPr="00304AA4" w:rsidRDefault="00304AA4" w:rsidP="00304AA4">
      <w:pPr>
        <w:jc w:val="both"/>
        <w:rPr>
          <w:sz w:val="22"/>
          <w:szCs w:val="22"/>
        </w:rPr>
      </w:pPr>
      <w:r>
        <w:rPr>
          <w:sz w:val="22"/>
          <w:szCs w:val="22"/>
        </w:rPr>
        <w:t>“</w:t>
      </w:r>
      <w:r w:rsidR="00B04EB3" w:rsidRPr="00304AA4">
        <w:rPr>
          <w:sz w:val="22"/>
          <w:szCs w:val="22"/>
        </w:rPr>
        <w:t>Regarding quality and health status indicators, as explained above in Section II, OA and CMO have quality assurance plans and procedures already in place that have passed state licensure and audited review standards. A copy of such plans, and/or performance measures</w:t>
      </w:r>
      <w:r w:rsidR="000950BA" w:rsidRPr="00304AA4">
        <w:rPr>
          <w:sz w:val="22"/>
          <w:szCs w:val="22"/>
        </w:rPr>
        <w:t xml:space="preserve"> can be provided, upon request.</w:t>
      </w:r>
      <w:r w:rsidR="00B04EB3" w:rsidRPr="00304AA4">
        <w:rPr>
          <w:sz w:val="22"/>
          <w:szCs w:val="22"/>
        </w:rPr>
        <w:t xml:space="preserve"> Further, both OA and CMO have quality assurance data systems that generate timely, meaningful, informative quality, performance and financial data, and that illustrate the standard of care to which both facilities adhere</w:t>
      </w:r>
      <w:r w:rsidR="002127AD" w:rsidRPr="00304AA4">
        <w:rPr>
          <w:sz w:val="22"/>
          <w:szCs w:val="22"/>
        </w:rPr>
        <w:t xml:space="preserve">. </w:t>
      </w:r>
      <w:r w:rsidR="00B04EB3" w:rsidRPr="00304AA4">
        <w:rPr>
          <w:sz w:val="22"/>
          <w:szCs w:val="22"/>
        </w:rPr>
        <w:t>Such systems will remain in place.</w:t>
      </w:r>
      <w:r w:rsidR="002127AD" w:rsidRPr="00304AA4">
        <w:rPr>
          <w:sz w:val="22"/>
          <w:szCs w:val="22"/>
        </w:rPr>
        <w:t xml:space="preserve"> </w:t>
      </w:r>
      <w:r w:rsidR="00B04EB3" w:rsidRPr="00304AA4">
        <w:rPr>
          <w:sz w:val="22"/>
          <w:szCs w:val="22"/>
        </w:rPr>
        <w:t>Because the day-to-day operations of the ASCs will not change as a result of this proposed change in ownership, Spectrum expects to see similar quality outcomes and patient satisfaction in its operation of the ASCs.</w:t>
      </w:r>
      <w:r>
        <w:rPr>
          <w:sz w:val="22"/>
          <w:szCs w:val="22"/>
        </w:rPr>
        <w:t>”</w:t>
      </w:r>
    </w:p>
    <w:p w:rsidR="00C96AEA" w:rsidRDefault="00C96AEA">
      <w:r>
        <w:br w:type="page"/>
      </w:r>
    </w:p>
    <w:p w:rsidR="008E41AC" w:rsidRDefault="008E41AC" w:rsidP="00DE3A4A">
      <w:pPr>
        <w:rPr>
          <w:b/>
        </w:rPr>
      </w:pPr>
      <w:r w:rsidRPr="00DE3A4A">
        <w:rPr>
          <w:b/>
        </w:rPr>
        <w:t>B.</w:t>
      </w:r>
      <w:r w:rsidRPr="00DE3A4A">
        <w:rPr>
          <w:b/>
        </w:rPr>
        <w:tab/>
        <w:t xml:space="preserve">CONU Discussion </w:t>
      </w:r>
    </w:p>
    <w:p w:rsidR="008F3956" w:rsidRPr="00DE3A4A" w:rsidRDefault="008F3956" w:rsidP="00DE3A4A">
      <w:pPr>
        <w:rPr>
          <w:b/>
        </w:rPr>
      </w:pPr>
    </w:p>
    <w:p w:rsidR="008E41AC" w:rsidRPr="00C96AEA" w:rsidRDefault="008E41AC" w:rsidP="008F3956">
      <w:pPr>
        <w:pStyle w:val="Heading3"/>
        <w:spacing w:before="0" w:after="0"/>
        <w:rPr>
          <w:rFonts w:ascii="Times New Roman" w:hAnsi="Times New Roman" w:cs="Times New Roman"/>
          <w:sz w:val="24"/>
          <w:szCs w:val="24"/>
        </w:rPr>
      </w:pPr>
      <w:r w:rsidRPr="00C96AEA">
        <w:rPr>
          <w:rFonts w:ascii="Times New Roman" w:hAnsi="Times New Roman" w:cs="Times New Roman"/>
          <w:sz w:val="24"/>
          <w:szCs w:val="24"/>
        </w:rPr>
        <w:t xml:space="preserve">CON </w:t>
      </w:r>
      <w:r w:rsidR="008C0128" w:rsidRPr="00C96AEA">
        <w:rPr>
          <w:rFonts w:ascii="Times New Roman" w:hAnsi="Times New Roman" w:cs="Times New Roman"/>
          <w:sz w:val="24"/>
          <w:szCs w:val="24"/>
        </w:rPr>
        <w:t>Standard</w:t>
      </w:r>
    </w:p>
    <w:p w:rsidR="008E41AC" w:rsidRPr="00CA53E9" w:rsidRDefault="008E41AC" w:rsidP="008E41AC">
      <w:pPr>
        <w:rPr>
          <w:b/>
          <w:sz w:val="16"/>
          <w:szCs w:val="16"/>
        </w:rPr>
      </w:pPr>
    </w:p>
    <w:p w:rsidR="008E41AC" w:rsidRPr="000950BA" w:rsidRDefault="008C0128" w:rsidP="00304AA4">
      <w:pPr>
        <w:jc w:val="both"/>
      </w:pPr>
      <w:r w:rsidRPr="000950BA">
        <w:t>The r</w:t>
      </w:r>
      <w:r w:rsidR="008E41AC" w:rsidRPr="000950BA">
        <w:t xml:space="preserve">elevant </w:t>
      </w:r>
      <w:r w:rsidRPr="000950BA">
        <w:t>standard</w:t>
      </w:r>
      <w:r w:rsidR="008E41AC" w:rsidRPr="000950BA">
        <w:t xml:space="preserve"> for inclusion in this section are specific to the determination there is a public need for the proposed services as demonstrated by certain factors, including, but not limited to: </w:t>
      </w:r>
    </w:p>
    <w:p w:rsidR="008E41AC" w:rsidRPr="000950BA" w:rsidRDefault="008E41AC" w:rsidP="00304AA4">
      <w:pPr>
        <w:jc w:val="both"/>
      </w:pPr>
    </w:p>
    <w:p w:rsidR="008E41AC" w:rsidRPr="000950BA" w:rsidRDefault="008E41AC" w:rsidP="00304AA4">
      <w:pPr>
        <w:numPr>
          <w:ilvl w:val="0"/>
          <w:numId w:val="2"/>
        </w:numPr>
        <w:jc w:val="both"/>
      </w:pPr>
      <w:r w:rsidRPr="000950BA">
        <w:t>Whether, and the extent to which, the project will substantially address specific health problems as measured by health needs in the area to be served by the project;</w:t>
      </w:r>
      <w:r w:rsidRPr="000950BA">
        <w:br/>
      </w:r>
    </w:p>
    <w:p w:rsidR="008E41AC" w:rsidRPr="000950BA" w:rsidRDefault="008E41AC" w:rsidP="00304AA4">
      <w:pPr>
        <w:numPr>
          <w:ilvl w:val="0"/>
          <w:numId w:val="2"/>
        </w:numPr>
      </w:pPr>
      <w:r w:rsidRPr="000950BA">
        <w:t>Whether the project will have a positive impact on the health status indicators of the population to be served;</w:t>
      </w:r>
      <w:r w:rsidRPr="000950BA">
        <w:br/>
      </w:r>
    </w:p>
    <w:p w:rsidR="008E41AC" w:rsidRPr="000950BA" w:rsidRDefault="008E41AC" w:rsidP="00304AA4">
      <w:pPr>
        <w:numPr>
          <w:ilvl w:val="0"/>
          <w:numId w:val="2"/>
        </w:numPr>
        <w:rPr>
          <w:b/>
        </w:rPr>
      </w:pPr>
      <w:r w:rsidRPr="000950BA">
        <w:t xml:space="preserve">Whether the services affected by the project will be accessible to all residents of the area proposed to be served; and </w:t>
      </w:r>
      <w:r w:rsidRPr="000950BA">
        <w:br/>
      </w:r>
    </w:p>
    <w:p w:rsidR="008E41AC" w:rsidRPr="000950BA" w:rsidRDefault="008E41AC" w:rsidP="00304AA4">
      <w:pPr>
        <w:numPr>
          <w:ilvl w:val="0"/>
          <w:numId w:val="2"/>
        </w:numPr>
        <w:rPr>
          <w:b/>
        </w:rPr>
      </w:pPr>
      <w:r w:rsidRPr="000950BA">
        <w:t>Whether the project will provide demonstrable improvements in quality and outcome measures applicable to the services proposed in the project.</w:t>
      </w:r>
      <w:r w:rsidRPr="000950BA">
        <w:br/>
      </w:r>
    </w:p>
    <w:p w:rsidR="008E41AC" w:rsidRPr="008F3956" w:rsidRDefault="000A06C5" w:rsidP="008F3956">
      <w:pPr>
        <w:pStyle w:val="Heading3"/>
        <w:spacing w:before="0" w:after="0"/>
        <w:rPr>
          <w:rFonts w:ascii="Times New Roman" w:hAnsi="Times New Roman" w:cs="Times New Roman"/>
          <w:sz w:val="24"/>
          <w:szCs w:val="24"/>
        </w:rPr>
      </w:pPr>
      <w:r w:rsidRPr="008F3956">
        <w:rPr>
          <w:rFonts w:ascii="Times New Roman" w:hAnsi="Times New Roman" w:cs="Times New Roman"/>
          <w:sz w:val="24"/>
          <w:szCs w:val="24"/>
        </w:rPr>
        <w:t xml:space="preserve">CON </w:t>
      </w:r>
      <w:r w:rsidR="008E41AC" w:rsidRPr="008F3956">
        <w:rPr>
          <w:rFonts w:ascii="Times New Roman" w:hAnsi="Times New Roman" w:cs="Times New Roman"/>
          <w:sz w:val="24"/>
          <w:szCs w:val="24"/>
        </w:rPr>
        <w:t>Analysis</w:t>
      </w:r>
    </w:p>
    <w:p w:rsidR="00FC4E3B" w:rsidRPr="00CA53E9" w:rsidRDefault="00FC4E3B" w:rsidP="000B6F6B">
      <w:pPr>
        <w:rPr>
          <w:sz w:val="16"/>
          <w:szCs w:val="16"/>
        </w:rPr>
      </w:pPr>
    </w:p>
    <w:p w:rsidR="00097517" w:rsidRPr="000950BA" w:rsidRDefault="00F30422" w:rsidP="00304AA4">
      <w:pPr>
        <w:jc w:val="both"/>
      </w:pPr>
      <w:r w:rsidRPr="000950BA">
        <w:t xml:space="preserve">This review is limited to the Ambulatory Surgical Centers of CMO and OA. CMO treats residents from primarily Androscoggin County and surrounding regions while OA treats patients primarily from Portland and surrounding regions. Both entities are existing facilities and have provided services for many years. CONU prepared a summary of the applicants actual and projected surgical procedures: </w:t>
      </w:r>
    </w:p>
    <w:p w:rsidR="0050666A" w:rsidRPr="000950BA" w:rsidRDefault="0050666A" w:rsidP="00304AA4">
      <w:pPr>
        <w:jc w:val="both"/>
      </w:pPr>
    </w:p>
    <w:p w:rsidR="0050666A" w:rsidRPr="000950BA" w:rsidRDefault="0050666A" w:rsidP="0050666A">
      <w:pPr>
        <w:jc w:val="center"/>
        <w:rPr>
          <w:sz w:val="32"/>
          <w:szCs w:val="32"/>
        </w:rPr>
      </w:pPr>
      <w:r w:rsidRPr="000950BA">
        <w:rPr>
          <w:sz w:val="32"/>
          <w:szCs w:val="32"/>
        </w:rPr>
        <w:t>Number of Ambulatory Surgical Center Surgical Procedures</w:t>
      </w:r>
    </w:p>
    <w:p w:rsidR="0050666A" w:rsidRPr="000950BA" w:rsidRDefault="0050666A" w:rsidP="00F34C0A"/>
    <w:tbl>
      <w:tblPr>
        <w:tblStyle w:val="TableGrid"/>
        <w:tblW w:w="0" w:type="auto"/>
        <w:jc w:val="center"/>
        <w:tblLook w:val="04A0" w:firstRow="1" w:lastRow="0" w:firstColumn="1" w:lastColumn="0" w:noHBand="0" w:noVBand="1"/>
      </w:tblPr>
      <w:tblGrid>
        <w:gridCol w:w="2162"/>
        <w:gridCol w:w="899"/>
        <w:gridCol w:w="730"/>
        <w:gridCol w:w="730"/>
        <w:gridCol w:w="730"/>
        <w:gridCol w:w="765"/>
        <w:gridCol w:w="1382"/>
        <w:gridCol w:w="1170"/>
      </w:tblGrid>
      <w:tr w:rsidR="0050666A" w:rsidRPr="000950BA" w:rsidTr="008F3956">
        <w:trPr>
          <w:jc w:val="center"/>
        </w:trPr>
        <w:tc>
          <w:tcPr>
            <w:tcW w:w="2162" w:type="dxa"/>
          </w:tcPr>
          <w:p w:rsidR="0050666A" w:rsidRPr="000950BA" w:rsidRDefault="0050666A" w:rsidP="0050666A">
            <w:pPr>
              <w:jc w:val="center"/>
              <w:rPr>
                <w:b/>
              </w:rPr>
            </w:pPr>
            <w:r w:rsidRPr="000950BA">
              <w:rPr>
                <w:b/>
              </w:rPr>
              <w:t>Ambulatory Surgical Center</w:t>
            </w:r>
          </w:p>
        </w:tc>
        <w:tc>
          <w:tcPr>
            <w:tcW w:w="899" w:type="dxa"/>
          </w:tcPr>
          <w:p w:rsidR="0050666A" w:rsidRPr="000950BA" w:rsidRDefault="0050666A" w:rsidP="0050666A">
            <w:pPr>
              <w:jc w:val="center"/>
              <w:rPr>
                <w:b/>
              </w:rPr>
            </w:pPr>
            <w:r w:rsidRPr="000950BA">
              <w:rPr>
                <w:b/>
              </w:rPr>
              <w:t>Actual 2012</w:t>
            </w:r>
          </w:p>
        </w:tc>
        <w:tc>
          <w:tcPr>
            <w:tcW w:w="730" w:type="dxa"/>
          </w:tcPr>
          <w:p w:rsidR="0050666A" w:rsidRPr="000950BA" w:rsidRDefault="0050666A" w:rsidP="0050666A">
            <w:pPr>
              <w:jc w:val="center"/>
              <w:rPr>
                <w:b/>
              </w:rPr>
            </w:pPr>
            <w:proofErr w:type="spellStart"/>
            <w:r w:rsidRPr="000950BA">
              <w:rPr>
                <w:b/>
              </w:rPr>
              <w:t>Proj</w:t>
            </w:r>
            <w:proofErr w:type="spellEnd"/>
            <w:r w:rsidRPr="000950BA">
              <w:rPr>
                <w:b/>
              </w:rPr>
              <w:t>. 2013</w:t>
            </w:r>
          </w:p>
        </w:tc>
        <w:tc>
          <w:tcPr>
            <w:tcW w:w="730" w:type="dxa"/>
          </w:tcPr>
          <w:p w:rsidR="0050666A" w:rsidRPr="000950BA" w:rsidRDefault="0050666A" w:rsidP="0050666A">
            <w:pPr>
              <w:jc w:val="center"/>
              <w:rPr>
                <w:b/>
              </w:rPr>
            </w:pPr>
            <w:proofErr w:type="spellStart"/>
            <w:r w:rsidRPr="000950BA">
              <w:rPr>
                <w:b/>
              </w:rPr>
              <w:t>Proj</w:t>
            </w:r>
            <w:proofErr w:type="spellEnd"/>
            <w:r w:rsidRPr="000950BA">
              <w:rPr>
                <w:b/>
              </w:rPr>
              <w:t>. Year 1</w:t>
            </w:r>
          </w:p>
        </w:tc>
        <w:tc>
          <w:tcPr>
            <w:tcW w:w="730" w:type="dxa"/>
          </w:tcPr>
          <w:p w:rsidR="0050666A" w:rsidRPr="000950BA" w:rsidRDefault="0050666A" w:rsidP="0050666A">
            <w:pPr>
              <w:jc w:val="center"/>
              <w:rPr>
                <w:b/>
              </w:rPr>
            </w:pPr>
            <w:proofErr w:type="spellStart"/>
            <w:r w:rsidRPr="000950BA">
              <w:rPr>
                <w:b/>
              </w:rPr>
              <w:t>Proj</w:t>
            </w:r>
            <w:proofErr w:type="spellEnd"/>
            <w:r w:rsidRPr="000950BA">
              <w:rPr>
                <w:b/>
              </w:rPr>
              <w:t>. Year 2</w:t>
            </w:r>
          </w:p>
        </w:tc>
        <w:tc>
          <w:tcPr>
            <w:tcW w:w="765" w:type="dxa"/>
          </w:tcPr>
          <w:p w:rsidR="0050666A" w:rsidRPr="000950BA" w:rsidRDefault="0050666A" w:rsidP="0050666A">
            <w:pPr>
              <w:jc w:val="center"/>
              <w:rPr>
                <w:b/>
              </w:rPr>
            </w:pPr>
            <w:proofErr w:type="spellStart"/>
            <w:r w:rsidRPr="000950BA">
              <w:rPr>
                <w:b/>
              </w:rPr>
              <w:t>Proj</w:t>
            </w:r>
            <w:proofErr w:type="spellEnd"/>
            <w:r w:rsidRPr="000950BA">
              <w:rPr>
                <w:b/>
              </w:rPr>
              <w:t xml:space="preserve">. Year 3 </w:t>
            </w:r>
          </w:p>
        </w:tc>
        <w:tc>
          <w:tcPr>
            <w:tcW w:w="1382" w:type="dxa"/>
          </w:tcPr>
          <w:p w:rsidR="0050666A" w:rsidRPr="000950BA" w:rsidRDefault="0050666A" w:rsidP="00CA53E9">
            <w:pPr>
              <w:jc w:val="center"/>
              <w:rPr>
                <w:b/>
              </w:rPr>
            </w:pPr>
            <w:r w:rsidRPr="000950BA">
              <w:rPr>
                <w:b/>
              </w:rPr>
              <w:t>2012 to Yr. 3</w:t>
            </w:r>
            <w:r w:rsidR="00CA53E9">
              <w:rPr>
                <w:b/>
              </w:rPr>
              <w:t xml:space="preserve"> Year</w:t>
            </w:r>
            <w:r w:rsidRPr="000950BA">
              <w:rPr>
                <w:b/>
              </w:rPr>
              <w:t xml:space="preserve"> Increase</w:t>
            </w:r>
          </w:p>
        </w:tc>
        <w:tc>
          <w:tcPr>
            <w:tcW w:w="1170" w:type="dxa"/>
          </w:tcPr>
          <w:p w:rsidR="0050666A" w:rsidRPr="000950BA" w:rsidRDefault="0050666A" w:rsidP="0050666A">
            <w:pPr>
              <w:jc w:val="center"/>
              <w:rPr>
                <w:b/>
              </w:rPr>
            </w:pPr>
            <w:r w:rsidRPr="000950BA">
              <w:rPr>
                <w:b/>
              </w:rPr>
              <w:t>Average Annual Inc.</w:t>
            </w:r>
          </w:p>
        </w:tc>
      </w:tr>
      <w:tr w:rsidR="0050666A" w:rsidRPr="000950BA" w:rsidTr="008F3956">
        <w:trPr>
          <w:jc w:val="center"/>
        </w:trPr>
        <w:tc>
          <w:tcPr>
            <w:tcW w:w="2162" w:type="dxa"/>
          </w:tcPr>
          <w:p w:rsidR="0050666A" w:rsidRPr="000950BA" w:rsidRDefault="0050666A" w:rsidP="00F34C0A">
            <w:r w:rsidRPr="000950BA">
              <w:t>OA Surgical Procedures</w:t>
            </w:r>
          </w:p>
        </w:tc>
        <w:tc>
          <w:tcPr>
            <w:tcW w:w="899" w:type="dxa"/>
          </w:tcPr>
          <w:p w:rsidR="0050666A" w:rsidRPr="000950BA" w:rsidRDefault="0050666A" w:rsidP="002127AD">
            <w:pPr>
              <w:jc w:val="center"/>
            </w:pPr>
            <w:r w:rsidRPr="000950BA">
              <w:t>4200</w:t>
            </w:r>
          </w:p>
        </w:tc>
        <w:tc>
          <w:tcPr>
            <w:tcW w:w="730" w:type="dxa"/>
          </w:tcPr>
          <w:p w:rsidR="0050666A" w:rsidRPr="000950BA" w:rsidRDefault="0050666A" w:rsidP="002127AD">
            <w:pPr>
              <w:jc w:val="center"/>
            </w:pPr>
            <w:r w:rsidRPr="000950BA">
              <w:t>4400</w:t>
            </w:r>
          </w:p>
        </w:tc>
        <w:tc>
          <w:tcPr>
            <w:tcW w:w="730" w:type="dxa"/>
          </w:tcPr>
          <w:p w:rsidR="0050666A" w:rsidRPr="000950BA" w:rsidRDefault="0050666A" w:rsidP="002127AD">
            <w:pPr>
              <w:jc w:val="center"/>
            </w:pPr>
            <w:r w:rsidRPr="000950BA">
              <w:t>4400</w:t>
            </w:r>
          </w:p>
        </w:tc>
        <w:tc>
          <w:tcPr>
            <w:tcW w:w="730" w:type="dxa"/>
          </w:tcPr>
          <w:p w:rsidR="0050666A" w:rsidRPr="000950BA" w:rsidRDefault="0050666A" w:rsidP="002127AD">
            <w:pPr>
              <w:jc w:val="center"/>
            </w:pPr>
            <w:r w:rsidRPr="000950BA">
              <w:t>5025</w:t>
            </w:r>
          </w:p>
        </w:tc>
        <w:tc>
          <w:tcPr>
            <w:tcW w:w="765" w:type="dxa"/>
          </w:tcPr>
          <w:p w:rsidR="0050666A" w:rsidRPr="000950BA" w:rsidRDefault="0050666A" w:rsidP="002127AD">
            <w:pPr>
              <w:jc w:val="center"/>
            </w:pPr>
            <w:r w:rsidRPr="000950BA">
              <w:t>5680</w:t>
            </w:r>
          </w:p>
        </w:tc>
        <w:tc>
          <w:tcPr>
            <w:tcW w:w="1382" w:type="dxa"/>
          </w:tcPr>
          <w:p w:rsidR="0050666A" w:rsidRPr="000950BA" w:rsidRDefault="0050666A" w:rsidP="002127AD">
            <w:pPr>
              <w:jc w:val="center"/>
            </w:pPr>
            <w:r w:rsidRPr="000950BA">
              <w:t>35.23%</w:t>
            </w:r>
          </w:p>
        </w:tc>
        <w:tc>
          <w:tcPr>
            <w:tcW w:w="1170" w:type="dxa"/>
          </w:tcPr>
          <w:p w:rsidR="0050666A" w:rsidRPr="000950BA" w:rsidRDefault="0050666A" w:rsidP="002127AD">
            <w:pPr>
              <w:jc w:val="center"/>
            </w:pPr>
            <w:r w:rsidRPr="000950BA">
              <w:t>7.05%</w:t>
            </w:r>
          </w:p>
        </w:tc>
      </w:tr>
      <w:tr w:rsidR="0050666A" w:rsidRPr="000950BA" w:rsidTr="008F3956">
        <w:trPr>
          <w:jc w:val="center"/>
        </w:trPr>
        <w:tc>
          <w:tcPr>
            <w:tcW w:w="2162" w:type="dxa"/>
          </w:tcPr>
          <w:p w:rsidR="0050666A" w:rsidRPr="000950BA" w:rsidRDefault="0050666A" w:rsidP="00F34C0A">
            <w:r w:rsidRPr="000950BA">
              <w:t>CMO Surgical Procedures</w:t>
            </w:r>
          </w:p>
        </w:tc>
        <w:tc>
          <w:tcPr>
            <w:tcW w:w="899" w:type="dxa"/>
          </w:tcPr>
          <w:p w:rsidR="0050666A" w:rsidRPr="000950BA" w:rsidRDefault="0050666A" w:rsidP="002127AD">
            <w:pPr>
              <w:jc w:val="center"/>
            </w:pPr>
            <w:r w:rsidRPr="000950BA">
              <w:t>2400</w:t>
            </w:r>
          </w:p>
        </w:tc>
        <w:tc>
          <w:tcPr>
            <w:tcW w:w="730" w:type="dxa"/>
          </w:tcPr>
          <w:p w:rsidR="0050666A" w:rsidRPr="000950BA" w:rsidRDefault="0050666A" w:rsidP="002127AD">
            <w:pPr>
              <w:jc w:val="center"/>
            </w:pPr>
            <w:r w:rsidRPr="000950BA">
              <w:t>2400</w:t>
            </w:r>
          </w:p>
        </w:tc>
        <w:tc>
          <w:tcPr>
            <w:tcW w:w="730" w:type="dxa"/>
          </w:tcPr>
          <w:p w:rsidR="0050666A" w:rsidRPr="000950BA" w:rsidRDefault="0050666A" w:rsidP="002127AD">
            <w:pPr>
              <w:jc w:val="center"/>
            </w:pPr>
            <w:r w:rsidRPr="000950BA">
              <w:t>2487</w:t>
            </w:r>
          </w:p>
        </w:tc>
        <w:tc>
          <w:tcPr>
            <w:tcW w:w="730" w:type="dxa"/>
          </w:tcPr>
          <w:p w:rsidR="0050666A" w:rsidRPr="000950BA" w:rsidRDefault="0050666A" w:rsidP="002127AD">
            <w:pPr>
              <w:jc w:val="center"/>
            </w:pPr>
            <w:r w:rsidRPr="000950BA">
              <w:t>3088</w:t>
            </w:r>
          </w:p>
        </w:tc>
        <w:tc>
          <w:tcPr>
            <w:tcW w:w="765" w:type="dxa"/>
          </w:tcPr>
          <w:p w:rsidR="0050666A" w:rsidRPr="000950BA" w:rsidRDefault="0050666A" w:rsidP="002127AD">
            <w:pPr>
              <w:jc w:val="center"/>
            </w:pPr>
            <w:r w:rsidRPr="000950BA">
              <w:t>3148</w:t>
            </w:r>
          </w:p>
        </w:tc>
        <w:tc>
          <w:tcPr>
            <w:tcW w:w="1382" w:type="dxa"/>
          </w:tcPr>
          <w:p w:rsidR="0050666A" w:rsidRPr="000950BA" w:rsidRDefault="0050666A" w:rsidP="002127AD">
            <w:pPr>
              <w:jc w:val="center"/>
            </w:pPr>
            <w:r w:rsidRPr="000950BA">
              <w:t>31.16%</w:t>
            </w:r>
          </w:p>
        </w:tc>
        <w:tc>
          <w:tcPr>
            <w:tcW w:w="1170" w:type="dxa"/>
          </w:tcPr>
          <w:p w:rsidR="0050666A" w:rsidRPr="000950BA" w:rsidRDefault="0050666A" w:rsidP="002127AD">
            <w:pPr>
              <w:jc w:val="center"/>
            </w:pPr>
            <w:r w:rsidRPr="000950BA">
              <w:t>6.23%</w:t>
            </w:r>
          </w:p>
        </w:tc>
      </w:tr>
    </w:tbl>
    <w:p w:rsidR="00872E85" w:rsidRPr="000950BA" w:rsidRDefault="00007462" w:rsidP="00304AA4">
      <w:pPr>
        <w:pStyle w:val="Heading3"/>
        <w:jc w:val="both"/>
        <w:rPr>
          <w:rFonts w:ascii="Times New Roman" w:hAnsi="Times New Roman" w:cs="Times New Roman"/>
          <w:b w:val="0"/>
          <w:sz w:val="24"/>
          <w:szCs w:val="24"/>
        </w:rPr>
      </w:pPr>
      <w:r w:rsidRPr="000950BA">
        <w:rPr>
          <w:rFonts w:ascii="Times New Roman" w:hAnsi="Times New Roman" w:cs="Times New Roman"/>
          <w:b w:val="0"/>
          <w:sz w:val="24"/>
          <w:szCs w:val="24"/>
        </w:rPr>
        <w:t>This summary shows that there is a demand for</w:t>
      </w:r>
      <w:r w:rsidR="00872E85" w:rsidRPr="000950BA">
        <w:rPr>
          <w:rFonts w:ascii="Times New Roman" w:hAnsi="Times New Roman" w:cs="Times New Roman"/>
          <w:b w:val="0"/>
          <w:sz w:val="24"/>
          <w:szCs w:val="24"/>
        </w:rPr>
        <w:t xml:space="preserve"> surgical services to meet specific health problems</w:t>
      </w:r>
      <w:r w:rsidRPr="000950BA">
        <w:rPr>
          <w:rFonts w:ascii="Times New Roman" w:hAnsi="Times New Roman" w:cs="Times New Roman"/>
          <w:b w:val="0"/>
          <w:sz w:val="24"/>
          <w:szCs w:val="24"/>
        </w:rPr>
        <w:t xml:space="preserve"> in the area</w:t>
      </w:r>
      <w:r w:rsidR="00CA53E9">
        <w:rPr>
          <w:rFonts w:ascii="Times New Roman" w:hAnsi="Times New Roman" w:cs="Times New Roman"/>
          <w:b w:val="0"/>
          <w:sz w:val="24"/>
          <w:szCs w:val="24"/>
        </w:rPr>
        <w:t>.</w:t>
      </w:r>
      <w:r w:rsidRPr="000950BA">
        <w:rPr>
          <w:rFonts w:ascii="Times New Roman" w:hAnsi="Times New Roman" w:cs="Times New Roman"/>
          <w:b w:val="0"/>
          <w:sz w:val="24"/>
          <w:szCs w:val="24"/>
        </w:rPr>
        <w:t xml:space="preserve"> The applicants believe that their current facility has sufficient capacity to meet demand in the foreseeable future. </w:t>
      </w:r>
    </w:p>
    <w:p w:rsidR="00007462" w:rsidRPr="000950BA" w:rsidRDefault="00872E85" w:rsidP="00304AA4">
      <w:pPr>
        <w:pStyle w:val="Heading3"/>
        <w:jc w:val="both"/>
        <w:rPr>
          <w:rFonts w:ascii="Times New Roman" w:hAnsi="Times New Roman" w:cs="Times New Roman"/>
          <w:b w:val="0"/>
          <w:sz w:val="24"/>
          <w:szCs w:val="24"/>
        </w:rPr>
      </w:pPr>
      <w:r w:rsidRPr="000950BA">
        <w:rPr>
          <w:rFonts w:ascii="Times New Roman" w:hAnsi="Times New Roman" w:cs="Times New Roman"/>
          <w:b w:val="0"/>
          <w:sz w:val="24"/>
          <w:szCs w:val="24"/>
        </w:rPr>
        <w:t>Providing needed orthopedic and other surgery services in central and southern Maine will have a positive impact on the health status indicators of the population to be served.</w:t>
      </w:r>
    </w:p>
    <w:p w:rsidR="00872E85" w:rsidRPr="000950BA" w:rsidRDefault="00872E85" w:rsidP="00304AA4">
      <w:pPr>
        <w:jc w:val="both"/>
      </w:pPr>
    </w:p>
    <w:p w:rsidR="00872E85" w:rsidRPr="000950BA" w:rsidRDefault="00D518A5" w:rsidP="00304AA4">
      <w:pPr>
        <w:jc w:val="both"/>
      </w:pPr>
      <w:r w:rsidRPr="000950BA">
        <w:t xml:space="preserve">The proposed merger will have </w:t>
      </w:r>
      <w:r w:rsidR="007B19D4" w:rsidRPr="000950BA">
        <w:t xml:space="preserve">no impact on the accessibility of services as no changes in location or services are part of this transaction. The services affected by the project will be accessible to all residents of the area proposed to be served. </w:t>
      </w:r>
    </w:p>
    <w:p w:rsidR="007B19D4" w:rsidRPr="000950BA" w:rsidRDefault="007B19D4" w:rsidP="00304AA4">
      <w:pPr>
        <w:jc w:val="both"/>
      </w:pPr>
    </w:p>
    <w:p w:rsidR="007B19D4" w:rsidRDefault="00C871D2" w:rsidP="00304AA4">
      <w:pPr>
        <w:jc w:val="both"/>
      </w:pPr>
      <w:r w:rsidRPr="000950BA">
        <w:t>The applicant has discussed its quality and outcome measures extensively in the Fit, Willing and Able section of this analysis. In addition CONU has requested a copy of OA and CMO’s quality assurance plans and procedures currently utilized in each facility. . Both OA and CMO have quality assurance data systems which allow management to track performance measures on and ongoing basis to ensure quality outcomes for its patients. These systems will remain in place post-merger</w:t>
      </w:r>
    </w:p>
    <w:p w:rsidR="008F3956" w:rsidRPr="000950BA" w:rsidRDefault="008F3956" w:rsidP="00304AA4">
      <w:pPr>
        <w:jc w:val="both"/>
      </w:pPr>
    </w:p>
    <w:p w:rsidR="00D77F04" w:rsidRPr="008F3956" w:rsidRDefault="008E41AC" w:rsidP="008F3956">
      <w:pPr>
        <w:pStyle w:val="Heading3"/>
        <w:spacing w:before="0" w:after="0"/>
        <w:rPr>
          <w:rFonts w:ascii="Times New Roman" w:hAnsi="Times New Roman" w:cs="Times New Roman"/>
          <w:sz w:val="24"/>
          <w:szCs w:val="24"/>
        </w:rPr>
      </w:pPr>
      <w:r w:rsidRPr="008F3956">
        <w:rPr>
          <w:rFonts w:ascii="Times New Roman" w:hAnsi="Times New Roman" w:cs="Times New Roman"/>
          <w:sz w:val="24"/>
          <w:szCs w:val="24"/>
        </w:rPr>
        <w:t xml:space="preserve">Conclusion </w:t>
      </w:r>
    </w:p>
    <w:p w:rsidR="000950BA" w:rsidRPr="00732394" w:rsidRDefault="000950BA" w:rsidP="000950BA">
      <w:pPr>
        <w:rPr>
          <w:sz w:val="16"/>
          <w:szCs w:val="16"/>
        </w:rPr>
      </w:pPr>
    </w:p>
    <w:p w:rsidR="00303ACB" w:rsidRPr="000950BA" w:rsidRDefault="00303ACB" w:rsidP="00304AA4">
      <w:pPr>
        <w:jc w:val="both"/>
      </w:pPr>
      <w:r w:rsidRPr="000950BA">
        <w:t xml:space="preserve">CONU recommends that the Commissioner find that </w:t>
      </w:r>
      <w:r w:rsidR="004737C1" w:rsidRPr="000950BA">
        <w:t>the applicant</w:t>
      </w:r>
      <w:r w:rsidRPr="000950BA">
        <w:t xml:space="preserve"> </w:t>
      </w:r>
      <w:r w:rsidR="004910F8" w:rsidRPr="000950BA">
        <w:t>has met</w:t>
      </w:r>
      <w:r w:rsidRPr="000950BA">
        <w:t xml:space="preserve"> their burden to show that there is a public need for the proposed project</w:t>
      </w:r>
      <w:r w:rsidR="00CA53E9">
        <w:t>.</w:t>
      </w:r>
    </w:p>
    <w:p w:rsidR="00816CFD" w:rsidRPr="000950BA" w:rsidRDefault="00816CFD" w:rsidP="00D77F04"/>
    <w:p w:rsidR="00D77F04" w:rsidRPr="000950BA" w:rsidRDefault="00D77F04" w:rsidP="004336AF">
      <w:pPr>
        <w:sectPr w:rsidR="00D77F04" w:rsidRPr="000950BA" w:rsidSect="006B13F0">
          <w:headerReference w:type="default" r:id="rId18"/>
          <w:pgSz w:w="12240" w:h="15840"/>
          <w:pgMar w:top="1440" w:right="1080" w:bottom="1440" w:left="1800" w:header="720" w:footer="720" w:gutter="0"/>
          <w:cols w:space="720"/>
          <w:docGrid w:linePitch="360"/>
        </w:sectPr>
      </w:pPr>
    </w:p>
    <w:p w:rsidR="004336AF" w:rsidRPr="0094720C" w:rsidRDefault="004336AF" w:rsidP="008F3956">
      <w:pPr>
        <w:pStyle w:val="Heading1"/>
        <w:spacing w:before="0"/>
        <w:rPr>
          <w:rFonts w:ascii="Times New Roman" w:hAnsi="Times New Roman" w:cs="Times New Roman"/>
          <w:sz w:val="28"/>
          <w:szCs w:val="28"/>
          <w:u w:val="single"/>
        </w:rPr>
      </w:pPr>
      <w:bookmarkStart w:id="6" w:name="_Ref195319951"/>
      <w:r w:rsidRPr="0094720C">
        <w:rPr>
          <w:rFonts w:ascii="Times New Roman" w:hAnsi="Times New Roman" w:cs="Times New Roman"/>
          <w:sz w:val="28"/>
          <w:szCs w:val="28"/>
          <w:u w:val="single"/>
        </w:rPr>
        <w:t xml:space="preserve">V. </w:t>
      </w:r>
      <w:bookmarkEnd w:id="6"/>
      <w:r w:rsidR="00CF12AC" w:rsidRPr="0094720C">
        <w:rPr>
          <w:rFonts w:ascii="Times New Roman" w:hAnsi="Times New Roman" w:cs="Times New Roman"/>
          <w:sz w:val="28"/>
          <w:szCs w:val="28"/>
          <w:u w:val="single"/>
        </w:rPr>
        <w:t>Orderly and Economic Development</w:t>
      </w:r>
      <w:r w:rsidRPr="0094720C">
        <w:rPr>
          <w:rFonts w:ascii="Times New Roman" w:hAnsi="Times New Roman" w:cs="Times New Roman"/>
          <w:sz w:val="28"/>
          <w:szCs w:val="28"/>
          <w:u w:val="single"/>
        </w:rPr>
        <w:t xml:space="preserve"> </w:t>
      </w:r>
    </w:p>
    <w:p w:rsidR="00C841B6" w:rsidRPr="000950BA" w:rsidRDefault="00C841B6" w:rsidP="005E5A17">
      <w:pPr>
        <w:rPr>
          <w:b/>
          <w:u w:val="single"/>
        </w:rPr>
      </w:pPr>
    </w:p>
    <w:p w:rsidR="00664296" w:rsidRPr="008F3956" w:rsidRDefault="008F3956" w:rsidP="008F3956">
      <w:pPr>
        <w:outlineLvl w:val="1"/>
        <w:rPr>
          <w:b/>
        </w:rPr>
      </w:pPr>
      <w:r>
        <w:rPr>
          <w:b/>
        </w:rPr>
        <w:t>A.</w:t>
      </w:r>
      <w:r>
        <w:rPr>
          <w:b/>
        </w:rPr>
        <w:tab/>
      </w:r>
      <w:r w:rsidR="00664296" w:rsidRPr="008F3956">
        <w:rPr>
          <w:b/>
        </w:rPr>
        <w:t xml:space="preserve">From Applicant </w:t>
      </w:r>
    </w:p>
    <w:p w:rsidR="00C841B6" w:rsidRPr="00CA53E9" w:rsidRDefault="00C841B6" w:rsidP="00C841B6">
      <w:pPr>
        <w:rPr>
          <w:b/>
          <w:sz w:val="16"/>
          <w:szCs w:val="16"/>
          <w:u w:val="single"/>
        </w:rPr>
      </w:pPr>
    </w:p>
    <w:p w:rsidR="00B04EB3" w:rsidRPr="00366F33" w:rsidRDefault="00366F33" w:rsidP="00366F33">
      <w:pPr>
        <w:jc w:val="both"/>
        <w:rPr>
          <w:sz w:val="22"/>
          <w:szCs w:val="22"/>
        </w:rPr>
      </w:pPr>
      <w:r w:rsidRPr="00366F33">
        <w:rPr>
          <w:sz w:val="22"/>
          <w:szCs w:val="22"/>
        </w:rPr>
        <w:t>“</w:t>
      </w:r>
      <w:r w:rsidR="00B04EB3" w:rsidRPr="00366F33">
        <w:rPr>
          <w:sz w:val="22"/>
          <w:szCs w:val="22"/>
        </w:rPr>
        <w:t>As noted above, this proposed transaction does not involve a new health service or facility, and does not involve a payment by Spectrum fo</w:t>
      </w:r>
      <w:r w:rsidR="002127AD" w:rsidRPr="00366F33">
        <w:rPr>
          <w:sz w:val="22"/>
          <w:szCs w:val="22"/>
        </w:rPr>
        <w:t xml:space="preserve">r the ASC assets of CMO or OA. </w:t>
      </w:r>
      <w:r w:rsidR="00B04EB3" w:rsidRPr="00366F33">
        <w:rPr>
          <w:sz w:val="22"/>
          <w:szCs w:val="22"/>
        </w:rPr>
        <w:t>Rather, certain current shareholders of CMO and OA will become shareholders in Spectrum, and Spectrum will assume the provider agreements, provider numbers, and leases associated with t</w:t>
      </w:r>
      <w:r w:rsidR="002127AD" w:rsidRPr="00366F33">
        <w:rPr>
          <w:sz w:val="22"/>
          <w:szCs w:val="22"/>
        </w:rPr>
        <w:t xml:space="preserve">he building and real property. </w:t>
      </w:r>
      <w:r w:rsidR="00B04EB3" w:rsidRPr="00366F33">
        <w:rPr>
          <w:sz w:val="22"/>
          <w:szCs w:val="22"/>
        </w:rPr>
        <w:t xml:space="preserve">Spectrum may make some minimal capital improvements in the form of signage, painting, IT upgrades and minor renovations in the first year of operation. Spectrum does not project, however, any material increase in third year operating costs.  </w:t>
      </w:r>
    </w:p>
    <w:p w:rsidR="00B04EB3" w:rsidRPr="00366F33" w:rsidRDefault="00B04EB3" w:rsidP="00366F33">
      <w:pPr>
        <w:jc w:val="both"/>
        <w:rPr>
          <w:sz w:val="22"/>
          <w:szCs w:val="22"/>
        </w:rPr>
      </w:pPr>
    </w:p>
    <w:p w:rsidR="00B04EB3" w:rsidRPr="00366F33" w:rsidRDefault="00366F33" w:rsidP="00366F33">
      <w:pPr>
        <w:jc w:val="both"/>
        <w:rPr>
          <w:sz w:val="22"/>
          <w:szCs w:val="22"/>
        </w:rPr>
      </w:pPr>
      <w:r w:rsidRPr="00366F33">
        <w:rPr>
          <w:sz w:val="22"/>
          <w:szCs w:val="22"/>
        </w:rPr>
        <w:t>“</w:t>
      </w:r>
      <w:r w:rsidR="00B04EB3" w:rsidRPr="00366F33">
        <w:rPr>
          <w:sz w:val="22"/>
          <w:szCs w:val="22"/>
        </w:rPr>
        <w:t>In addition, Spectrum does not anticipate any increase in volume or increase in service as a result of the proposed transaction, above and beyond the annual increases currently experienced by CMO and OA in the normal course due to population and demographic changes.  As such, we do not project that revenues and expenses will materially change as it relates to the change in ownership of the ASCs, and we do not expect that this merger will have any impact on total health care expenditures or costs to the State.</w:t>
      </w:r>
      <w:r w:rsidRPr="00366F33">
        <w:rPr>
          <w:sz w:val="22"/>
          <w:szCs w:val="22"/>
        </w:rPr>
        <w:t>”</w:t>
      </w:r>
    </w:p>
    <w:p w:rsidR="00B04EB3" w:rsidRPr="00366F33" w:rsidRDefault="00B04EB3" w:rsidP="00366F33">
      <w:pPr>
        <w:jc w:val="both"/>
        <w:rPr>
          <w:sz w:val="22"/>
          <w:szCs w:val="22"/>
        </w:rPr>
      </w:pPr>
    </w:p>
    <w:p w:rsidR="008F3956" w:rsidRDefault="00366F33" w:rsidP="00366F33">
      <w:pPr>
        <w:jc w:val="both"/>
      </w:pPr>
      <w:r w:rsidRPr="00366F33">
        <w:rPr>
          <w:sz w:val="22"/>
          <w:szCs w:val="22"/>
        </w:rPr>
        <w:t>“</w:t>
      </w:r>
      <w:r w:rsidR="00B04EB3" w:rsidRPr="00366F33">
        <w:rPr>
          <w:sz w:val="22"/>
          <w:szCs w:val="22"/>
        </w:rPr>
        <w:t xml:space="preserve">While research and technological advances in equipment have improved the surgical capabilities of ASCs, Spectrum is not aware of any replacement technology or service delivery mechanism that would offer a less costly alternative to medically necessary </w:t>
      </w:r>
      <w:proofErr w:type="spellStart"/>
      <w:r w:rsidR="00B04EB3" w:rsidRPr="00366F33">
        <w:rPr>
          <w:sz w:val="22"/>
          <w:szCs w:val="22"/>
        </w:rPr>
        <w:t>orthopaedic</w:t>
      </w:r>
      <w:proofErr w:type="spellEnd"/>
      <w:r w:rsidR="00B04EB3" w:rsidRPr="00366F33">
        <w:rPr>
          <w:sz w:val="22"/>
          <w:szCs w:val="22"/>
        </w:rPr>
        <w:t xml:space="preserve"> surgical services.</w:t>
      </w:r>
      <w:r w:rsidRPr="00366F33">
        <w:rPr>
          <w:sz w:val="22"/>
          <w:szCs w:val="22"/>
        </w:rPr>
        <w:t>”</w:t>
      </w:r>
      <w:r w:rsidR="00B04EB3" w:rsidRPr="000950BA">
        <w:t xml:space="preserve"> </w:t>
      </w:r>
      <w:r w:rsidR="00625A1A" w:rsidRPr="000950BA">
        <w:rPr>
          <w:b/>
        </w:rPr>
        <w:br/>
      </w:r>
    </w:p>
    <w:p w:rsidR="008E41AC" w:rsidRDefault="008F3956" w:rsidP="008F3956">
      <w:pPr>
        <w:rPr>
          <w:b/>
        </w:rPr>
      </w:pPr>
      <w:r w:rsidRPr="008F3956">
        <w:rPr>
          <w:b/>
        </w:rPr>
        <w:t>B.</w:t>
      </w:r>
      <w:r w:rsidRPr="008F3956">
        <w:rPr>
          <w:b/>
        </w:rPr>
        <w:tab/>
      </w:r>
      <w:r w:rsidR="008E41AC" w:rsidRPr="008F3956">
        <w:rPr>
          <w:b/>
        </w:rPr>
        <w:t xml:space="preserve">CONU Discussion </w:t>
      </w:r>
    </w:p>
    <w:p w:rsidR="008F3956" w:rsidRPr="008F3956" w:rsidRDefault="008F3956" w:rsidP="008F3956">
      <w:pPr>
        <w:pStyle w:val="ListParagraph"/>
        <w:ind w:left="0"/>
        <w:outlineLvl w:val="1"/>
        <w:rPr>
          <w:b/>
        </w:rPr>
      </w:pPr>
    </w:p>
    <w:p w:rsidR="008E41AC" w:rsidRPr="008F3956" w:rsidRDefault="00366F33" w:rsidP="008F3956">
      <w:pPr>
        <w:pStyle w:val="Heading3"/>
        <w:spacing w:before="0" w:after="0"/>
        <w:rPr>
          <w:rFonts w:ascii="Times New Roman" w:hAnsi="Times New Roman" w:cs="Times New Roman"/>
          <w:sz w:val="24"/>
          <w:szCs w:val="24"/>
        </w:rPr>
      </w:pPr>
      <w:r w:rsidRPr="008F3956">
        <w:rPr>
          <w:rFonts w:ascii="Times New Roman" w:hAnsi="Times New Roman" w:cs="Times New Roman"/>
          <w:sz w:val="24"/>
          <w:szCs w:val="24"/>
        </w:rPr>
        <w:t xml:space="preserve"> </w:t>
      </w:r>
      <w:r w:rsidR="008E41AC" w:rsidRPr="008F3956">
        <w:rPr>
          <w:rFonts w:ascii="Times New Roman" w:hAnsi="Times New Roman" w:cs="Times New Roman"/>
          <w:sz w:val="24"/>
          <w:szCs w:val="24"/>
        </w:rPr>
        <w:t xml:space="preserve">CON </w:t>
      </w:r>
      <w:r w:rsidR="008C0128" w:rsidRPr="008F3956">
        <w:rPr>
          <w:rFonts w:ascii="Times New Roman" w:hAnsi="Times New Roman" w:cs="Times New Roman"/>
          <w:sz w:val="24"/>
          <w:szCs w:val="24"/>
        </w:rPr>
        <w:t>Standard</w:t>
      </w:r>
    </w:p>
    <w:p w:rsidR="008E41AC" w:rsidRPr="00CA53E9" w:rsidRDefault="008E41AC" w:rsidP="008E41AC">
      <w:pPr>
        <w:rPr>
          <w:b/>
          <w:sz w:val="16"/>
          <w:szCs w:val="16"/>
        </w:rPr>
      </w:pPr>
    </w:p>
    <w:p w:rsidR="008E41AC" w:rsidRPr="000950BA" w:rsidRDefault="008C0128" w:rsidP="008E41AC">
      <w:r w:rsidRPr="000950BA">
        <w:t>The r</w:t>
      </w:r>
      <w:r w:rsidR="008E41AC" w:rsidRPr="000950BA">
        <w:t xml:space="preserve">elevant </w:t>
      </w:r>
      <w:r w:rsidRPr="000950BA">
        <w:t>standard</w:t>
      </w:r>
      <w:r w:rsidR="008E41AC" w:rsidRPr="000950BA">
        <w:t xml:space="preserve"> for inclusion in this section are specific to the determination that the proposed services are consistent with the orderly and economic development of health facilities and health resources for the State as demonstrated by: </w:t>
      </w:r>
    </w:p>
    <w:p w:rsidR="008E41AC" w:rsidRPr="000950BA" w:rsidRDefault="008E41AC" w:rsidP="008E41AC"/>
    <w:p w:rsidR="008E41AC" w:rsidRPr="000950BA" w:rsidRDefault="008E41AC" w:rsidP="00797D9C">
      <w:pPr>
        <w:numPr>
          <w:ilvl w:val="0"/>
          <w:numId w:val="3"/>
        </w:numPr>
      </w:pPr>
      <w:r w:rsidRPr="000950BA">
        <w:t>The impact of the project on total health care expenditures after taking into account, to the extent practical, both the costs and benefits of the project and the competing demands in the local service area and statewide for available resources for health care;</w:t>
      </w:r>
      <w:r w:rsidRPr="000950BA">
        <w:br/>
      </w:r>
    </w:p>
    <w:p w:rsidR="008E41AC" w:rsidRPr="000950BA" w:rsidRDefault="008E41AC" w:rsidP="00797D9C">
      <w:pPr>
        <w:numPr>
          <w:ilvl w:val="0"/>
          <w:numId w:val="3"/>
        </w:numPr>
      </w:pPr>
      <w:r w:rsidRPr="000950BA">
        <w:t xml:space="preserve">The availability of state funds to cover any increase in state costs associated with utilization of the project's services; and </w:t>
      </w:r>
      <w:r w:rsidRPr="000950BA">
        <w:br/>
      </w:r>
    </w:p>
    <w:p w:rsidR="008E41AC" w:rsidRPr="000950BA" w:rsidRDefault="008E41AC" w:rsidP="00797D9C">
      <w:pPr>
        <w:numPr>
          <w:ilvl w:val="0"/>
          <w:numId w:val="3"/>
        </w:numPr>
        <w:rPr>
          <w:b/>
        </w:rPr>
      </w:pPr>
      <w:r w:rsidRPr="000950BA">
        <w:t>The likelihood that more effective, more accessible or less costly alternative technologies or methods of service delivery may become available.</w:t>
      </w:r>
    </w:p>
    <w:p w:rsidR="0023123B" w:rsidRPr="000950BA" w:rsidRDefault="0023123B" w:rsidP="00FF5828">
      <w:pPr>
        <w:autoSpaceDE w:val="0"/>
        <w:autoSpaceDN w:val="0"/>
        <w:adjustRightInd w:val="0"/>
        <w:rPr>
          <w:b/>
        </w:rPr>
      </w:pPr>
    </w:p>
    <w:p w:rsidR="008E41AC" w:rsidRPr="008F3956" w:rsidRDefault="000A06C5" w:rsidP="008F3956">
      <w:pPr>
        <w:pStyle w:val="Heading3"/>
        <w:spacing w:before="0" w:after="0"/>
        <w:rPr>
          <w:rFonts w:ascii="Times New Roman" w:hAnsi="Times New Roman" w:cs="Times New Roman"/>
          <w:sz w:val="24"/>
          <w:szCs w:val="24"/>
        </w:rPr>
      </w:pPr>
      <w:r w:rsidRPr="008F3956">
        <w:rPr>
          <w:rFonts w:ascii="Times New Roman" w:hAnsi="Times New Roman" w:cs="Times New Roman"/>
          <w:sz w:val="24"/>
          <w:szCs w:val="24"/>
        </w:rPr>
        <w:t xml:space="preserve">CON </w:t>
      </w:r>
      <w:r w:rsidR="008E41AC" w:rsidRPr="008F3956">
        <w:rPr>
          <w:rFonts w:ascii="Times New Roman" w:hAnsi="Times New Roman" w:cs="Times New Roman"/>
          <w:sz w:val="24"/>
          <w:szCs w:val="24"/>
        </w:rPr>
        <w:t>Analysis</w:t>
      </w:r>
    </w:p>
    <w:p w:rsidR="00BE4B7E" w:rsidRPr="00CA53E9" w:rsidRDefault="00BE4B7E" w:rsidP="00FF5828">
      <w:pPr>
        <w:autoSpaceDE w:val="0"/>
        <w:autoSpaceDN w:val="0"/>
        <w:adjustRightInd w:val="0"/>
        <w:rPr>
          <w:b/>
          <w:sz w:val="16"/>
          <w:szCs w:val="16"/>
          <w:u w:val="single"/>
        </w:rPr>
      </w:pPr>
    </w:p>
    <w:p w:rsidR="00514E5D" w:rsidRPr="000950BA" w:rsidRDefault="00514E5D" w:rsidP="00514E5D">
      <w:r w:rsidRPr="000950BA">
        <w:t xml:space="preserve">Total health care expenditures are not expected to increase as a result of this transaction.  The need for these services is definite and measurable. Current </w:t>
      </w:r>
      <w:r w:rsidR="009C40CD" w:rsidRPr="000950BA">
        <w:t xml:space="preserve">and projected </w:t>
      </w:r>
      <w:r w:rsidRPr="000950BA">
        <w:t>utilization levels of these services make the continuation and avail</w:t>
      </w:r>
      <w:r w:rsidR="002127AD">
        <w:t xml:space="preserve">ability </w:t>
      </w:r>
      <w:r w:rsidRPr="000950BA">
        <w:t>of these services a necessary component of health care.</w:t>
      </w:r>
    </w:p>
    <w:p w:rsidR="00514E5D" w:rsidRPr="000950BA" w:rsidRDefault="00514E5D" w:rsidP="00514E5D">
      <w:r w:rsidRPr="000950BA">
        <w:t>State funds should not be</w:t>
      </w:r>
      <w:r w:rsidR="002127AD">
        <w:t xml:space="preserve"> impacted by this transaction. </w:t>
      </w:r>
      <w:r w:rsidRPr="000950BA">
        <w:t>There should not be any increase</w:t>
      </w:r>
      <w:r w:rsidR="009C40CD" w:rsidRPr="000950BA">
        <w:t xml:space="preserve">d utilization of these services </w:t>
      </w:r>
      <w:r w:rsidRPr="000950BA">
        <w:t>because of this proposed transaction.</w:t>
      </w:r>
      <w:r w:rsidR="009C40CD" w:rsidRPr="000950BA">
        <w:t xml:space="preserve"> </w:t>
      </w:r>
    </w:p>
    <w:p w:rsidR="00514E5D" w:rsidRPr="000950BA" w:rsidRDefault="00514E5D" w:rsidP="00FF5828">
      <w:pPr>
        <w:autoSpaceDE w:val="0"/>
        <w:autoSpaceDN w:val="0"/>
        <w:adjustRightInd w:val="0"/>
        <w:rPr>
          <w:b/>
          <w:u w:val="single"/>
        </w:rPr>
      </w:pPr>
    </w:p>
    <w:p w:rsidR="001D3FC9" w:rsidRDefault="00872CB0" w:rsidP="00C45CF1">
      <w:pPr>
        <w:autoSpaceDE w:val="0"/>
        <w:autoSpaceDN w:val="0"/>
        <w:adjustRightInd w:val="0"/>
      </w:pPr>
      <w:r w:rsidRPr="000950BA">
        <w:t xml:space="preserve">OA and CMO have provided ASC </w:t>
      </w:r>
      <w:r w:rsidR="002127AD">
        <w:t xml:space="preserve">services for many years. </w:t>
      </w:r>
      <w:r w:rsidRPr="000950BA">
        <w:t>No planned expansion of infrastructure or services is planned therefore it is highly unlikely that a more effective, more accessible or less costly alternatives will become available in the future</w:t>
      </w:r>
      <w:r w:rsidR="00BE4B7E" w:rsidRPr="000950BA">
        <w:t xml:space="preserve">. </w:t>
      </w:r>
    </w:p>
    <w:p w:rsidR="008F3956" w:rsidRPr="000950BA" w:rsidRDefault="008F3956" w:rsidP="00C45CF1">
      <w:pPr>
        <w:autoSpaceDE w:val="0"/>
        <w:autoSpaceDN w:val="0"/>
        <w:adjustRightInd w:val="0"/>
      </w:pPr>
    </w:p>
    <w:p w:rsidR="00AB172C" w:rsidRPr="008F3956" w:rsidRDefault="008E41AC" w:rsidP="008F3956">
      <w:pPr>
        <w:pStyle w:val="Heading3"/>
        <w:spacing w:before="0" w:after="0"/>
        <w:rPr>
          <w:rFonts w:ascii="Times New Roman" w:hAnsi="Times New Roman" w:cs="Times New Roman"/>
          <w:sz w:val="24"/>
          <w:szCs w:val="24"/>
        </w:rPr>
      </w:pPr>
      <w:r w:rsidRPr="008F3956">
        <w:rPr>
          <w:rFonts w:ascii="Times New Roman" w:hAnsi="Times New Roman" w:cs="Times New Roman"/>
          <w:sz w:val="24"/>
          <w:szCs w:val="24"/>
        </w:rPr>
        <w:t>Conclusion</w:t>
      </w:r>
    </w:p>
    <w:p w:rsidR="00AB172C" w:rsidRPr="00CA53E9" w:rsidRDefault="00AB172C" w:rsidP="00AB172C">
      <w:pPr>
        <w:rPr>
          <w:sz w:val="16"/>
          <w:szCs w:val="16"/>
        </w:rPr>
      </w:pPr>
    </w:p>
    <w:p w:rsidR="00A80168" w:rsidRPr="000950BA" w:rsidRDefault="00A80168" w:rsidP="00A80168">
      <w:r w:rsidRPr="000950BA">
        <w:t xml:space="preserve">The Certificate of Need Unit recommends that the Commissioner find that the applicant has met its burden to demonstrate that the proposed project is consistent with the orderly and economic development of health facilities and health resources for the State. </w:t>
      </w:r>
    </w:p>
    <w:p w:rsidR="00C45CF1" w:rsidRDefault="00C45CF1" w:rsidP="003A78B1">
      <w:pPr>
        <w:pStyle w:val="Heading1"/>
        <w:numPr>
          <w:ilvl w:val="0"/>
          <w:numId w:val="5"/>
        </w:numPr>
        <w:rPr>
          <w:rFonts w:ascii="Times New Roman" w:hAnsi="Times New Roman" w:cs="Times New Roman"/>
        </w:rPr>
        <w:sectPr w:rsidR="00C45CF1" w:rsidSect="001123F4">
          <w:headerReference w:type="even" r:id="rId19"/>
          <w:headerReference w:type="default" r:id="rId20"/>
          <w:headerReference w:type="first" r:id="rId21"/>
          <w:pgSz w:w="12240" w:h="15840"/>
          <w:pgMar w:top="1440" w:right="1080" w:bottom="1440" w:left="1800" w:header="720" w:footer="720" w:gutter="0"/>
          <w:cols w:space="720"/>
          <w:docGrid w:linePitch="360"/>
        </w:sectPr>
      </w:pPr>
      <w:bookmarkStart w:id="7" w:name="_Ref195319965"/>
    </w:p>
    <w:p w:rsidR="00496DFB" w:rsidRDefault="0094720C" w:rsidP="0094720C">
      <w:pPr>
        <w:pStyle w:val="Heading1"/>
        <w:spacing w:before="0" w:after="0"/>
        <w:rPr>
          <w:rFonts w:ascii="Times New Roman" w:hAnsi="Times New Roman" w:cs="Times New Roman"/>
          <w:sz w:val="24"/>
          <w:szCs w:val="24"/>
          <w:u w:val="single"/>
        </w:rPr>
      </w:pPr>
      <w:r>
        <w:rPr>
          <w:rFonts w:ascii="Times New Roman" w:hAnsi="Times New Roman" w:cs="Times New Roman"/>
          <w:sz w:val="24"/>
          <w:szCs w:val="24"/>
          <w:u w:val="single"/>
        </w:rPr>
        <w:t xml:space="preserve">VI. </w:t>
      </w:r>
      <w:r w:rsidR="004336AF" w:rsidRPr="00366F33">
        <w:rPr>
          <w:rFonts w:ascii="Times New Roman" w:hAnsi="Times New Roman" w:cs="Times New Roman"/>
          <w:sz w:val="24"/>
          <w:szCs w:val="24"/>
          <w:u w:val="single"/>
        </w:rPr>
        <w:t>Outcomes and Community Impact</w:t>
      </w:r>
      <w:bookmarkEnd w:id="7"/>
      <w:r w:rsidR="004336AF" w:rsidRPr="00366F33">
        <w:rPr>
          <w:rFonts w:ascii="Times New Roman" w:hAnsi="Times New Roman" w:cs="Times New Roman"/>
          <w:sz w:val="24"/>
          <w:szCs w:val="24"/>
          <w:u w:val="single"/>
        </w:rPr>
        <w:t xml:space="preserve"> </w:t>
      </w:r>
    </w:p>
    <w:p w:rsidR="008F3956" w:rsidRPr="008F3956" w:rsidRDefault="008F3956" w:rsidP="008F3956"/>
    <w:p w:rsidR="00B04EB3" w:rsidRPr="000950BA" w:rsidRDefault="00811D62" w:rsidP="008F3956">
      <w:pPr>
        <w:pStyle w:val="Heading2"/>
        <w:spacing w:before="0" w:after="0"/>
        <w:rPr>
          <w:rFonts w:ascii="Times New Roman" w:eastAsiaTheme="majorEastAsia" w:hAnsi="Times New Roman" w:cs="Times New Roman"/>
          <w:bCs w:val="0"/>
          <w:i w:val="0"/>
          <w:sz w:val="24"/>
          <w:szCs w:val="24"/>
          <w:u w:val="single"/>
        </w:rPr>
      </w:pPr>
      <w:bookmarkStart w:id="8" w:name="_Toc352836302"/>
      <w:bookmarkStart w:id="9" w:name="_Toc353543030"/>
      <w:r w:rsidRPr="000950BA">
        <w:rPr>
          <w:rFonts w:ascii="Times New Roman" w:eastAsiaTheme="majorEastAsia" w:hAnsi="Times New Roman" w:cs="Times New Roman"/>
          <w:i w:val="0"/>
          <w:sz w:val="24"/>
          <w:szCs w:val="24"/>
        </w:rPr>
        <w:t>A.</w:t>
      </w:r>
      <w:r w:rsidRPr="000950BA">
        <w:rPr>
          <w:rFonts w:ascii="Times New Roman" w:eastAsiaTheme="majorEastAsia" w:hAnsi="Times New Roman" w:cs="Times New Roman"/>
          <w:i w:val="0"/>
          <w:sz w:val="24"/>
          <w:szCs w:val="24"/>
        </w:rPr>
        <w:tab/>
      </w:r>
      <w:r w:rsidR="00F83A1C" w:rsidRPr="00366F33">
        <w:rPr>
          <w:rFonts w:ascii="Times New Roman" w:eastAsiaTheme="majorEastAsia" w:hAnsi="Times New Roman" w:cs="Times New Roman"/>
          <w:bCs w:val="0"/>
          <w:i w:val="0"/>
          <w:sz w:val="24"/>
          <w:szCs w:val="24"/>
        </w:rPr>
        <w:t>From Applicant</w:t>
      </w:r>
      <w:bookmarkEnd w:id="8"/>
      <w:bookmarkEnd w:id="9"/>
    </w:p>
    <w:p w:rsidR="00B04EB3" w:rsidRPr="00CA53E9" w:rsidRDefault="00B04EB3" w:rsidP="00B04EB3">
      <w:pPr>
        <w:rPr>
          <w:sz w:val="16"/>
          <w:szCs w:val="16"/>
        </w:rPr>
      </w:pPr>
    </w:p>
    <w:p w:rsidR="00B04EB3" w:rsidRPr="00366F33" w:rsidRDefault="00366F33" w:rsidP="00366F33">
      <w:pPr>
        <w:jc w:val="both"/>
        <w:rPr>
          <w:sz w:val="22"/>
          <w:szCs w:val="22"/>
        </w:rPr>
      </w:pPr>
      <w:r>
        <w:rPr>
          <w:sz w:val="22"/>
          <w:szCs w:val="22"/>
        </w:rPr>
        <w:t>“</w:t>
      </w:r>
      <w:r w:rsidR="00B04EB3" w:rsidRPr="00366F33">
        <w:rPr>
          <w:sz w:val="22"/>
          <w:szCs w:val="22"/>
        </w:rPr>
        <w:t xml:space="preserve">As a physician-directed practice, Spectrum is dedicated to excellence in the diagnosis, prevention and treatment of illness, to life-long learning, to commitment to our communities, and to the primary importance of the care </w:t>
      </w:r>
      <w:r w:rsidR="002127AD" w:rsidRPr="00366F33">
        <w:rPr>
          <w:sz w:val="22"/>
          <w:szCs w:val="22"/>
        </w:rPr>
        <w:t xml:space="preserve">and treatment of our patients. </w:t>
      </w:r>
      <w:r w:rsidR="00B04EB3" w:rsidRPr="00366F33">
        <w:rPr>
          <w:sz w:val="22"/>
          <w:szCs w:val="22"/>
        </w:rPr>
        <w:t xml:space="preserve">Spectrum will ensure that the ASCs at CMO and OA continue with AAAHC accreditation, continue with quality programs already in place, and will utilize Spectrum’s innovative quality improvement tool, FIDES, to improve patient safety and the quality of healthcare delivery in anesthesia services in all phases of the </w:t>
      </w:r>
      <w:r w:rsidR="002127AD" w:rsidRPr="00366F33">
        <w:rPr>
          <w:sz w:val="22"/>
          <w:szCs w:val="22"/>
        </w:rPr>
        <w:t xml:space="preserve">patient anesthetic experience. </w:t>
      </w:r>
      <w:r w:rsidR="00B04EB3" w:rsidRPr="00366F33">
        <w:rPr>
          <w:sz w:val="22"/>
          <w:szCs w:val="22"/>
        </w:rPr>
        <w:t>More information about quality can be found in Sections II and IV above.</w:t>
      </w:r>
      <w:r>
        <w:rPr>
          <w:sz w:val="22"/>
          <w:szCs w:val="22"/>
        </w:rPr>
        <w:t>”</w:t>
      </w:r>
    </w:p>
    <w:p w:rsidR="00B04EB3" w:rsidRPr="00366F33" w:rsidRDefault="00B04EB3" w:rsidP="00366F33">
      <w:pPr>
        <w:jc w:val="both"/>
        <w:rPr>
          <w:sz w:val="22"/>
          <w:szCs w:val="22"/>
        </w:rPr>
      </w:pPr>
    </w:p>
    <w:p w:rsidR="00B04EB3" w:rsidRDefault="00366F33" w:rsidP="00366F33">
      <w:pPr>
        <w:jc w:val="both"/>
        <w:rPr>
          <w:sz w:val="22"/>
          <w:szCs w:val="22"/>
        </w:rPr>
      </w:pPr>
      <w:r>
        <w:rPr>
          <w:sz w:val="22"/>
          <w:szCs w:val="22"/>
        </w:rPr>
        <w:t>“</w:t>
      </w:r>
      <w:r w:rsidR="00B04EB3" w:rsidRPr="00366F33">
        <w:rPr>
          <w:sz w:val="22"/>
          <w:szCs w:val="22"/>
        </w:rPr>
        <w:t>Regarding the impact on existing service providers, because this proposed transaction involves a change in ownership of operational ASCs that will not materially impact day-to-day operations, Spectrum does not anticipate any impact on the volume or quality of care delivered by existing service providers.</w:t>
      </w:r>
      <w:r>
        <w:rPr>
          <w:sz w:val="22"/>
          <w:szCs w:val="22"/>
        </w:rPr>
        <w:t>”</w:t>
      </w:r>
    </w:p>
    <w:p w:rsidR="008F3956" w:rsidRPr="00366F33" w:rsidRDefault="008F3956" w:rsidP="00366F33">
      <w:pPr>
        <w:jc w:val="both"/>
        <w:rPr>
          <w:b/>
          <w:sz w:val="22"/>
          <w:szCs w:val="22"/>
        </w:rPr>
      </w:pPr>
    </w:p>
    <w:p w:rsidR="0067753E" w:rsidRDefault="0067753E" w:rsidP="008F3956">
      <w:pPr>
        <w:pStyle w:val="Heading2"/>
        <w:spacing w:before="0" w:after="0"/>
        <w:rPr>
          <w:rFonts w:ascii="Times New Roman" w:hAnsi="Times New Roman" w:cs="Times New Roman"/>
          <w:i w:val="0"/>
          <w:sz w:val="24"/>
          <w:szCs w:val="24"/>
          <w:u w:val="single"/>
        </w:rPr>
      </w:pPr>
      <w:r w:rsidRPr="000950BA">
        <w:rPr>
          <w:rFonts w:ascii="Times New Roman" w:hAnsi="Times New Roman" w:cs="Times New Roman"/>
          <w:i w:val="0"/>
          <w:sz w:val="24"/>
          <w:szCs w:val="24"/>
        </w:rPr>
        <w:t>B.</w:t>
      </w:r>
      <w:r w:rsidRPr="000950BA">
        <w:rPr>
          <w:rFonts w:ascii="Times New Roman" w:hAnsi="Times New Roman" w:cs="Times New Roman"/>
          <w:i w:val="0"/>
          <w:sz w:val="24"/>
          <w:szCs w:val="24"/>
        </w:rPr>
        <w:tab/>
      </w:r>
      <w:r w:rsidRPr="000950BA">
        <w:rPr>
          <w:rFonts w:ascii="Times New Roman" w:hAnsi="Times New Roman" w:cs="Times New Roman"/>
          <w:i w:val="0"/>
          <w:sz w:val="24"/>
          <w:szCs w:val="24"/>
          <w:u w:val="single"/>
        </w:rPr>
        <w:t>CONU Discussion</w:t>
      </w:r>
    </w:p>
    <w:p w:rsidR="008F3956" w:rsidRPr="008F3956" w:rsidRDefault="008F3956" w:rsidP="008F3956"/>
    <w:p w:rsidR="0067753E" w:rsidRPr="008F3956" w:rsidRDefault="008C0128" w:rsidP="008F3956">
      <w:pPr>
        <w:pStyle w:val="Heading3"/>
        <w:spacing w:before="0" w:after="0"/>
        <w:rPr>
          <w:rFonts w:ascii="Times New Roman" w:hAnsi="Times New Roman" w:cs="Times New Roman"/>
          <w:sz w:val="24"/>
          <w:szCs w:val="24"/>
        </w:rPr>
      </w:pPr>
      <w:r w:rsidRPr="008F3956">
        <w:rPr>
          <w:rFonts w:ascii="Times New Roman" w:hAnsi="Times New Roman" w:cs="Times New Roman"/>
          <w:sz w:val="24"/>
          <w:szCs w:val="24"/>
        </w:rPr>
        <w:t>CON Standard</w:t>
      </w:r>
      <w:r w:rsidR="0067753E" w:rsidRPr="008F3956">
        <w:rPr>
          <w:rFonts w:ascii="Times New Roman" w:hAnsi="Times New Roman" w:cs="Times New Roman"/>
          <w:sz w:val="24"/>
          <w:szCs w:val="24"/>
        </w:rPr>
        <w:t xml:space="preserve"> </w:t>
      </w:r>
    </w:p>
    <w:p w:rsidR="0067753E" w:rsidRPr="0030387C" w:rsidRDefault="0067753E" w:rsidP="00B04EB3">
      <w:pPr>
        <w:rPr>
          <w:b/>
          <w:sz w:val="16"/>
          <w:szCs w:val="16"/>
        </w:rPr>
      </w:pPr>
    </w:p>
    <w:p w:rsidR="0067753E" w:rsidRDefault="008C0128" w:rsidP="00366F33">
      <w:pPr>
        <w:jc w:val="both"/>
      </w:pPr>
      <w:r w:rsidRPr="000950BA">
        <w:t>The r</w:t>
      </w:r>
      <w:r w:rsidR="0067753E" w:rsidRPr="000950BA">
        <w:t xml:space="preserve">elevant </w:t>
      </w:r>
      <w:r w:rsidRPr="000950BA">
        <w:t>standard</w:t>
      </w:r>
      <w:r w:rsidR="0067753E" w:rsidRPr="000950BA">
        <w:t xml:space="preserve"> for inclusion in this section are specific to the determination that the project ensures high-quality outcomes and does not negatively affect the quality of care delivered</w:t>
      </w:r>
      <w:r w:rsidR="00C45CF1">
        <w:t xml:space="preserve"> by existing service providers.</w:t>
      </w:r>
    </w:p>
    <w:p w:rsidR="008F3956" w:rsidRPr="000950BA" w:rsidRDefault="008F3956" w:rsidP="00366F33">
      <w:pPr>
        <w:jc w:val="both"/>
        <w:rPr>
          <w:b/>
        </w:rPr>
      </w:pPr>
    </w:p>
    <w:p w:rsidR="0067753E" w:rsidRPr="008F3956" w:rsidRDefault="000A06C5" w:rsidP="008F3956">
      <w:pPr>
        <w:pStyle w:val="Heading3"/>
        <w:spacing w:before="0" w:after="0"/>
        <w:rPr>
          <w:rFonts w:ascii="Times New Roman" w:hAnsi="Times New Roman" w:cs="Times New Roman"/>
          <w:sz w:val="24"/>
          <w:szCs w:val="24"/>
        </w:rPr>
      </w:pPr>
      <w:r w:rsidRPr="008F3956">
        <w:rPr>
          <w:rFonts w:ascii="Times New Roman" w:hAnsi="Times New Roman" w:cs="Times New Roman"/>
          <w:sz w:val="24"/>
          <w:szCs w:val="24"/>
        </w:rPr>
        <w:t xml:space="preserve">CON </w:t>
      </w:r>
      <w:r w:rsidR="0067753E" w:rsidRPr="008F3956">
        <w:rPr>
          <w:rFonts w:ascii="Times New Roman" w:hAnsi="Times New Roman" w:cs="Times New Roman"/>
          <w:sz w:val="24"/>
          <w:szCs w:val="24"/>
        </w:rPr>
        <w:t>Analysis</w:t>
      </w:r>
    </w:p>
    <w:p w:rsidR="00734A6A" w:rsidRPr="0030387C" w:rsidRDefault="00734A6A" w:rsidP="00A80168">
      <w:pPr>
        <w:rPr>
          <w:b/>
          <w:sz w:val="16"/>
          <w:szCs w:val="16"/>
        </w:rPr>
      </w:pPr>
    </w:p>
    <w:p w:rsidR="00A80168" w:rsidRDefault="00A80168" w:rsidP="00366F33">
      <w:pPr>
        <w:jc w:val="both"/>
      </w:pPr>
      <w:r w:rsidRPr="000950BA">
        <w:t>Spectrum’s quality assurance program has been extensively discussed in previous sections. These practices will co</w:t>
      </w:r>
      <w:r w:rsidR="008F3956">
        <w:t>ntinue after the merger. T</w:t>
      </w:r>
      <w:r w:rsidRPr="000950BA">
        <w:t>his project involves a merger between existing providers and does not expand services</w:t>
      </w:r>
      <w:r w:rsidR="0030387C">
        <w:t>.</w:t>
      </w:r>
      <w:r w:rsidRPr="000950BA">
        <w:t xml:space="preserve"> </w:t>
      </w:r>
      <w:r w:rsidR="0030387C">
        <w:t>T</w:t>
      </w:r>
      <w:r w:rsidRPr="000950BA">
        <w:t>his will not negatively affect the quality of care delivered by existing service providers.</w:t>
      </w:r>
    </w:p>
    <w:p w:rsidR="008F3956" w:rsidRPr="000950BA" w:rsidRDefault="008F3956" w:rsidP="00366F33">
      <w:pPr>
        <w:jc w:val="both"/>
      </w:pPr>
    </w:p>
    <w:p w:rsidR="00003E55" w:rsidRPr="008F3956" w:rsidRDefault="0067753E" w:rsidP="008F3956">
      <w:pPr>
        <w:pStyle w:val="Heading3"/>
        <w:spacing w:before="0" w:after="0"/>
        <w:rPr>
          <w:rFonts w:ascii="Times New Roman" w:hAnsi="Times New Roman" w:cs="Times New Roman"/>
          <w:sz w:val="24"/>
          <w:szCs w:val="24"/>
        </w:rPr>
      </w:pPr>
      <w:r w:rsidRPr="008F3956">
        <w:rPr>
          <w:rFonts w:ascii="Times New Roman" w:hAnsi="Times New Roman" w:cs="Times New Roman"/>
          <w:sz w:val="24"/>
          <w:szCs w:val="24"/>
        </w:rPr>
        <w:t xml:space="preserve">Conclusion </w:t>
      </w:r>
    </w:p>
    <w:p w:rsidR="001A2774" w:rsidRPr="0030387C" w:rsidRDefault="001A2774" w:rsidP="0051353A">
      <w:pPr>
        <w:rPr>
          <w:sz w:val="16"/>
          <w:szCs w:val="16"/>
        </w:rPr>
      </w:pPr>
    </w:p>
    <w:p w:rsidR="00B132AC" w:rsidRPr="000950BA" w:rsidRDefault="001A2774" w:rsidP="00366F33">
      <w:pPr>
        <w:jc w:val="both"/>
      </w:pPr>
      <w:r w:rsidRPr="000950BA">
        <w:t>CONU recommends</w:t>
      </w:r>
      <w:r w:rsidR="005F4823" w:rsidRPr="000950BA">
        <w:t xml:space="preserve"> that the Commissioner find</w:t>
      </w:r>
      <w:r w:rsidRPr="000950BA">
        <w:t xml:space="preserve"> that </w:t>
      </w:r>
      <w:r w:rsidR="004737C1" w:rsidRPr="000950BA">
        <w:t>the applicant</w:t>
      </w:r>
      <w:r w:rsidR="00845A59" w:rsidRPr="000950BA">
        <w:t xml:space="preserve"> ha</w:t>
      </w:r>
      <w:r w:rsidR="004737C1" w:rsidRPr="000950BA">
        <w:t>s</w:t>
      </w:r>
      <w:r w:rsidRPr="000950BA">
        <w:t xml:space="preserve"> met </w:t>
      </w:r>
      <w:r w:rsidR="005B0AD7" w:rsidRPr="000950BA">
        <w:t>their</w:t>
      </w:r>
      <w:r w:rsidRPr="000950BA">
        <w:t xml:space="preserve"> burden to demonstrate that this project will ensur</w:t>
      </w:r>
      <w:r w:rsidR="006760E7" w:rsidRPr="000950BA">
        <w:t>e high-quality outcomes and does</w:t>
      </w:r>
      <w:r w:rsidRPr="000950BA">
        <w:t xml:space="preserve"> not negatively affect the quality of care delivered by existing service providers.</w:t>
      </w:r>
    </w:p>
    <w:p w:rsidR="00595EC7" w:rsidRPr="000950BA" w:rsidRDefault="00595EC7" w:rsidP="0051353A">
      <w:pPr>
        <w:sectPr w:rsidR="00595EC7" w:rsidRPr="000950BA" w:rsidSect="001123F4">
          <w:headerReference w:type="default" r:id="rId22"/>
          <w:pgSz w:w="12240" w:h="15840"/>
          <w:pgMar w:top="1440" w:right="1080" w:bottom="1440" w:left="1800" w:header="720" w:footer="720" w:gutter="0"/>
          <w:cols w:space="720"/>
          <w:docGrid w:linePitch="360"/>
        </w:sectPr>
      </w:pPr>
    </w:p>
    <w:p w:rsidR="008F3956" w:rsidRDefault="008F3956" w:rsidP="008F3956">
      <w:pPr>
        <w:rPr>
          <w:b/>
          <w:u w:val="single"/>
        </w:rPr>
      </w:pPr>
      <w:r>
        <w:rPr>
          <w:b/>
          <w:u w:val="single"/>
        </w:rPr>
        <w:t>VII</w:t>
      </w:r>
      <w:r w:rsidR="0094720C">
        <w:rPr>
          <w:b/>
          <w:u w:val="single"/>
        </w:rPr>
        <w:t xml:space="preserve">. </w:t>
      </w:r>
      <w:r>
        <w:rPr>
          <w:b/>
          <w:u w:val="single"/>
        </w:rPr>
        <w:t>Service Utili</w:t>
      </w:r>
      <w:r w:rsidR="0094720C">
        <w:rPr>
          <w:b/>
          <w:u w:val="single"/>
        </w:rPr>
        <w:t>zation</w:t>
      </w:r>
    </w:p>
    <w:p w:rsidR="0094720C" w:rsidRPr="008F3956" w:rsidRDefault="0094720C" w:rsidP="008F3956">
      <w:pPr>
        <w:rPr>
          <w:b/>
          <w:u w:val="single"/>
        </w:rPr>
      </w:pPr>
    </w:p>
    <w:p w:rsidR="00AA21FB" w:rsidRPr="00366F33" w:rsidRDefault="0094720C" w:rsidP="0094720C">
      <w:pPr>
        <w:pStyle w:val="Heading2"/>
        <w:spacing w:before="0" w:after="0"/>
        <w:rPr>
          <w:rFonts w:ascii="Times New Roman" w:hAnsi="Times New Roman" w:cs="Times New Roman"/>
          <w:i w:val="0"/>
          <w:sz w:val="24"/>
          <w:szCs w:val="24"/>
        </w:rPr>
      </w:pPr>
      <w:r>
        <w:rPr>
          <w:rFonts w:ascii="Times New Roman" w:hAnsi="Times New Roman" w:cs="Times New Roman"/>
          <w:i w:val="0"/>
          <w:sz w:val="24"/>
          <w:szCs w:val="24"/>
        </w:rPr>
        <w:t xml:space="preserve">A. </w:t>
      </w:r>
      <w:r w:rsidR="00AA21FB" w:rsidRPr="00366F33">
        <w:rPr>
          <w:rFonts w:ascii="Times New Roman" w:hAnsi="Times New Roman" w:cs="Times New Roman"/>
          <w:i w:val="0"/>
          <w:sz w:val="24"/>
          <w:szCs w:val="24"/>
        </w:rPr>
        <w:t xml:space="preserve">From Applicant </w:t>
      </w:r>
    </w:p>
    <w:p w:rsidR="00E04446" w:rsidRPr="009E0CF6" w:rsidRDefault="00E04446" w:rsidP="002127AD">
      <w:pPr>
        <w:rPr>
          <w:sz w:val="16"/>
          <w:szCs w:val="16"/>
        </w:rPr>
      </w:pPr>
    </w:p>
    <w:p w:rsidR="00545F60" w:rsidRDefault="006464FA" w:rsidP="00366F33">
      <w:pPr>
        <w:jc w:val="both"/>
        <w:rPr>
          <w:sz w:val="22"/>
          <w:szCs w:val="22"/>
        </w:rPr>
      </w:pPr>
      <w:bookmarkStart w:id="10" w:name="_DV_M433"/>
      <w:bookmarkEnd w:id="10"/>
      <w:r>
        <w:rPr>
          <w:sz w:val="22"/>
          <w:szCs w:val="22"/>
        </w:rPr>
        <w:t>“</w:t>
      </w:r>
      <w:r w:rsidR="00B04EB3" w:rsidRPr="00366F33">
        <w:rPr>
          <w:sz w:val="22"/>
          <w:szCs w:val="22"/>
        </w:rPr>
        <w:t>As noted above, this merger involves the transfer of ownership of existing ambulatory surgical</w:t>
      </w:r>
      <w:r w:rsidR="002127AD" w:rsidRPr="00366F33">
        <w:rPr>
          <w:sz w:val="22"/>
          <w:szCs w:val="22"/>
        </w:rPr>
        <w:t xml:space="preserve"> centers in their current form.</w:t>
      </w:r>
      <w:r w:rsidR="00B04EB3" w:rsidRPr="00366F33">
        <w:rPr>
          <w:sz w:val="22"/>
          <w:szCs w:val="22"/>
        </w:rPr>
        <w:t xml:space="preserve"> Both ASCs have been in op</w:t>
      </w:r>
      <w:r w:rsidR="002127AD" w:rsidRPr="00366F33">
        <w:rPr>
          <w:sz w:val="22"/>
          <w:szCs w:val="22"/>
        </w:rPr>
        <w:t xml:space="preserve">eration for a number of years. </w:t>
      </w:r>
      <w:r w:rsidR="00B04EB3" w:rsidRPr="00366F33">
        <w:rPr>
          <w:sz w:val="22"/>
          <w:szCs w:val="22"/>
        </w:rPr>
        <w:t>Therefore, Spectrum does not expect any material increase in utilization or inappropriate utilization.</w:t>
      </w:r>
      <w:r>
        <w:rPr>
          <w:sz w:val="22"/>
          <w:szCs w:val="22"/>
        </w:rPr>
        <w:t>”</w:t>
      </w:r>
    </w:p>
    <w:p w:rsidR="0094720C" w:rsidRDefault="0094720C" w:rsidP="00366F33">
      <w:pPr>
        <w:jc w:val="both"/>
        <w:rPr>
          <w:sz w:val="22"/>
          <w:szCs w:val="22"/>
        </w:rPr>
      </w:pPr>
    </w:p>
    <w:p w:rsidR="0094720C" w:rsidRPr="00366F33" w:rsidRDefault="0094720C" w:rsidP="00366F33">
      <w:pPr>
        <w:jc w:val="both"/>
        <w:rPr>
          <w:sz w:val="22"/>
          <w:szCs w:val="22"/>
        </w:rPr>
      </w:pPr>
    </w:p>
    <w:p w:rsidR="0067753E" w:rsidRDefault="0094720C" w:rsidP="0094720C">
      <w:pPr>
        <w:pStyle w:val="Heading2"/>
        <w:spacing w:before="0" w:after="0"/>
        <w:rPr>
          <w:rFonts w:ascii="Times New Roman" w:hAnsi="Times New Roman" w:cs="Times New Roman"/>
          <w:i w:val="0"/>
          <w:sz w:val="24"/>
          <w:szCs w:val="24"/>
        </w:rPr>
      </w:pPr>
      <w:bookmarkStart w:id="11" w:name="_Ref195320003"/>
      <w:r>
        <w:rPr>
          <w:rFonts w:ascii="Times New Roman" w:hAnsi="Times New Roman" w:cs="Times New Roman"/>
          <w:i w:val="0"/>
          <w:sz w:val="24"/>
          <w:szCs w:val="24"/>
        </w:rPr>
        <w:t>B.</w:t>
      </w:r>
      <w:r>
        <w:rPr>
          <w:rFonts w:ascii="Times New Roman" w:hAnsi="Times New Roman" w:cs="Times New Roman"/>
          <w:i w:val="0"/>
          <w:sz w:val="24"/>
          <w:szCs w:val="24"/>
        </w:rPr>
        <w:tab/>
      </w:r>
      <w:r w:rsidR="0067753E" w:rsidRPr="00366F33">
        <w:rPr>
          <w:rFonts w:ascii="Times New Roman" w:hAnsi="Times New Roman" w:cs="Times New Roman"/>
          <w:i w:val="0"/>
          <w:sz w:val="24"/>
          <w:szCs w:val="24"/>
        </w:rPr>
        <w:t xml:space="preserve">CONU Discussion </w:t>
      </w:r>
    </w:p>
    <w:p w:rsidR="0094720C" w:rsidRPr="0094720C" w:rsidRDefault="0094720C" w:rsidP="0094720C"/>
    <w:p w:rsidR="0067753E" w:rsidRPr="0094720C" w:rsidRDefault="0067753E" w:rsidP="0094720C">
      <w:pPr>
        <w:pStyle w:val="Heading3"/>
        <w:spacing w:before="0" w:after="0"/>
        <w:rPr>
          <w:rFonts w:ascii="Times New Roman" w:hAnsi="Times New Roman" w:cs="Times New Roman"/>
          <w:sz w:val="24"/>
          <w:szCs w:val="24"/>
        </w:rPr>
      </w:pPr>
      <w:r w:rsidRPr="0094720C">
        <w:rPr>
          <w:rFonts w:ascii="Times New Roman" w:hAnsi="Times New Roman" w:cs="Times New Roman"/>
          <w:sz w:val="24"/>
          <w:szCs w:val="24"/>
        </w:rPr>
        <w:t xml:space="preserve">CON </w:t>
      </w:r>
      <w:r w:rsidR="006B13F0" w:rsidRPr="0094720C">
        <w:rPr>
          <w:rFonts w:ascii="Times New Roman" w:hAnsi="Times New Roman" w:cs="Times New Roman"/>
          <w:sz w:val="24"/>
          <w:szCs w:val="24"/>
        </w:rPr>
        <w:t>Standard</w:t>
      </w:r>
      <w:r w:rsidRPr="0094720C">
        <w:rPr>
          <w:rFonts w:ascii="Times New Roman" w:hAnsi="Times New Roman" w:cs="Times New Roman"/>
          <w:sz w:val="24"/>
          <w:szCs w:val="24"/>
        </w:rPr>
        <w:t xml:space="preserve"> </w:t>
      </w:r>
    </w:p>
    <w:p w:rsidR="0067753E" w:rsidRPr="009E0CF6" w:rsidRDefault="0067753E" w:rsidP="0051353A">
      <w:pPr>
        <w:rPr>
          <w:b/>
          <w:sz w:val="16"/>
          <w:szCs w:val="16"/>
        </w:rPr>
      </w:pPr>
    </w:p>
    <w:p w:rsidR="0067753E" w:rsidRDefault="006B13F0" w:rsidP="006464FA">
      <w:pPr>
        <w:jc w:val="both"/>
      </w:pPr>
      <w:r w:rsidRPr="000950BA">
        <w:t>The r</w:t>
      </w:r>
      <w:r w:rsidR="0067753E" w:rsidRPr="000950BA">
        <w:t xml:space="preserve">elevant </w:t>
      </w:r>
      <w:r w:rsidRPr="000950BA">
        <w:t>standard</w:t>
      </w:r>
      <w:r w:rsidR="0067753E" w:rsidRPr="000950BA">
        <w:t xml:space="preserve"> for inclusion in this section are specific to the determination that the project does not result in inappropriate increases in service utilization, according to the principles of evidence-based medicine adopted by the Maine Quality Forum</w:t>
      </w:r>
      <w:r w:rsidR="001D3C46" w:rsidRPr="000950BA">
        <w:rPr>
          <w:color w:val="000000"/>
          <w:sz w:val="20"/>
          <w:szCs w:val="20"/>
        </w:rPr>
        <w:t xml:space="preserve"> </w:t>
      </w:r>
      <w:r w:rsidR="001D3C46" w:rsidRPr="000950BA">
        <w:t>as established in Title 24-A, section 6951, when the principles adopted by the Maine Quality Forum are directly applicable to the application</w:t>
      </w:r>
      <w:r w:rsidR="0067753E" w:rsidRPr="000950BA">
        <w:t xml:space="preserve">.  </w:t>
      </w:r>
    </w:p>
    <w:p w:rsidR="0094720C" w:rsidRPr="00C45CF1" w:rsidRDefault="0094720C" w:rsidP="006464FA">
      <w:pPr>
        <w:jc w:val="both"/>
      </w:pPr>
    </w:p>
    <w:p w:rsidR="0067753E" w:rsidRPr="0094720C" w:rsidRDefault="000A06C5" w:rsidP="0094720C">
      <w:pPr>
        <w:pStyle w:val="Heading3"/>
        <w:spacing w:before="0" w:after="0"/>
        <w:rPr>
          <w:rFonts w:ascii="Times New Roman" w:hAnsi="Times New Roman" w:cs="Times New Roman"/>
          <w:sz w:val="24"/>
          <w:szCs w:val="24"/>
        </w:rPr>
      </w:pPr>
      <w:r w:rsidRPr="0094720C">
        <w:rPr>
          <w:rFonts w:ascii="Times New Roman" w:hAnsi="Times New Roman" w:cs="Times New Roman"/>
          <w:sz w:val="24"/>
          <w:szCs w:val="24"/>
        </w:rPr>
        <w:t xml:space="preserve">CON </w:t>
      </w:r>
      <w:r w:rsidR="0067753E" w:rsidRPr="0094720C">
        <w:rPr>
          <w:rFonts w:ascii="Times New Roman" w:hAnsi="Times New Roman" w:cs="Times New Roman"/>
          <w:sz w:val="24"/>
          <w:szCs w:val="24"/>
        </w:rPr>
        <w:t>Analysis</w:t>
      </w:r>
    </w:p>
    <w:p w:rsidR="00526BA7" w:rsidRPr="009E0CF6" w:rsidRDefault="00526BA7" w:rsidP="0051353A">
      <w:pPr>
        <w:rPr>
          <w:b/>
          <w:sz w:val="16"/>
          <w:szCs w:val="16"/>
        </w:rPr>
      </w:pPr>
    </w:p>
    <w:p w:rsidR="008406D5" w:rsidRDefault="002C009E" w:rsidP="006464FA">
      <w:pPr>
        <w:jc w:val="both"/>
      </w:pPr>
      <w:r w:rsidRPr="000950BA">
        <w:t xml:space="preserve">This application involves the </w:t>
      </w:r>
      <w:r w:rsidR="00A80168" w:rsidRPr="000950BA">
        <w:t>merger</w:t>
      </w:r>
      <w:r w:rsidR="006E1950" w:rsidRPr="000950BA">
        <w:t xml:space="preserve"> of </w:t>
      </w:r>
      <w:r w:rsidR="00A80168" w:rsidRPr="000950BA">
        <w:t>OA and CMO with Spectrum</w:t>
      </w:r>
      <w:r w:rsidR="006E1950" w:rsidRPr="000950BA">
        <w:t xml:space="preserve"> and does </w:t>
      </w:r>
      <w:r w:rsidR="008072BB" w:rsidRPr="000950BA">
        <w:t xml:space="preserve">not </w:t>
      </w:r>
      <w:r w:rsidR="006E1950" w:rsidRPr="000950BA">
        <w:t xml:space="preserve">result in the addition of new health services or the expansion of existing services. </w:t>
      </w:r>
      <w:r w:rsidR="00A553BF" w:rsidRPr="000950BA">
        <w:t xml:space="preserve">This affiliation will improve quality outcomes, address identified community needs, encourage </w:t>
      </w:r>
      <w:r w:rsidR="00A80168" w:rsidRPr="000950BA">
        <w:t>operating efficiencies and improve</w:t>
      </w:r>
      <w:r w:rsidR="00A553BF" w:rsidRPr="000950BA">
        <w:t xml:space="preserve"> the health status of the population in </w:t>
      </w:r>
      <w:r w:rsidR="00A80168" w:rsidRPr="000950BA">
        <w:t xml:space="preserve">OA and </w:t>
      </w:r>
      <w:proofErr w:type="gramStart"/>
      <w:r w:rsidR="00A80168" w:rsidRPr="000950BA">
        <w:t>CMO’s  service</w:t>
      </w:r>
      <w:proofErr w:type="gramEnd"/>
      <w:r w:rsidR="00A80168" w:rsidRPr="000950BA">
        <w:t xml:space="preserve"> area.</w:t>
      </w:r>
      <w:r w:rsidR="00A553BF" w:rsidRPr="000950BA">
        <w:t xml:space="preserve"> This will have a positive impact on patient care.</w:t>
      </w:r>
    </w:p>
    <w:p w:rsidR="0094720C" w:rsidRPr="000950BA" w:rsidRDefault="0094720C" w:rsidP="006464FA">
      <w:pPr>
        <w:jc w:val="both"/>
        <w:rPr>
          <w:b/>
        </w:rPr>
      </w:pPr>
    </w:p>
    <w:p w:rsidR="00403EEC" w:rsidRPr="0094720C" w:rsidRDefault="0067753E" w:rsidP="0094720C">
      <w:pPr>
        <w:pStyle w:val="Heading3"/>
        <w:spacing w:before="0" w:after="0"/>
        <w:rPr>
          <w:rFonts w:ascii="Times New Roman" w:hAnsi="Times New Roman" w:cs="Times New Roman"/>
          <w:sz w:val="24"/>
          <w:szCs w:val="24"/>
        </w:rPr>
      </w:pPr>
      <w:r w:rsidRPr="0094720C">
        <w:rPr>
          <w:rFonts w:ascii="Times New Roman" w:hAnsi="Times New Roman" w:cs="Times New Roman"/>
          <w:sz w:val="24"/>
          <w:szCs w:val="24"/>
        </w:rPr>
        <w:t xml:space="preserve">Conclusion </w:t>
      </w:r>
    </w:p>
    <w:p w:rsidR="001A2774" w:rsidRPr="009E0CF6" w:rsidRDefault="001A2774" w:rsidP="0051353A">
      <w:pPr>
        <w:rPr>
          <w:b/>
          <w:sz w:val="16"/>
          <w:szCs w:val="16"/>
        </w:rPr>
      </w:pPr>
    </w:p>
    <w:p w:rsidR="008D3354" w:rsidRPr="000950BA" w:rsidRDefault="001A2774" w:rsidP="006464FA">
      <w:pPr>
        <w:jc w:val="both"/>
        <w:sectPr w:rsidR="008D3354" w:rsidRPr="000950BA" w:rsidSect="00F25D90">
          <w:headerReference w:type="even" r:id="rId23"/>
          <w:headerReference w:type="default" r:id="rId24"/>
          <w:headerReference w:type="first" r:id="rId25"/>
          <w:pgSz w:w="12240" w:h="15840"/>
          <w:pgMar w:top="1440" w:right="1440" w:bottom="1440" w:left="1440" w:header="720" w:footer="720" w:gutter="0"/>
          <w:cols w:space="720"/>
          <w:docGrid w:linePitch="360"/>
        </w:sectPr>
      </w:pPr>
      <w:r w:rsidRPr="000950BA">
        <w:t>CONU recommends</w:t>
      </w:r>
      <w:r w:rsidR="00D81EC4" w:rsidRPr="000950BA">
        <w:t xml:space="preserve"> that the Commissioner find</w:t>
      </w:r>
      <w:r w:rsidRPr="000950BA">
        <w:t xml:space="preserve"> that the applicant ha</w:t>
      </w:r>
      <w:r w:rsidR="00845A59" w:rsidRPr="000950BA">
        <w:t>s</w:t>
      </w:r>
      <w:r w:rsidRPr="000950BA">
        <w:t xml:space="preserve"> met their burden to demonstrate that</w:t>
      </w:r>
      <w:r w:rsidR="00A869F9" w:rsidRPr="000950BA">
        <w:t xml:space="preserve"> the project does not result in</w:t>
      </w:r>
      <w:r w:rsidRPr="000950BA">
        <w:t xml:space="preserve"> inappropriate i</w:t>
      </w:r>
      <w:r w:rsidR="00A869F9" w:rsidRPr="000950BA">
        <w:t>ncreases in service utilization, according to the principles of evidence-based medicine adopted by the Maine Quality Foru</w:t>
      </w:r>
      <w:bookmarkEnd w:id="11"/>
      <w:r w:rsidR="00595EC7" w:rsidRPr="000950BA">
        <w:t xml:space="preserve">m. </w:t>
      </w:r>
    </w:p>
    <w:p w:rsidR="00AA3EB7" w:rsidRPr="0094720C" w:rsidRDefault="00595EC7" w:rsidP="00595EC7">
      <w:pPr>
        <w:pStyle w:val="Heading1"/>
        <w:rPr>
          <w:rFonts w:ascii="Times New Roman" w:hAnsi="Times New Roman" w:cs="Times New Roman"/>
          <w:sz w:val="28"/>
          <w:szCs w:val="28"/>
          <w:u w:val="single"/>
        </w:rPr>
      </w:pPr>
      <w:r w:rsidRPr="0094720C">
        <w:rPr>
          <w:rFonts w:ascii="Times New Roman" w:hAnsi="Times New Roman" w:cs="Times New Roman"/>
          <w:sz w:val="28"/>
          <w:szCs w:val="28"/>
          <w:u w:val="single"/>
        </w:rPr>
        <w:t>VI</w:t>
      </w:r>
      <w:r w:rsidR="00B20320" w:rsidRPr="0094720C">
        <w:rPr>
          <w:rFonts w:ascii="Times New Roman" w:hAnsi="Times New Roman" w:cs="Times New Roman"/>
          <w:sz w:val="28"/>
          <w:szCs w:val="28"/>
          <w:u w:val="single"/>
        </w:rPr>
        <w:t>II</w:t>
      </w:r>
      <w:r w:rsidR="00AA3EB7" w:rsidRPr="0094720C">
        <w:rPr>
          <w:rFonts w:ascii="Times New Roman" w:hAnsi="Times New Roman" w:cs="Times New Roman"/>
          <w:sz w:val="28"/>
          <w:szCs w:val="28"/>
          <w:u w:val="single"/>
        </w:rPr>
        <w:t xml:space="preserve">. </w:t>
      </w:r>
      <w:r w:rsidR="00696788" w:rsidRPr="0094720C">
        <w:rPr>
          <w:rFonts w:ascii="Times New Roman" w:hAnsi="Times New Roman" w:cs="Times New Roman"/>
          <w:sz w:val="28"/>
          <w:szCs w:val="28"/>
          <w:u w:val="single"/>
        </w:rPr>
        <w:t>Timeline</w:t>
      </w:r>
    </w:p>
    <w:p w:rsidR="00AA3EB7" w:rsidRPr="000950BA" w:rsidRDefault="00AA3EB7" w:rsidP="00595EC7"/>
    <w:p w:rsidR="004E7E23" w:rsidRPr="000950BA" w:rsidRDefault="004E7E23" w:rsidP="00696788">
      <w:r w:rsidRPr="000950BA">
        <w:t xml:space="preserve">Letter of Intent Received  </w:t>
      </w:r>
      <w:r w:rsidR="006F3282" w:rsidRPr="000950BA">
        <w:tab/>
      </w:r>
      <w:r w:rsidR="006F3282" w:rsidRPr="000950BA">
        <w:tab/>
      </w:r>
      <w:r w:rsidR="006F3282" w:rsidRPr="000950BA">
        <w:tab/>
      </w:r>
      <w:r w:rsidR="006F3282" w:rsidRPr="000950BA">
        <w:tab/>
      </w:r>
      <w:r w:rsidR="006F3282" w:rsidRPr="000950BA">
        <w:tab/>
      </w:r>
      <w:r w:rsidR="009E0CF6">
        <w:tab/>
      </w:r>
      <w:r w:rsidR="009E0CF6">
        <w:tab/>
      </w:r>
      <w:r w:rsidR="006F3282" w:rsidRPr="000950BA">
        <w:tab/>
      </w:r>
      <w:r w:rsidRPr="000950BA">
        <w:t>4/19/2013</w:t>
      </w:r>
    </w:p>
    <w:p w:rsidR="004E7E23" w:rsidRPr="000950BA" w:rsidRDefault="004E7E23" w:rsidP="00696788">
      <w:r w:rsidRPr="000950BA">
        <w:t xml:space="preserve">Technical Assistance Meeting Held </w:t>
      </w:r>
      <w:r w:rsidR="006F3282" w:rsidRPr="000950BA">
        <w:tab/>
      </w:r>
      <w:r w:rsidR="006F3282" w:rsidRPr="000950BA">
        <w:tab/>
      </w:r>
      <w:r w:rsidR="006F3282" w:rsidRPr="000950BA">
        <w:tab/>
      </w:r>
      <w:r w:rsidR="006F3282" w:rsidRPr="000950BA">
        <w:tab/>
      </w:r>
      <w:r w:rsidR="006F3282" w:rsidRPr="000950BA">
        <w:tab/>
      </w:r>
      <w:r w:rsidRPr="000950BA">
        <w:t>5/22/2013</w:t>
      </w:r>
    </w:p>
    <w:p w:rsidR="004E7E23" w:rsidRPr="000950BA" w:rsidRDefault="004E7E23" w:rsidP="00696788">
      <w:r w:rsidRPr="000950BA">
        <w:t xml:space="preserve">CON Application Filed </w:t>
      </w:r>
      <w:r w:rsidR="006F3282" w:rsidRPr="000950BA">
        <w:tab/>
      </w:r>
      <w:r w:rsidR="006F3282" w:rsidRPr="000950BA">
        <w:tab/>
      </w:r>
      <w:r w:rsidR="006F3282" w:rsidRPr="000950BA">
        <w:tab/>
      </w:r>
      <w:r w:rsidR="006F3282" w:rsidRPr="000950BA">
        <w:tab/>
      </w:r>
      <w:r w:rsidR="006F3282" w:rsidRPr="000950BA">
        <w:tab/>
      </w:r>
      <w:r w:rsidR="009E0CF6">
        <w:tab/>
      </w:r>
      <w:r w:rsidR="009E0CF6">
        <w:tab/>
      </w:r>
      <w:r w:rsidR="006F3282" w:rsidRPr="000950BA">
        <w:tab/>
      </w:r>
      <w:r w:rsidRPr="000950BA">
        <w:t>8/6/2013</w:t>
      </w:r>
    </w:p>
    <w:p w:rsidR="004E7E23" w:rsidRPr="000950BA" w:rsidRDefault="004E7E23" w:rsidP="00696788">
      <w:r w:rsidRPr="000950BA">
        <w:t xml:space="preserve">CON Application Certified as Complete </w:t>
      </w:r>
      <w:r w:rsidR="006F3282" w:rsidRPr="000950BA">
        <w:tab/>
      </w:r>
      <w:r w:rsidR="006F3282" w:rsidRPr="000950BA">
        <w:tab/>
      </w:r>
      <w:r w:rsidR="006F3282" w:rsidRPr="000950BA">
        <w:tab/>
      </w:r>
      <w:r w:rsidR="006F3282" w:rsidRPr="000950BA">
        <w:tab/>
      </w:r>
      <w:r w:rsidRPr="000950BA">
        <w:t>8/6/2013</w:t>
      </w:r>
    </w:p>
    <w:p w:rsidR="006F3282" w:rsidRPr="000950BA" w:rsidRDefault="006F3282" w:rsidP="00696788">
      <w:r w:rsidRPr="000950BA">
        <w:t xml:space="preserve">Public Information Meeting Held </w:t>
      </w:r>
      <w:r w:rsidRPr="000950BA">
        <w:tab/>
      </w:r>
      <w:r w:rsidRPr="000950BA">
        <w:tab/>
      </w:r>
      <w:r w:rsidRPr="000950BA">
        <w:tab/>
      </w:r>
      <w:r w:rsidR="009E0CF6">
        <w:tab/>
      </w:r>
      <w:r w:rsidRPr="000950BA">
        <w:tab/>
      </w:r>
      <w:r w:rsidRPr="000950BA">
        <w:tab/>
      </w:r>
      <w:r w:rsidR="00240513" w:rsidRPr="000950BA">
        <w:t>Waived</w:t>
      </w:r>
    </w:p>
    <w:p w:rsidR="006F3282" w:rsidRPr="000950BA" w:rsidRDefault="006F3282" w:rsidP="00696788">
      <w:r w:rsidRPr="000950BA">
        <w:t xml:space="preserve">Public </w:t>
      </w:r>
      <w:r w:rsidR="00240513" w:rsidRPr="000950BA">
        <w:t>H</w:t>
      </w:r>
      <w:r w:rsidRPr="000950BA">
        <w:t xml:space="preserve">earing Held </w:t>
      </w:r>
      <w:r w:rsidRPr="000950BA">
        <w:tab/>
      </w:r>
      <w:r w:rsidRPr="000950BA">
        <w:tab/>
      </w:r>
      <w:r w:rsidRPr="000950BA">
        <w:tab/>
      </w:r>
      <w:r w:rsidRPr="000950BA">
        <w:tab/>
      </w:r>
      <w:r w:rsidRPr="000950BA">
        <w:tab/>
      </w:r>
      <w:r w:rsidRPr="000950BA">
        <w:tab/>
      </w:r>
      <w:r w:rsidR="009E0CF6">
        <w:tab/>
      </w:r>
      <w:r w:rsidR="009E0CF6">
        <w:tab/>
      </w:r>
      <w:r w:rsidRPr="000950BA">
        <w:tab/>
        <w:t>N/A</w:t>
      </w:r>
    </w:p>
    <w:p w:rsidR="005A08CC" w:rsidRPr="000950BA" w:rsidRDefault="00240513" w:rsidP="00696788">
      <w:r w:rsidRPr="000950BA">
        <w:t>Close of Public Record</w:t>
      </w:r>
      <w:r w:rsidR="005A08CC" w:rsidRPr="000950BA">
        <w:tab/>
      </w:r>
      <w:r w:rsidRPr="000950BA">
        <w:tab/>
      </w:r>
      <w:r w:rsidRPr="000950BA">
        <w:tab/>
      </w:r>
      <w:r w:rsidRPr="000950BA">
        <w:tab/>
      </w:r>
      <w:r w:rsidRPr="000950BA">
        <w:tab/>
      </w:r>
      <w:r w:rsidR="009E0CF6">
        <w:tab/>
      </w:r>
      <w:r w:rsidR="009E0CF6">
        <w:tab/>
      </w:r>
      <w:r w:rsidRPr="000950BA">
        <w:tab/>
      </w:r>
      <w:r w:rsidR="005D01C7">
        <w:t>9/6/2013</w:t>
      </w:r>
      <w:r w:rsidR="005A08CC" w:rsidRPr="000950BA">
        <w:tab/>
      </w:r>
    </w:p>
    <w:p w:rsidR="005A08CC" w:rsidRPr="000950BA" w:rsidRDefault="005A08CC" w:rsidP="005A08CC">
      <w:pPr>
        <w:ind w:left="720"/>
      </w:pPr>
    </w:p>
    <w:p w:rsidR="001328E1" w:rsidRPr="000950BA" w:rsidRDefault="001328E1" w:rsidP="00595EC7">
      <w:pPr>
        <w:sectPr w:rsidR="001328E1" w:rsidRPr="000950BA" w:rsidSect="00F25D90">
          <w:headerReference w:type="even" r:id="rId26"/>
          <w:headerReference w:type="default" r:id="rId27"/>
          <w:headerReference w:type="first" r:id="rId28"/>
          <w:pgSz w:w="12240" w:h="15840"/>
          <w:pgMar w:top="1440" w:right="1440" w:bottom="1440" w:left="1440" w:header="720" w:footer="720" w:gutter="0"/>
          <w:cols w:space="720"/>
          <w:docGrid w:linePitch="360"/>
        </w:sectPr>
      </w:pPr>
    </w:p>
    <w:p w:rsidR="00AA21FB" w:rsidRPr="00CD5904" w:rsidRDefault="00595EC7" w:rsidP="008A33DA">
      <w:pPr>
        <w:pStyle w:val="Heading1"/>
        <w:spacing w:before="0"/>
        <w:rPr>
          <w:rFonts w:ascii="Times New Roman" w:hAnsi="Times New Roman" w:cs="Times New Roman"/>
          <w:sz w:val="28"/>
          <w:szCs w:val="28"/>
          <w:u w:val="single"/>
        </w:rPr>
      </w:pPr>
      <w:r w:rsidRPr="00CD5904">
        <w:rPr>
          <w:rFonts w:ascii="Times New Roman" w:hAnsi="Times New Roman" w:cs="Times New Roman"/>
          <w:sz w:val="28"/>
          <w:szCs w:val="28"/>
          <w:u w:val="single"/>
        </w:rPr>
        <w:t>IX</w:t>
      </w:r>
      <w:r w:rsidR="00CD5904">
        <w:rPr>
          <w:rFonts w:ascii="Times New Roman" w:hAnsi="Times New Roman" w:cs="Times New Roman"/>
          <w:sz w:val="28"/>
          <w:szCs w:val="28"/>
          <w:u w:val="single"/>
        </w:rPr>
        <w:t xml:space="preserve">. </w:t>
      </w:r>
      <w:r w:rsidR="00FF4C9B" w:rsidRPr="00CD5904">
        <w:rPr>
          <w:rFonts w:ascii="Times New Roman" w:hAnsi="Times New Roman" w:cs="Times New Roman"/>
          <w:sz w:val="28"/>
          <w:szCs w:val="28"/>
          <w:u w:val="single"/>
        </w:rPr>
        <w:t xml:space="preserve">CON </w:t>
      </w:r>
      <w:r w:rsidR="00AA21FB" w:rsidRPr="00CD5904">
        <w:rPr>
          <w:rFonts w:ascii="Times New Roman" w:hAnsi="Times New Roman" w:cs="Times New Roman"/>
          <w:sz w:val="28"/>
          <w:szCs w:val="28"/>
          <w:u w:val="single"/>
        </w:rPr>
        <w:t>Findings and Recommendations</w:t>
      </w:r>
    </w:p>
    <w:p w:rsidR="00AA21FB" w:rsidRPr="000950BA" w:rsidRDefault="00AA21FB" w:rsidP="00595EC7">
      <w:r w:rsidRPr="008A33DA">
        <w:rPr>
          <w:sz w:val="16"/>
          <w:szCs w:val="16"/>
        </w:rPr>
        <w:cr/>
      </w:r>
      <w:r w:rsidRPr="000950BA">
        <w:t>Based on the preceding analysis, including information contained in the record, the CONU recommends that the Commissioner make the following findings and recommendations:</w:t>
      </w:r>
    </w:p>
    <w:p w:rsidR="00AA21FB" w:rsidRPr="000950BA" w:rsidRDefault="00AA21FB" w:rsidP="00595EC7"/>
    <w:p w:rsidR="00AA21FB" w:rsidRPr="000950BA" w:rsidRDefault="00AA21FB" w:rsidP="002127AD">
      <w:pPr>
        <w:ind w:left="720" w:hanging="720"/>
      </w:pPr>
      <w:r w:rsidRPr="000950BA">
        <w:t>A.</w:t>
      </w:r>
      <w:r w:rsidRPr="000950BA">
        <w:tab/>
        <w:t xml:space="preserve">That the applicant is fit, willing and able to provide the proposed services at the proper standard of care as demonstrated by, among other factors, whether the quality of any health care provided in the past by the applicant or a related party under the applicant’s control meets industry standards. </w:t>
      </w:r>
    </w:p>
    <w:p w:rsidR="00AA21FB" w:rsidRPr="000950BA" w:rsidRDefault="00AA21FB" w:rsidP="00595EC7"/>
    <w:p w:rsidR="00AA21FB" w:rsidRPr="000950BA" w:rsidRDefault="00AA21FB" w:rsidP="00595EC7">
      <w:r w:rsidRPr="000950BA">
        <w:t>B.</w:t>
      </w:r>
      <w:r w:rsidRPr="000950BA">
        <w:tab/>
        <w:t>The economic feasibility of the proposed services is demonstrated in terms of the:</w:t>
      </w:r>
    </w:p>
    <w:p w:rsidR="00AA21FB" w:rsidRPr="000950BA" w:rsidRDefault="00AA21FB" w:rsidP="00595EC7"/>
    <w:p w:rsidR="00AA21FB" w:rsidRPr="000950BA" w:rsidRDefault="00AA21FB" w:rsidP="002127AD">
      <w:pPr>
        <w:ind w:left="720"/>
      </w:pPr>
      <w:r w:rsidRPr="000950BA">
        <w:t>1. Capacity of the applicant to support the project financially over its useful life, in light of the rates the applicant expects to be able to charge for the services to be provided by the project; and</w:t>
      </w:r>
    </w:p>
    <w:p w:rsidR="00AA21FB" w:rsidRPr="000950BA" w:rsidRDefault="00AA21FB" w:rsidP="00595EC7"/>
    <w:p w:rsidR="00AA21FB" w:rsidRPr="000950BA" w:rsidRDefault="00AA21FB" w:rsidP="002127AD">
      <w:pPr>
        <w:ind w:left="720"/>
      </w:pPr>
      <w:r w:rsidRPr="000950BA">
        <w:t>2. The applicant’s ability to establish and operate the project in accordance with existing and reasonably anticipated future changes in federal, state and local licensure and other applicable or potentially applicable rules;</w:t>
      </w:r>
    </w:p>
    <w:p w:rsidR="00AA21FB" w:rsidRPr="000950BA" w:rsidRDefault="00AA21FB" w:rsidP="00595EC7"/>
    <w:p w:rsidR="00AA21FB" w:rsidRPr="000950BA" w:rsidRDefault="00AA21FB" w:rsidP="002127AD">
      <w:pPr>
        <w:ind w:left="720" w:hanging="720"/>
      </w:pPr>
      <w:r w:rsidRPr="000950BA">
        <w:t>C.</w:t>
      </w:r>
      <w:r w:rsidRPr="000950BA">
        <w:tab/>
        <w:t xml:space="preserve">The applicant has demonstrated that there is a public need for the proposed services </w:t>
      </w:r>
      <w:r w:rsidR="009E1817" w:rsidRPr="000950BA">
        <w:t xml:space="preserve">as demonstrated by </w:t>
      </w:r>
      <w:r w:rsidRPr="000950BA">
        <w:t>certain factors, including, but not limited to;</w:t>
      </w:r>
    </w:p>
    <w:p w:rsidR="00AA21FB" w:rsidRPr="000950BA" w:rsidRDefault="00AA21FB" w:rsidP="00595EC7"/>
    <w:p w:rsidR="00AA21FB" w:rsidRPr="000950BA" w:rsidRDefault="00AA21FB" w:rsidP="002127AD">
      <w:pPr>
        <w:ind w:left="720"/>
      </w:pPr>
      <w:r w:rsidRPr="000950BA">
        <w:t xml:space="preserve">1. The </w:t>
      </w:r>
      <w:r w:rsidR="009E1817" w:rsidRPr="000950BA">
        <w:t xml:space="preserve">extent to which the </w:t>
      </w:r>
      <w:r w:rsidRPr="000950BA">
        <w:t>project will substantially address specific health problems as measured by health needs in the area to be served by the project;</w:t>
      </w:r>
    </w:p>
    <w:p w:rsidR="00AA21FB" w:rsidRPr="000950BA" w:rsidRDefault="00AA21FB" w:rsidP="00595EC7"/>
    <w:p w:rsidR="00AA21FB" w:rsidRPr="000950BA" w:rsidRDefault="00AA21FB" w:rsidP="002127AD">
      <w:pPr>
        <w:ind w:left="720"/>
      </w:pPr>
      <w:r w:rsidRPr="000950BA">
        <w:t>2. The project has demonstrated that it will have a positive impact on the health status indicators of the population to be served;</w:t>
      </w:r>
    </w:p>
    <w:p w:rsidR="00AA21FB" w:rsidRPr="000950BA" w:rsidRDefault="00AA21FB" w:rsidP="00595EC7"/>
    <w:p w:rsidR="00AA21FB" w:rsidRPr="000950BA" w:rsidRDefault="009E1817" w:rsidP="00595EC7">
      <w:r w:rsidRPr="000950BA">
        <w:tab/>
        <w:t>3.</w:t>
      </w:r>
      <w:r w:rsidR="00AA21FB" w:rsidRPr="000950BA">
        <w:t xml:space="preserve"> </w:t>
      </w:r>
      <w:r w:rsidRPr="000950BA">
        <w:t>T</w:t>
      </w:r>
      <w:r w:rsidR="00AA21FB" w:rsidRPr="000950BA">
        <w:t xml:space="preserve">he project will be </w:t>
      </w:r>
      <w:r w:rsidRPr="000950BA">
        <w:t xml:space="preserve">accessible to all residents of </w:t>
      </w:r>
      <w:r w:rsidR="00AA21FB" w:rsidRPr="000950BA">
        <w:t>the area proposed to be served; and</w:t>
      </w:r>
    </w:p>
    <w:p w:rsidR="00AA21FB" w:rsidRPr="000950BA" w:rsidRDefault="00AA21FB" w:rsidP="00595EC7"/>
    <w:p w:rsidR="00AA21FB" w:rsidRPr="000950BA" w:rsidRDefault="009E1817" w:rsidP="002127AD">
      <w:pPr>
        <w:ind w:left="720"/>
      </w:pPr>
      <w:r w:rsidRPr="000950BA">
        <w:t>4. T</w:t>
      </w:r>
      <w:r w:rsidR="00AA21FB" w:rsidRPr="000950BA">
        <w:t>he project will provide demonstrable improvements in quality and outcome measu</w:t>
      </w:r>
      <w:r w:rsidRPr="000950BA">
        <w:t xml:space="preserve">res applicable to the services </w:t>
      </w:r>
      <w:r w:rsidR="00AA21FB" w:rsidRPr="000950BA">
        <w:t>proposed in the</w:t>
      </w:r>
      <w:r w:rsidRPr="000950BA">
        <w:t xml:space="preserve"> project</w:t>
      </w:r>
      <w:r w:rsidR="00AA21FB" w:rsidRPr="000950BA">
        <w:t xml:space="preserve">; </w:t>
      </w:r>
    </w:p>
    <w:p w:rsidR="00AA21FB" w:rsidRPr="000950BA" w:rsidRDefault="00AA21FB" w:rsidP="00595EC7"/>
    <w:p w:rsidR="00AA21FB" w:rsidRPr="000950BA" w:rsidRDefault="00AA21FB" w:rsidP="002127AD">
      <w:pPr>
        <w:ind w:left="720" w:hanging="720"/>
      </w:pPr>
      <w:r w:rsidRPr="000950BA">
        <w:t>D.</w:t>
      </w:r>
      <w:r w:rsidRPr="000950BA">
        <w:tab/>
        <w:t>The applicant has demonstrated that the proposed services are consistent with the orderly and economic development of health facilities and health resources for the State as demonstrated by:</w:t>
      </w:r>
    </w:p>
    <w:p w:rsidR="00AA21FB" w:rsidRPr="000950BA" w:rsidRDefault="00AA21FB" w:rsidP="00595EC7"/>
    <w:p w:rsidR="00AA21FB" w:rsidRPr="000950BA" w:rsidRDefault="009E1817" w:rsidP="002127AD">
      <w:pPr>
        <w:ind w:left="720"/>
      </w:pPr>
      <w:r w:rsidRPr="000950BA">
        <w:t>1. T</w:t>
      </w:r>
      <w:r w:rsidR="00AA21FB" w:rsidRPr="000950BA">
        <w:t xml:space="preserve">he impact of the project on total health </w:t>
      </w:r>
      <w:r w:rsidRPr="000950BA">
        <w:t>c</w:t>
      </w:r>
      <w:r w:rsidR="00AA21FB" w:rsidRPr="000950BA">
        <w:t>are expenditures after taking into account, to the extent practical, both the costs</w:t>
      </w:r>
      <w:r w:rsidRPr="000950BA">
        <w:t xml:space="preserve"> </w:t>
      </w:r>
      <w:r w:rsidR="00AA21FB" w:rsidRPr="000950BA">
        <w:t>and benefits of the project and the competing demands in the local service area</w:t>
      </w:r>
      <w:r w:rsidRPr="000950BA">
        <w:t xml:space="preserve"> </w:t>
      </w:r>
      <w:r w:rsidR="00AA21FB" w:rsidRPr="000950BA">
        <w:t xml:space="preserve">and statewide for available resources for health care; </w:t>
      </w:r>
    </w:p>
    <w:p w:rsidR="00AA21FB" w:rsidRPr="000950BA" w:rsidRDefault="00AA21FB" w:rsidP="00595EC7"/>
    <w:p w:rsidR="00AA21FB" w:rsidRPr="000950BA" w:rsidRDefault="00AA21FB" w:rsidP="002127AD">
      <w:pPr>
        <w:ind w:left="720"/>
      </w:pPr>
      <w:r w:rsidRPr="000950BA">
        <w:t>2. The availability of State funds to cover any increase in state costs associated with utilization of the project’s services; and</w:t>
      </w:r>
    </w:p>
    <w:p w:rsidR="00AA21FB" w:rsidRPr="000950BA" w:rsidRDefault="00AA21FB" w:rsidP="00595EC7"/>
    <w:p w:rsidR="00AA21FB" w:rsidRPr="000950BA" w:rsidRDefault="00AA21FB" w:rsidP="002127AD">
      <w:pPr>
        <w:ind w:left="720"/>
      </w:pPr>
      <w:r w:rsidRPr="000950BA">
        <w:t>3. The likelihood that more effective, more accessible or less costly alternative technologies or methods of service de</w:t>
      </w:r>
      <w:r w:rsidR="00616524" w:rsidRPr="000950BA">
        <w:t>livery may become available was</w:t>
      </w:r>
      <w:r w:rsidRPr="000950BA">
        <w:t xml:space="preserve"> demonstrated by the applicant;</w:t>
      </w:r>
    </w:p>
    <w:p w:rsidR="00AA21FB" w:rsidRPr="000950BA" w:rsidRDefault="00AA21FB" w:rsidP="00595EC7"/>
    <w:p w:rsidR="00AA21FB" w:rsidRPr="000950BA" w:rsidRDefault="00AA21FB" w:rsidP="00595EC7">
      <w:r w:rsidRPr="000950BA">
        <w:t>In making a determination under this subsection, the commissioner shall use data available in the state health plan under Title 2, section 103, data from the Maine Health Data Organization established in chapter 1683 and other information available to the commissioner.  Particular weight must be given to information that indicates that the proposed health services are innovations in high quality health care delivery, that the proposed health services are not reasonably available in the proposed area and that the facility proposing the new health services is designed to provide excellent quality health care.</w:t>
      </w:r>
    </w:p>
    <w:p w:rsidR="00AA21FB" w:rsidRPr="000950BA" w:rsidRDefault="00AA21FB" w:rsidP="00595EC7"/>
    <w:p w:rsidR="00AA21FB" w:rsidRPr="000950BA" w:rsidRDefault="00E04446" w:rsidP="002127AD">
      <w:pPr>
        <w:ind w:left="720" w:hanging="720"/>
      </w:pPr>
      <w:r w:rsidRPr="000950BA">
        <w:t>E</w:t>
      </w:r>
      <w:r w:rsidR="00AA21FB" w:rsidRPr="000950BA">
        <w:t>.</w:t>
      </w:r>
      <w:r w:rsidR="00AA21FB" w:rsidRPr="000950BA">
        <w:tab/>
        <w:t>The applicant has</w:t>
      </w:r>
      <w:r w:rsidR="00485C0B" w:rsidRPr="000950BA">
        <w:rPr>
          <w:b/>
        </w:rPr>
        <w:t xml:space="preserve"> </w:t>
      </w:r>
      <w:r w:rsidR="00AA21FB" w:rsidRPr="000950BA">
        <w:t>demonstrated that the project ensures high-quality outcomes and does not negatively affect the quality of care delivered by existing service providers;</w:t>
      </w:r>
      <w:r w:rsidR="00696788" w:rsidRPr="000950BA">
        <w:t xml:space="preserve"> and</w:t>
      </w:r>
    </w:p>
    <w:p w:rsidR="00AA21FB" w:rsidRPr="000950BA" w:rsidRDefault="00AA21FB" w:rsidP="00595EC7"/>
    <w:p w:rsidR="005A08CC" w:rsidRPr="000950BA" w:rsidRDefault="00E04446" w:rsidP="002127AD">
      <w:pPr>
        <w:ind w:left="720" w:hanging="720"/>
      </w:pPr>
      <w:r w:rsidRPr="000950BA">
        <w:t>F</w:t>
      </w:r>
      <w:r w:rsidR="00AA21FB" w:rsidRPr="000950BA">
        <w:t>.</w:t>
      </w:r>
      <w:r w:rsidR="00AA21FB" w:rsidRPr="000950BA">
        <w:tab/>
        <w:t>The applicant has demonstrated that the project does not result in inappropriate increases in service utilization, according to the principles of evidence-based medicine adop</w:t>
      </w:r>
      <w:r w:rsidR="00696788" w:rsidRPr="000950BA">
        <w:t>ted by the Maine Quality Forum.</w:t>
      </w:r>
    </w:p>
    <w:p w:rsidR="00514E5D" w:rsidRPr="000950BA" w:rsidRDefault="00514E5D" w:rsidP="00595EC7"/>
    <w:sectPr w:rsidR="00514E5D" w:rsidRPr="000950BA" w:rsidSect="00F25D90">
      <w:headerReference w:type="even" r:id="rId29"/>
      <w:headerReference w:type="default" r:id="rId30"/>
      <w:head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C9F" w:rsidRDefault="00016C9F">
      <w:r>
        <w:separator/>
      </w:r>
    </w:p>
  </w:endnote>
  <w:endnote w:type="continuationSeparator" w:id="0">
    <w:p w:rsidR="00016C9F" w:rsidRDefault="0001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Weiss">
    <w:altName w:val="Weis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MS ??">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C9F" w:rsidRDefault="00016C9F">
      <w:r>
        <w:separator/>
      </w:r>
    </w:p>
  </w:footnote>
  <w:footnote w:type="continuationSeparator" w:id="0">
    <w:p w:rsidR="00016C9F" w:rsidRDefault="00016C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D7" w:rsidRDefault="001C6B41" w:rsidP="00312E0E">
    <w:pPr>
      <w:pStyle w:val="Header"/>
      <w:ind w:left="-1170"/>
      <w:jc w:val="both"/>
      <w:rPr>
        <w:noProof/>
      </w:rPr>
    </w:pPr>
    <w:r>
      <w:rPr>
        <w:noProof/>
      </w:rPr>
      <w:drawing>
        <wp:inline distT="0" distB="0" distL="0" distR="0" wp14:anchorId="4EADC53A" wp14:editId="7B74329C">
          <wp:extent cx="7467600" cy="1166813"/>
          <wp:effectExtent l="0" t="0" r="0" b="0"/>
          <wp:docPr id="7" name="Picture 7" descr="Licensing&amp;RegulatoryAugusta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sing&amp;RegulatoryAugusta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119" cy="1172675"/>
                  </a:xfrm>
                  <a:prstGeom prst="rect">
                    <a:avLst/>
                  </a:prstGeom>
                  <a:noFill/>
                  <a:ln>
                    <a:noFill/>
                  </a:ln>
                </pic:spPr>
              </pic:pic>
            </a:graphicData>
          </a:graphic>
        </wp:inline>
      </w:drawing>
    </w:r>
  </w:p>
  <w:p w:rsidR="00312E0E" w:rsidRDefault="00312E0E" w:rsidP="001C6B41">
    <w:pPr>
      <w:pStyle w:val="Header"/>
      <w:ind w:left="-720"/>
      <w:jc w:val="both"/>
      <w:rPr>
        <w:noProof/>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rsidP="001804AF">
    <w:pPr>
      <w:pStyle w:val="Header"/>
      <w:tabs>
        <w:tab w:val="clear" w:pos="8640"/>
        <w:tab w:val="right" w:pos="9360"/>
      </w:tabs>
      <w:jc w:val="center"/>
      <w:rPr>
        <w:rStyle w:val="PageNumber"/>
      </w:rPr>
    </w:pPr>
    <w:r>
      <w:t>Eastern Maine Health Services</w:t>
    </w:r>
    <w:r>
      <w:tab/>
      <w:t xml:space="preserve">- </w:t>
    </w:r>
    <w:r>
      <w:rPr>
        <w:rStyle w:val="PageNumber"/>
      </w:rPr>
      <w:fldChar w:fldCharType="begin"/>
    </w:r>
    <w:r>
      <w:rPr>
        <w:rStyle w:val="PageNumber"/>
      </w:rPr>
      <w:instrText xml:space="preserve"> PAGE </w:instrText>
    </w:r>
    <w:r>
      <w:rPr>
        <w:rStyle w:val="PageNumber"/>
      </w:rPr>
      <w:fldChar w:fldCharType="separate"/>
    </w:r>
    <w:r w:rsidR="004E128A">
      <w:rPr>
        <w:rStyle w:val="PageNumber"/>
        <w:noProof/>
      </w:rPr>
      <w:t>18</w:t>
    </w:r>
    <w:r>
      <w:rPr>
        <w:rStyle w:val="PageNumber"/>
      </w:rPr>
      <w:fldChar w:fldCharType="end"/>
    </w:r>
    <w:r>
      <w:rPr>
        <w:rStyle w:val="PageNumber"/>
      </w:rPr>
      <w:t xml:space="preserve"> -</w:t>
    </w:r>
    <w:r>
      <w:rPr>
        <w:rStyle w:val="PageNumber"/>
      </w:rPr>
      <w:tab/>
    </w:r>
    <w:r w:rsidR="005D01C7">
      <w:rPr>
        <w:rStyle w:val="PageNumber"/>
      </w:rPr>
      <w:t>Acquisition of Control</w:t>
    </w:r>
    <w:r>
      <w:rPr>
        <w:rStyle w:val="PageNumber"/>
      </w:rPr>
      <w:t xml:space="preserve"> </w:t>
    </w:r>
  </w:p>
  <w:p w:rsidR="00016C9F" w:rsidRDefault="00016C9F"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016C9F" w:rsidRDefault="00016C9F">
    <w:pPr>
      <w:pStyle w:val="Header"/>
      <w:rPr>
        <w:rStyle w:val="PageNumber"/>
      </w:rPr>
    </w:pPr>
    <w:r>
      <w:rPr>
        <w:rStyle w:val="PageNumber"/>
      </w:rPr>
      <w:t>VII. Service Utilization</w:t>
    </w:r>
  </w:p>
  <w:p w:rsidR="00366F33" w:rsidRDefault="00366F33">
    <w:pPr>
      <w:pStyle w:val="Header"/>
      <w:rPr>
        <w:rStyle w:val="PageNumber"/>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rsidP="001804AF">
    <w:pPr>
      <w:pStyle w:val="Header"/>
      <w:tabs>
        <w:tab w:val="clear" w:pos="8640"/>
        <w:tab w:val="right" w:pos="9360"/>
      </w:tabs>
      <w:jc w:val="center"/>
      <w:rPr>
        <w:rStyle w:val="PageNumber"/>
      </w:rPr>
    </w:pPr>
    <w:r>
      <w:t>Central Maine Health Care</w:t>
    </w:r>
    <w:r>
      <w:tab/>
      <w:t xml:space="preserve">- </w:t>
    </w:r>
    <w:r>
      <w:rPr>
        <w:rStyle w:val="PageNumber"/>
      </w:rPr>
      <w:fldChar w:fldCharType="begin"/>
    </w:r>
    <w:r>
      <w:rPr>
        <w:rStyle w:val="PageNumber"/>
      </w:rPr>
      <w:instrText xml:space="preserve"> PAGE </w:instrText>
    </w:r>
    <w:r>
      <w:rPr>
        <w:rStyle w:val="PageNumber"/>
      </w:rPr>
      <w:fldChar w:fldCharType="separate"/>
    </w:r>
    <w:r w:rsidR="004E128A">
      <w:rPr>
        <w:rStyle w:val="PageNumber"/>
        <w:noProof/>
      </w:rPr>
      <w:t>19</w:t>
    </w:r>
    <w:r>
      <w:rPr>
        <w:rStyle w:val="PageNumber"/>
      </w:rPr>
      <w:fldChar w:fldCharType="end"/>
    </w:r>
    <w:r>
      <w:rPr>
        <w:rStyle w:val="PageNumber"/>
      </w:rPr>
      <w:t xml:space="preserve"> -</w:t>
    </w:r>
    <w:r>
      <w:rPr>
        <w:rStyle w:val="PageNumber"/>
      </w:rPr>
      <w:tab/>
      <w:t>Acquisition of Control</w:t>
    </w:r>
  </w:p>
  <w:p w:rsidR="00016C9F" w:rsidRDefault="00016C9F"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016C9F" w:rsidRDefault="00016C9F" w:rsidP="00106349">
    <w:pPr>
      <w:pStyle w:val="Header"/>
      <w:tabs>
        <w:tab w:val="clear" w:pos="4320"/>
        <w:tab w:val="clear" w:pos="8640"/>
      </w:tabs>
    </w:pPr>
    <w:r>
      <w:t>VIII. Timeline Criteria</w:t>
    </w:r>
    <w:r>
      <w:tab/>
    </w:r>
  </w:p>
  <w:p w:rsidR="00366F33" w:rsidRDefault="00366F33" w:rsidP="00106349">
    <w:pPr>
      <w:pStyle w:val="Header"/>
      <w:tabs>
        <w:tab w:val="clear" w:pos="4320"/>
        <w:tab w:val="clear" w:pos="864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F1" w:rsidRDefault="00C45CF1" w:rsidP="00C45CF1">
    <w:pPr>
      <w:pStyle w:val="Header"/>
      <w:tabs>
        <w:tab w:val="clear" w:pos="8640"/>
        <w:tab w:val="right" w:pos="9360"/>
      </w:tabs>
      <w:jc w:val="center"/>
      <w:rPr>
        <w:rStyle w:val="PageNumber"/>
      </w:rPr>
    </w:pPr>
    <w:r>
      <w:t>Central Maine Health Care</w:t>
    </w:r>
    <w:r>
      <w:tab/>
      <w:t xml:space="preserve">- </w:t>
    </w:r>
    <w:r>
      <w:rPr>
        <w:rStyle w:val="PageNumber"/>
      </w:rPr>
      <w:fldChar w:fldCharType="begin"/>
    </w:r>
    <w:r>
      <w:rPr>
        <w:rStyle w:val="PageNumber"/>
      </w:rPr>
      <w:instrText xml:space="preserve"> PAGE </w:instrText>
    </w:r>
    <w:r>
      <w:rPr>
        <w:rStyle w:val="PageNumber"/>
      </w:rPr>
      <w:fldChar w:fldCharType="separate"/>
    </w:r>
    <w:r w:rsidR="004E128A">
      <w:rPr>
        <w:rStyle w:val="PageNumber"/>
        <w:noProof/>
      </w:rPr>
      <w:t>21</w:t>
    </w:r>
    <w:r>
      <w:rPr>
        <w:rStyle w:val="PageNumber"/>
      </w:rPr>
      <w:fldChar w:fldCharType="end"/>
    </w:r>
    <w:r>
      <w:rPr>
        <w:rStyle w:val="PageNumber"/>
      </w:rPr>
      <w:t xml:space="preserve"> -</w:t>
    </w:r>
    <w:r>
      <w:rPr>
        <w:rStyle w:val="PageNumber"/>
      </w:rPr>
      <w:tab/>
      <w:t>Acquisition of Control</w:t>
    </w:r>
  </w:p>
  <w:p w:rsidR="00C45CF1" w:rsidRDefault="00C45CF1" w:rsidP="00C45CF1">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C45CF1" w:rsidRDefault="00C45CF1" w:rsidP="00C45CF1">
    <w:pPr>
      <w:pStyle w:val="Header"/>
      <w:tabs>
        <w:tab w:val="clear" w:pos="4320"/>
        <w:tab w:val="clear" w:pos="8640"/>
      </w:tabs>
    </w:pPr>
    <w:r>
      <w:t>IX. Findings and Recommendations</w:t>
    </w:r>
    <w:r>
      <w:tab/>
    </w:r>
  </w:p>
  <w:p w:rsidR="00366F33" w:rsidRDefault="00366F33" w:rsidP="00C45CF1">
    <w:pPr>
      <w:pStyle w:val="Header"/>
      <w:tabs>
        <w:tab w:val="clear" w:pos="4320"/>
        <w:tab w:val="clear" w:pos="864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rsidP="00237C8E">
    <w:pPr>
      <w:pStyle w:val="Header"/>
      <w:tabs>
        <w:tab w:val="clear" w:pos="8640"/>
        <w:tab w:val="right" w:pos="9360"/>
      </w:tabs>
      <w:jc w:val="center"/>
      <w:rPr>
        <w:rStyle w:val="PageNumber"/>
      </w:rPr>
    </w:pPr>
    <w:r>
      <w:t xml:space="preserve">Spectrum Medical Group </w:t>
    </w:r>
    <w:r>
      <w:tab/>
      <w:t xml:space="preserve">- </w:t>
    </w:r>
    <w:r>
      <w:rPr>
        <w:rStyle w:val="PageNumber"/>
      </w:rPr>
      <w:fldChar w:fldCharType="begin"/>
    </w:r>
    <w:r>
      <w:rPr>
        <w:rStyle w:val="PageNumber"/>
      </w:rPr>
      <w:instrText xml:space="preserve"> PAGE </w:instrText>
    </w:r>
    <w:r>
      <w:rPr>
        <w:rStyle w:val="PageNumber"/>
      </w:rPr>
      <w:fldChar w:fldCharType="separate"/>
    </w:r>
    <w:r w:rsidR="004E128A">
      <w:rPr>
        <w:rStyle w:val="PageNumber"/>
        <w:noProof/>
      </w:rPr>
      <w:t>4</w:t>
    </w:r>
    <w:r>
      <w:rPr>
        <w:rStyle w:val="PageNumber"/>
      </w:rPr>
      <w:fldChar w:fldCharType="end"/>
    </w:r>
    <w:r>
      <w:rPr>
        <w:rStyle w:val="PageNumber"/>
      </w:rPr>
      <w:t xml:space="preserve"> -</w:t>
    </w:r>
    <w:r>
      <w:rPr>
        <w:rStyle w:val="PageNumber"/>
      </w:rPr>
      <w:tab/>
    </w:r>
    <w:r w:rsidR="005D01C7">
      <w:rPr>
        <w:rStyle w:val="PageNumber"/>
      </w:rPr>
      <w:t>Acquisition of Control</w:t>
    </w:r>
    <w:r>
      <w:rPr>
        <w:rStyle w:val="PageNumber"/>
      </w:rPr>
      <w:t xml:space="preserve"> </w:t>
    </w:r>
  </w:p>
  <w:p w:rsidR="00016C9F" w:rsidRDefault="00016C9F"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016C9F" w:rsidRDefault="00366F33" w:rsidP="00366F33">
    <w:pPr>
      <w:pStyle w:val="Header"/>
      <w:rPr>
        <w:rStyle w:val="PageNumber"/>
      </w:rPr>
    </w:pPr>
    <w:proofErr w:type="spellStart"/>
    <w:r>
      <w:rPr>
        <w:rStyle w:val="PageNumber"/>
      </w:rPr>
      <w:t>I.</w:t>
    </w:r>
    <w:r w:rsidR="00304AA4">
      <w:rPr>
        <w:rStyle w:val="PageNumber"/>
      </w:rPr>
      <w:t>Abstract</w:t>
    </w:r>
    <w:proofErr w:type="spellEnd"/>
  </w:p>
  <w:p w:rsidR="00366F33" w:rsidRDefault="00366F33" w:rsidP="00366F33">
    <w:pPr>
      <w:pStyle w:val="Header"/>
      <w:ind w:left="1080"/>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AA4" w:rsidRDefault="00304AA4" w:rsidP="00237C8E">
    <w:pPr>
      <w:pStyle w:val="Header"/>
      <w:tabs>
        <w:tab w:val="clear" w:pos="8640"/>
        <w:tab w:val="right" w:pos="9360"/>
      </w:tabs>
      <w:jc w:val="center"/>
      <w:rPr>
        <w:rStyle w:val="PageNumber"/>
      </w:rPr>
    </w:pPr>
    <w:r>
      <w:t xml:space="preserve">Spectrum Medical Group </w:t>
    </w:r>
    <w:r>
      <w:tab/>
      <w:t xml:space="preserve">- </w:t>
    </w:r>
    <w:r>
      <w:rPr>
        <w:rStyle w:val="PageNumber"/>
      </w:rPr>
      <w:fldChar w:fldCharType="begin"/>
    </w:r>
    <w:r>
      <w:rPr>
        <w:rStyle w:val="PageNumber"/>
      </w:rPr>
      <w:instrText xml:space="preserve"> PAGE </w:instrText>
    </w:r>
    <w:r>
      <w:rPr>
        <w:rStyle w:val="PageNumber"/>
      </w:rPr>
      <w:fldChar w:fldCharType="separate"/>
    </w:r>
    <w:r w:rsidR="004E128A">
      <w:rPr>
        <w:rStyle w:val="PageNumber"/>
        <w:noProof/>
      </w:rPr>
      <w:t>8</w:t>
    </w:r>
    <w:r>
      <w:rPr>
        <w:rStyle w:val="PageNumber"/>
      </w:rPr>
      <w:fldChar w:fldCharType="end"/>
    </w:r>
    <w:r>
      <w:rPr>
        <w:rStyle w:val="PageNumber"/>
      </w:rPr>
      <w:t xml:space="preserve"> -</w:t>
    </w:r>
    <w:r>
      <w:rPr>
        <w:rStyle w:val="PageNumber"/>
      </w:rPr>
      <w:tab/>
      <w:t xml:space="preserve">Acquisition of Control </w:t>
    </w:r>
  </w:p>
  <w:p w:rsidR="00304AA4" w:rsidRDefault="00304AA4"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304AA4" w:rsidRDefault="00304AA4">
    <w:pPr>
      <w:pStyle w:val="Header"/>
      <w:rPr>
        <w:rStyle w:val="PageNumber"/>
      </w:rPr>
    </w:pPr>
    <w:r>
      <w:rPr>
        <w:rStyle w:val="PageNumber"/>
      </w:rPr>
      <w:t>I</w:t>
    </w:r>
    <w:r w:rsidR="00366F33">
      <w:rPr>
        <w:rStyle w:val="PageNumber"/>
      </w:rPr>
      <w:t>I</w:t>
    </w:r>
    <w:r>
      <w:rPr>
        <w:rStyle w:val="PageNumber"/>
      </w:rPr>
      <w:t xml:space="preserve">. </w:t>
    </w:r>
    <w:r w:rsidR="00366F33">
      <w:rPr>
        <w:rStyle w:val="PageNumber"/>
      </w:rPr>
      <w:t>Fit, Willing and Able</w:t>
    </w:r>
  </w:p>
  <w:p w:rsidR="00366F33" w:rsidRDefault="00366F33">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7B19D4" w:rsidP="001804AF">
    <w:pPr>
      <w:pStyle w:val="Header"/>
      <w:tabs>
        <w:tab w:val="clear" w:pos="8640"/>
        <w:tab w:val="right" w:pos="9360"/>
      </w:tabs>
      <w:jc w:val="center"/>
      <w:rPr>
        <w:rStyle w:val="PageNumber"/>
      </w:rPr>
    </w:pPr>
    <w:r>
      <w:t>Spectrum Medical Group</w:t>
    </w:r>
    <w:r w:rsidR="00016C9F">
      <w:tab/>
      <w:t xml:space="preserve">- </w:t>
    </w:r>
    <w:r w:rsidR="00016C9F">
      <w:rPr>
        <w:rStyle w:val="PageNumber"/>
      </w:rPr>
      <w:fldChar w:fldCharType="begin"/>
    </w:r>
    <w:r w:rsidR="00016C9F">
      <w:rPr>
        <w:rStyle w:val="PageNumber"/>
      </w:rPr>
      <w:instrText xml:space="preserve"> PAGE </w:instrText>
    </w:r>
    <w:r w:rsidR="00016C9F">
      <w:rPr>
        <w:rStyle w:val="PageNumber"/>
      </w:rPr>
      <w:fldChar w:fldCharType="separate"/>
    </w:r>
    <w:r w:rsidR="004E128A">
      <w:rPr>
        <w:rStyle w:val="PageNumber"/>
        <w:noProof/>
      </w:rPr>
      <w:t>11</w:t>
    </w:r>
    <w:r w:rsidR="00016C9F">
      <w:rPr>
        <w:rStyle w:val="PageNumber"/>
      </w:rPr>
      <w:fldChar w:fldCharType="end"/>
    </w:r>
    <w:r w:rsidR="00016C9F">
      <w:rPr>
        <w:rStyle w:val="PageNumber"/>
      </w:rPr>
      <w:t xml:space="preserve"> -</w:t>
    </w:r>
    <w:r w:rsidR="00016C9F">
      <w:rPr>
        <w:rStyle w:val="PageNumber"/>
      </w:rPr>
      <w:tab/>
    </w:r>
    <w:r w:rsidR="005D01C7">
      <w:rPr>
        <w:rStyle w:val="PageNumber"/>
      </w:rPr>
      <w:t>Acquisition of Control</w:t>
    </w:r>
  </w:p>
  <w:p w:rsidR="00016C9F" w:rsidRDefault="00016C9F"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016C9F" w:rsidRDefault="00016C9F" w:rsidP="008443D2">
    <w:pPr>
      <w:pStyle w:val="Header"/>
      <w:tabs>
        <w:tab w:val="clear" w:pos="8640"/>
        <w:tab w:val="right" w:pos="9360"/>
      </w:tabs>
      <w:rPr>
        <w:rStyle w:val="PageNumber"/>
        <w:bCs/>
      </w:rPr>
    </w:pPr>
    <w:r>
      <w:rPr>
        <w:rStyle w:val="PageNumber"/>
        <w:bCs/>
      </w:rPr>
      <w:t>III. Economic Feasibility</w:t>
    </w:r>
  </w:p>
  <w:p w:rsidR="00AB172C" w:rsidRDefault="00AB172C" w:rsidP="008443D2">
    <w:pPr>
      <w:pStyle w:val="Header"/>
      <w:tabs>
        <w:tab w:val="clear" w:pos="8640"/>
        <w:tab w:val="right" w:pos="9360"/>
      </w:tabs>
      <w:rPr>
        <w:rStyle w:val="PageNumber"/>
        <w:bC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rsidP="001804AF">
    <w:pPr>
      <w:pStyle w:val="Header"/>
      <w:tabs>
        <w:tab w:val="clear" w:pos="8640"/>
        <w:tab w:val="right" w:pos="9360"/>
      </w:tabs>
      <w:jc w:val="center"/>
      <w:rPr>
        <w:rStyle w:val="PageNumber"/>
      </w:rPr>
    </w:pPr>
    <w:r>
      <w:t xml:space="preserve">Eastern Maine Healthcare Systems </w:t>
    </w:r>
    <w:r>
      <w:tab/>
      <w:t xml:space="preserve">- </w:t>
    </w:r>
    <w:r>
      <w:rPr>
        <w:rStyle w:val="PageNumber"/>
      </w:rPr>
      <w:fldChar w:fldCharType="begin"/>
    </w:r>
    <w:r>
      <w:rPr>
        <w:rStyle w:val="PageNumber"/>
      </w:rPr>
      <w:instrText xml:space="preserve"> PAGE </w:instrText>
    </w:r>
    <w:r>
      <w:rPr>
        <w:rStyle w:val="PageNumber"/>
      </w:rPr>
      <w:fldChar w:fldCharType="separate"/>
    </w:r>
    <w:r w:rsidR="004E128A">
      <w:rPr>
        <w:rStyle w:val="PageNumber"/>
        <w:noProof/>
      </w:rPr>
      <w:t>14</w:t>
    </w:r>
    <w:r>
      <w:rPr>
        <w:rStyle w:val="PageNumber"/>
      </w:rPr>
      <w:fldChar w:fldCharType="end"/>
    </w:r>
    <w:r>
      <w:rPr>
        <w:rStyle w:val="PageNumber"/>
      </w:rPr>
      <w:t xml:space="preserve"> -</w:t>
    </w:r>
    <w:r>
      <w:rPr>
        <w:rStyle w:val="PageNumber"/>
      </w:rPr>
      <w:tab/>
    </w:r>
    <w:r w:rsidR="005D01C7">
      <w:rPr>
        <w:rStyle w:val="PageNumber"/>
      </w:rPr>
      <w:t>Acquisition of Control</w:t>
    </w:r>
  </w:p>
  <w:p w:rsidR="00016C9F" w:rsidRDefault="00016C9F" w:rsidP="008443D2">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0950BA" w:rsidRDefault="00016C9F" w:rsidP="0050666A">
    <w:pPr>
      <w:pStyle w:val="Header"/>
      <w:tabs>
        <w:tab w:val="clear" w:pos="8640"/>
        <w:tab w:val="right" w:pos="9360"/>
      </w:tabs>
      <w:rPr>
        <w:rStyle w:val="PageNumber"/>
        <w:bCs/>
      </w:rPr>
    </w:pPr>
    <w:r>
      <w:rPr>
        <w:rStyle w:val="PageNumber"/>
        <w:bCs/>
      </w:rPr>
      <w:t>IV. Public Need</w:t>
    </w:r>
  </w:p>
  <w:p w:rsidR="00366F33" w:rsidRPr="00055F06" w:rsidRDefault="00366F33" w:rsidP="0050666A">
    <w:pPr>
      <w:pStyle w:val="Header"/>
      <w:tabs>
        <w:tab w:val="clear" w:pos="8640"/>
        <w:tab w:val="right" w:pos="9360"/>
      </w:tabs>
      <w:rPr>
        <w:b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rsidP="001804AF">
    <w:pPr>
      <w:pStyle w:val="Header"/>
      <w:tabs>
        <w:tab w:val="clear" w:pos="8640"/>
        <w:tab w:val="right" w:pos="9360"/>
      </w:tabs>
      <w:jc w:val="center"/>
      <w:rPr>
        <w:rStyle w:val="PageNumber"/>
      </w:rPr>
    </w:pPr>
    <w:r>
      <w:t>Eastern Maine Health Services</w:t>
    </w:r>
    <w:r>
      <w:tab/>
      <w:t xml:space="preserve">- </w:t>
    </w:r>
    <w:r>
      <w:rPr>
        <w:rStyle w:val="PageNumber"/>
      </w:rPr>
      <w:fldChar w:fldCharType="begin"/>
    </w:r>
    <w:r>
      <w:rPr>
        <w:rStyle w:val="PageNumber"/>
      </w:rPr>
      <w:instrText xml:space="preserve"> PAGE </w:instrText>
    </w:r>
    <w:r>
      <w:rPr>
        <w:rStyle w:val="PageNumber"/>
      </w:rPr>
      <w:fldChar w:fldCharType="separate"/>
    </w:r>
    <w:r w:rsidR="004E128A">
      <w:rPr>
        <w:rStyle w:val="PageNumber"/>
        <w:noProof/>
      </w:rPr>
      <w:t>16</w:t>
    </w:r>
    <w:r>
      <w:rPr>
        <w:rStyle w:val="PageNumber"/>
      </w:rPr>
      <w:fldChar w:fldCharType="end"/>
    </w:r>
    <w:r>
      <w:rPr>
        <w:rStyle w:val="PageNumber"/>
      </w:rPr>
      <w:t xml:space="preserve"> -</w:t>
    </w:r>
    <w:r>
      <w:rPr>
        <w:rStyle w:val="PageNumber"/>
      </w:rPr>
      <w:tab/>
    </w:r>
    <w:r w:rsidR="005D01C7">
      <w:rPr>
        <w:rStyle w:val="PageNumber"/>
      </w:rPr>
      <w:t>Acquisition of Control</w:t>
    </w:r>
  </w:p>
  <w:p w:rsidR="00016C9F" w:rsidRDefault="00016C9F"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016C9F" w:rsidRDefault="000950BA">
    <w:pPr>
      <w:pStyle w:val="Header"/>
      <w:rPr>
        <w:rStyle w:val="PageNumber"/>
      </w:rPr>
    </w:pPr>
    <w:r>
      <w:rPr>
        <w:rStyle w:val="PageNumber"/>
      </w:rPr>
      <w:t>V</w:t>
    </w:r>
    <w:r w:rsidR="00016C9F">
      <w:rPr>
        <w:rStyle w:val="PageNumber"/>
      </w:rPr>
      <w:t xml:space="preserve">. </w:t>
    </w:r>
    <w:r>
      <w:rPr>
        <w:rStyle w:val="PageNumber"/>
      </w:rPr>
      <w:t>Orderly and Economic Development</w:t>
    </w:r>
  </w:p>
  <w:p w:rsidR="002127AD" w:rsidRDefault="002127AD">
    <w:pPr>
      <w:pStyle w:val="Header"/>
      <w:rPr>
        <w:rStyle w:val="PageNumbe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C9F" w:rsidRDefault="00016C9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CF1" w:rsidRDefault="00C45CF1" w:rsidP="001804AF">
    <w:pPr>
      <w:pStyle w:val="Header"/>
      <w:tabs>
        <w:tab w:val="clear" w:pos="8640"/>
        <w:tab w:val="right" w:pos="9360"/>
      </w:tabs>
      <w:jc w:val="center"/>
      <w:rPr>
        <w:rStyle w:val="PageNumber"/>
      </w:rPr>
    </w:pPr>
    <w:r>
      <w:t>Eastern Maine Health Services</w:t>
    </w:r>
    <w:r>
      <w:tab/>
      <w:t xml:space="preserve">- </w:t>
    </w:r>
    <w:r>
      <w:rPr>
        <w:rStyle w:val="PageNumber"/>
      </w:rPr>
      <w:fldChar w:fldCharType="begin"/>
    </w:r>
    <w:r>
      <w:rPr>
        <w:rStyle w:val="PageNumber"/>
      </w:rPr>
      <w:instrText xml:space="preserve"> PAGE </w:instrText>
    </w:r>
    <w:r>
      <w:rPr>
        <w:rStyle w:val="PageNumber"/>
      </w:rPr>
      <w:fldChar w:fldCharType="separate"/>
    </w:r>
    <w:r w:rsidR="004E128A">
      <w:rPr>
        <w:rStyle w:val="PageNumber"/>
        <w:noProof/>
      </w:rPr>
      <w:t>17</w:t>
    </w:r>
    <w:r>
      <w:rPr>
        <w:rStyle w:val="PageNumber"/>
      </w:rPr>
      <w:fldChar w:fldCharType="end"/>
    </w:r>
    <w:r>
      <w:rPr>
        <w:rStyle w:val="PageNumber"/>
      </w:rPr>
      <w:t xml:space="preserve"> -</w:t>
    </w:r>
    <w:r>
      <w:rPr>
        <w:rStyle w:val="PageNumber"/>
      </w:rPr>
      <w:tab/>
    </w:r>
    <w:r w:rsidR="005D01C7">
      <w:rPr>
        <w:rStyle w:val="PageNumber"/>
      </w:rPr>
      <w:t>Acquisition of Control</w:t>
    </w:r>
  </w:p>
  <w:p w:rsidR="00C45CF1" w:rsidRDefault="00C45CF1" w:rsidP="001804AF">
    <w:pPr>
      <w:pStyle w:val="Header"/>
      <w:tabs>
        <w:tab w:val="clear" w:pos="8640"/>
        <w:tab w:val="right" w:pos="9360"/>
      </w:tabs>
      <w:jc w:val="center"/>
      <w:rPr>
        <w:rStyle w:val="PageNumber"/>
      </w:rPr>
    </w:pPr>
    <w:r>
      <w:rPr>
        <w:rStyle w:val="PageNumber"/>
      </w:rPr>
      <w:t>Preliminary Analysis</w:t>
    </w:r>
    <w:r>
      <w:rPr>
        <w:rStyle w:val="PageNumber"/>
      </w:rPr>
      <w:tab/>
    </w:r>
    <w:r>
      <w:rPr>
        <w:rStyle w:val="PageNumber"/>
      </w:rPr>
      <w:tab/>
    </w:r>
  </w:p>
  <w:p w:rsidR="00C45CF1" w:rsidRDefault="00C45CF1">
    <w:pPr>
      <w:pStyle w:val="Header"/>
      <w:rPr>
        <w:rStyle w:val="PageNumber"/>
      </w:rPr>
    </w:pPr>
    <w:r>
      <w:rPr>
        <w:rStyle w:val="PageNumber"/>
      </w:rPr>
      <w:t>VI. Outcomes and community Impact</w:t>
    </w:r>
  </w:p>
  <w:p w:rsidR="00366F33" w:rsidRDefault="00366F33">
    <w:pPr>
      <w:pStyle w:val="Header"/>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544"/>
    <w:multiLevelType w:val="hybridMultilevel"/>
    <w:tmpl w:val="9832525A"/>
    <w:lvl w:ilvl="0" w:tplc="954E4558">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5A4019"/>
    <w:multiLevelType w:val="hybridMultilevel"/>
    <w:tmpl w:val="4FC6B7FE"/>
    <w:lvl w:ilvl="0" w:tplc="EBF24CC4">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D1D2944"/>
    <w:multiLevelType w:val="hybridMultilevel"/>
    <w:tmpl w:val="A246D914"/>
    <w:lvl w:ilvl="0" w:tplc="4F920E9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031F7"/>
    <w:multiLevelType w:val="hybridMultilevel"/>
    <w:tmpl w:val="2C62036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6C47B6"/>
    <w:multiLevelType w:val="hybridMultilevel"/>
    <w:tmpl w:val="48321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F47633"/>
    <w:multiLevelType w:val="hybridMultilevel"/>
    <w:tmpl w:val="A7108FCC"/>
    <w:lvl w:ilvl="0" w:tplc="C1068780">
      <w:start w:val="1"/>
      <w:numFmt w:val="upperLetter"/>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062988"/>
    <w:multiLevelType w:val="hybridMultilevel"/>
    <w:tmpl w:val="44ACF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E0BB8"/>
    <w:multiLevelType w:val="hybridMultilevel"/>
    <w:tmpl w:val="8EA62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8F54AF"/>
    <w:multiLevelType w:val="hybridMultilevel"/>
    <w:tmpl w:val="232CB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4F1604"/>
    <w:multiLevelType w:val="hybridMultilevel"/>
    <w:tmpl w:val="552E58DC"/>
    <w:lvl w:ilvl="0" w:tplc="56CE98D6">
      <w:start w:val="6"/>
      <w:numFmt w:val="upperRoman"/>
      <w:lvlText w:val="%1."/>
      <w:lvlJc w:val="left"/>
      <w:pPr>
        <w:ind w:left="760" w:hanging="360"/>
      </w:pPr>
      <w:rPr>
        <w:rFonts w:ascii="Times New Roman" w:hAnsi="Times New Roman" w:cs="Times New Roman"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7C66D5"/>
    <w:multiLevelType w:val="hybridMultilevel"/>
    <w:tmpl w:val="0862F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8"/>
  </w:num>
  <w:num w:numId="4">
    <w:abstractNumId w:val="5"/>
  </w:num>
  <w:num w:numId="5">
    <w:abstractNumId w:val="9"/>
  </w:num>
  <w:num w:numId="6">
    <w:abstractNumId w:val="6"/>
  </w:num>
  <w:num w:numId="7">
    <w:abstractNumId w:val="1"/>
  </w:num>
  <w:num w:numId="8">
    <w:abstractNumId w:val="2"/>
  </w:num>
  <w:num w:numId="9">
    <w:abstractNumId w:val="4"/>
  </w:num>
  <w:num w:numId="10">
    <w:abstractNumId w:val="0"/>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AF"/>
    <w:rsid w:val="000031A9"/>
    <w:rsid w:val="00003BF7"/>
    <w:rsid w:val="00003E55"/>
    <w:rsid w:val="000061C0"/>
    <w:rsid w:val="00007462"/>
    <w:rsid w:val="00010FEE"/>
    <w:rsid w:val="000116C6"/>
    <w:rsid w:val="00013754"/>
    <w:rsid w:val="00014F57"/>
    <w:rsid w:val="00016B51"/>
    <w:rsid w:val="00016C9F"/>
    <w:rsid w:val="00017870"/>
    <w:rsid w:val="000216A0"/>
    <w:rsid w:val="00024D4B"/>
    <w:rsid w:val="00026156"/>
    <w:rsid w:val="00026432"/>
    <w:rsid w:val="000306F8"/>
    <w:rsid w:val="00032533"/>
    <w:rsid w:val="000345DE"/>
    <w:rsid w:val="00034FD4"/>
    <w:rsid w:val="0003667B"/>
    <w:rsid w:val="00040D10"/>
    <w:rsid w:val="00041EBA"/>
    <w:rsid w:val="00043186"/>
    <w:rsid w:val="0004389E"/>
    <w:rsid w:val="000442EE"/>
    <w:rsid w:val="000450F3"/>
    <w:rsid w:val="00046DFB"/>
    <w:rsid w:val="00051392"/>
    <w:rsid w:val="00052A8E"/>
    <w:rsid w:val="00052C28"/>
    <w:rsid w:val="00054225"/>
    <w:rsid w:val="000544B7"/>
    <w:rsid w:val="00055047"/>
    <w:rsid w:val="0005511F"/>
    <w:rsid w:val="00055F06"/>
    <w:rsid w:val="00055F8B"/>
    <w:rsid w:val="00056D31"/>
    <w:rsid w:val="00062BF0"/>
    <w:rsid w:val="00063F10"/>
    <w:rsid w:val="000663D0"/>
    <w:rsid w:val="00075057"/>
    <w:rsid w:val="00076012"/>
    <w:rsid w:val="00076607"/>
    <w:rsid w:val="00077EEC"/>
    <w:rsid w:val="00080825"/>
    <w:rsid w:val="000854E9"/>
    <w:rsid w:val="00091B04"/>
    <w:rsid w:val="000922F1"/>
    <w:rsid w:val="00092D67"/>
    <w:rsid w:val="000930A4"/>
    <w:rsid w:val="00093328"/>
    <w:rsid w:val="00094484"/>
    <w:rsid w:val="000950BA"/>
    <w:rsid w:val="0009650B"/>
    <w:rsid w:val="000967EB"/>
    <w:rsid w:val="000968D5"/>
    <w:rsid w:val="00096B41"/>
    <w:rsid w:val="00097517"/>
    <w:rsid w:val="00097693"/>
    <w:rsid w:val="000A05E6"/>
    <w:rsid w:val="000A06C5"/>
    <w:rsid w:val="000A08C9"/>
    <w:rsid w:val="000A119F"/>
    <w:rsid w:val="000A3E3D"/>
    <w:rsid w:val="000A5118"/>
    <w:rsid w:val="000A6DC8"/>
    <w:rsid w:val="000B1DBE"/>
    <w:rsid w:val="000B3084"/>
    <w:rsid w:val="000B3361"/>
    <w:rsid w:val="000B42CF"/>
    <w:rsid w:val="000B563C"/>
    <w:rsid w:val="000B58E2"/>
    <w:rsid w:val="000B6428"/>
    <w:rsid w:val="000B6F6B"/>
    <w:rsid w:val="000C02CD"/>
    <w:rsid w:val="000C05B8"/>
    <w:rsid w:val="000C184B"/>
    <w:rsid w:val="000C4118"/>
    <w:rsid w:val="000C4CF6"/>
    <w:rsid w:val="000C5ABE"/>
    <w:rsid w:val="000C5C78"/>
    <w:rsid w:val="000C7F8B"/>
    <w:rsid w:val="000D12B4"/>
    <w:rsid w:val="000D46A5"/>
    <w:rsid w:val="000D72BF"/>
    <w:rsid w:val="000D7454"/>
    <w:rsid w:val="000D7F49"/>
    <w:rsid w:val="000E0EFF"/>
    <w:rsid w:val="000E25BD"/>
    <w:rsid w:val="000E592E"/>
    <w:rsid w:val="000E6CF3"/>
    <w:rsid w:val="000F300C"/>
    <w:rsid w:val="000F36BB"/>
    <w:rsid w:val="000F4D08"/>
    <w:rsid w:val="000F7E1C"/>
    <w:rsid w:val="000F7F2B"/>
    <w:rsid w:val="0010200A"/>
    <w:rsid w:val="00106349"/>
    <w:rsid w:val="00106DC2"/>
    <w:rsid w:val="0010762B"/>
    <w:rsid w:val="0010786D"/>
    <w:rsid w:val="00112136"/>
    <w:rsid w:val="0011216D"/>
    <w:rsid w:val="001123F4"/>
    <w:rsid w:val="001150F3"/>
    <w:rsid w:val="0011600C"/>
    <w:rsid w:val="00116289"/>
    <w:rsid w:val="0011644F"/>
    <w:rsid w:val="00117CD5"/>
    <w:rsid w:val="00120B0F"/>
    <w:rsid w:val="001212EB"/>
    <w:rsid w:val="00121C05"/>
    <w:rsid w:val="001227AD"/>
    <w:rsid w:val="001249E7"/>
    <w:rsid w:val="00125D7A"/>
    <w:rsid w:val="00126780"/>
    <w:rsid w:val="001270B3"/>
    <w:rsid w:val="00127993"/>
    <w:rsid w:val="00130ECD"/>
    <w:rsid w:val="00131744"/>
    <w:rsid w:val="001328E1"/>
    <w:rsid w:val="001342BD"/>
    <w:rsid w:val="00136B46"/>
    <w:rsid w:val="0013773E"/>
    <w:rsid w:val="001411A8"/>
    <w:rsid w:val="00141379"/>
    <w:rsid w:val="00141856"/>
    <w:rsid w:val="0014286D"/>
    <w:rsid w:val="00142AF5"/>
    <w:rsid w:val="001437E4"/>
    <w:rsid w:val="00143889"/>
    <w:rsid w:val="001452EE"/>
    <w:rsid w:val="001453D0"/>
    <w:rsid w:val="00147374"/>
    <w:rsid w:val="0014742E"/>
    <w:rsid w:val="00150ABE"/>
    <w:rsid w:val="00150C76"/>
    <w:rsid w:val="00154A8B"/>
    <w:rsid w:val="001552DF"/>
    <w:rsid w:val="001606CA"/>
    <w:rsid w:val="00161043"/>
    <w:rsid w:val="0016323D"/>
    <w:rsid w:val="00163C16"/>
    <w:rsid w:val="00164035"/>
    <w:rsid w:val="0016455F"/>
    <w:rsid w:val="00164DC7"/>
    <w:rsid w:val="00170A22"/>
    <w:rsid w:val="00171EA8"/>
    <w:rsid w:val="00172171"/>
    <w:rsid w:val="00172B2C"/>
    <w:rsid w:val="00174B5C"/>
    <w:rsid w:val="00175A6C"/>
    <w:rsid w:val="0018003F"/>
    <w:rsid w:val="001804AF"/>
    <w:rsid w:val="001819BD"/>
    <w:rsid w:val="00181BCF"/>
    <w:rsid w:val="001823ED"/>
    <w:rsid w:val="00182C85"/>
    <w:rsid w:val="00182C8B"/>
    <w:rsid w:val="00185184"/>
    <w:rsid w:val="001870AC"/>
    <w:rsid w:val="0018741D"/>
    <w:rsid w:val="00187F19"/>
    <w:rsid w:val="00192F8A"/>
    <w:rsid w:val="001940E3"/>
    <w:rsid w:val="00194135"/>
    <w:rsid w:val="001A0ED7"/>
    <w:rsid w:val="001A110A"/>
    <w:rsid w:val="001A2774"/>
    <w:rsid w:val="001A3904"/>
    <w:rsid w:val="001A5864"/>
    <w:rsid w:val="001A733F"/>
    <w:rsid w:val="001A734E"/>
    <w:rsid w:val="001B0B14"/>
    <w:rsid w:val="001B1B91"/>
    <w:rsid w:val="001B5D94"/>
    <w:rsid w:val="001B6517"/>
    <w:rsid w:val="001B68F2"/>
    <w:rsid w:val="001B735B"/>
    <w:rsid w:val="001B7F40"/>
    <w:rsid w:val="001C1832"/>
    <w:rsid w:val="001C19A4"/>
    <w:rsid w:val="001C26FE"/>
    <w:rsid w:val="001C4A51"/>
    <w:rsid w:val="001C51C6"/>
    <w:rsid w:val="001C542F"/>
    <w:rsid w:val="001C6B41"/>
    <w:rsid w:val="001C713E"/>
    <w:rsid w:val="001D0296"/>
    <w:rsid w:val="001D36E5"/>
    <w:rsid w:val="001D3C46"/>
    <w:rsid w:val="001D3FC9"/>
    <w:rsid w:val="001D6399"/>
    <w:rsid w:val="001D679E"/>
    <w:rsid w:val="001D6D33"/>
    <w:rsid w:val="001E00BD"/>
    <w:rsid w:val="001E269A"/>
    <w:rsid w:val="001E3A4E"/>
    <w:rsid w:val="001E594F"/>
    <w:rsid w:val="001E6BFB"/>
    <w:rsid w:val="001E7C49"/>
    <w:rsid w:val="001F067B"/>
    <w:rsid w:val="001F215C"/>
    <w:rsid w:val="001F4319"/>
    <w:rsid w:val="001F4990"/>
    <w:rsid w:val="001F58AF"/>
    <w:rsid w:val="001F5BCA"/>
    <w:rsid w:val="001F5D04"/>
    <w:rsid w:val="001F5D2A"/>
    <w:rsid w:val="00200076"/>
    <w:rsid w:val="002003C8"/>
    <w:rsid w:val="00200D4B"/>
    <w:rsid w:val="00201FC4"/>
    <w:rsid w:val="00202E71"/>
    <w:rsid w:val="00204F50"/>
    <w:rsid w:val="0020536F"/>
    <w:rsid w:val="00205E08"/>
    <w:rsid w:val="00206984"/>
    <w:rsid w:val="00210E23"/>
    <w:rsid w:val="002127AD"/>
    <w:rsid w:val="00212F87"/>
    <w:rsid w:val="00214036"/>
    <w:rsid w:val="002147A0"/>
    <w:rsid w:val="00214F84"/>
    <w:rsid w:val="00215D54"/>
    <w:rsid w:val="00215D9F"/>
    <w:rsid w:val="00216329"/>
    <w:rsid w:val="00216F07"/>
    <w:rsid w:val="0022060C"/>
    <w:rsid w:val="0022100D"/>
    <w:rsid w:val="0022146F"/>
    <w:rsid w:val="00222352"/>
    <w:rsid w:val="00222A11"/>
    <w:rsid w:val="00224144"/>
    <w:rsid w:val="00224366"/>
    <w:rsid w:val="002256D6"/>
    <w:rsid w:val="00225DC6"/>
    <w:rsid w:val="00227CB8"/>
    <w:rsid w:val="0023013F"/>
    <w:rsid w:val="0023123B"/>
    <w:rsid w:val="00232440"/>
    <w:rsid w:val="00235199"/>
    <w:rsid w:val="00235FA9"/>
    <w:rsid w:val="002369A8"/>
    <w:rsid w:val="00237C8E"/>
    <w:rsid w:val="00237E17"/>
    <w:rsid w:val="00240513"/>
    <w:rsid w:val="00240843"/>
    <w:rsid w:val="00241573"/>
    <w:rsid w:val="00244346"/>
    <w:rsid w:val="00245CA8"/>
    <w:rsid w:val="00247F3D"/>
    <w:rsid w:val="00250263"/>
    <w:rsid w:val="00251E25"/>
    <w:rsid w:val="00251F13"/>
    <w:rsid w:val="00251F6D"/>
    <w:rsid w:val="002525B6"/>
    <w:rsid w:val="00252E7D"/>
    <w:rsid w:val="00253CD1"/>
    <w:rsid w:val="00255BCA"/>
    <w:rsid w:val="0025717C"/>
    <w:rsid w:val="0025743F"/>
    <w:rsid w:val="00257FA4"/>
    <w:rsid w:val="00262CC3"/>
    <w:rsid w:val="00262F87"/>
    <w:rsid w:val="0026409A"/>
    <w:rsid w:val="00265AE1"/>
    <w:rsid w:val="00270C8C"/>
    <w:rsid w:val="00272AEC"/>
    <w:rsid w:val="00272BAF"/>
    <w:rsid w:val="002732A7"/>
    <w:rsid w:val="00273E81"/>
    <w:rsid w:val="00274534"/>
    <w:rsid w:val="00274A23"/>
    <w:rsid w:val="00277DBF"/>
    <w:rsid w:val="002823F9"/>
    <w:rsid w:val="00283D65"/>
    <w:rsid w:val="00283DC2"/>
    <w:rsid w:val="0028523A"/>
    <w:rsid w:val="0028763E"/>
    <w:rsid w:val="00287742"/>
    <w:rsid w:val="002935BF"/>
    <w:rsid w:val="00293647"/>
    <w:rsid w:val="002940A8"/>
    <w:rsid w:val="00294CE5"/>
    <w:rsid w:val="00294DEC"/>
    <w:rsid w:val="0029625C"/>
    <w:rsid w:val="0029675D"/>
    <w:rsid w:val="002975E4"/>
    <w:rsid w:val="002A0E6B"/>
    <w:rsid w:val="002A14EA"/>
    <w:rsid w:val="002A5230"/>
    <w:rsid w:val="002A5A03"/>
    <w:rsid w:val="002B0D72"/>
    <w:rsid w:val="002B0F12"/>
    <w:rsid w:val="002B386A"/>
    <w:rsid w:val="002B6542"/>
    <w:rsid w:val="002C009E"/>
    <w:rsid w:val="002C043C"/>
    <w:rsid w:val="002C2225"/>
    <w:rsid w:val="002C3EE6"/>
    <w:rsid w:val="002C52F0"/>
    <w:rsid w:val="002C781C"/>
    <w:rsid w:val="002C7BD1"/>
    <w:rsid w:val="002D457E"/>
    <w:rsid w:val="002D4697"/>
    <w:rsid w:val="002D5814"/>
    <w:rsid w:val="002D5FB7"/>
    <w:rsid w:val="002D6538"/>
    <w:rsid w:val="002E0E08"/>
    <w:rsid w:val="002E1EB3"/>
    <w:rsid w:val="002E3098"/>
    <w:rsid w:val="002E5AD7"/>
    <w:rsid w:val="002E5DFF"/>
    <w:rsid w:val="002F1A23"/>
    <w:rsid w:val="002F33D5"/>
    <w:rsid w:val="002F5D5D"/>
    <w:rsid w:val="002F6027"/>
    <w:rsid w:val="002F661F"/>
    <w:rsid w:val="002F77AA"/>
    <w:rsid w:val="0030245A"/>
    <w:rsid w:val="003024F1"/>
    <w:rsid w:val="00302ACF"/>
    <w:rsid w:val="0030387C"/>
    <w:rsid w:val="00303ACB"/>
    <w:rsid w:val="00304AA4"/>
    <w:rsid w:val="00304C0B"/>
    <w:rsid w:val="0030620E"/>
    <w:rsid w:val="0030621E"/>
    <w:rsid w:val="00307410"/>
    <w:rsid w:val="00312E0E"/>
    <w:rsid w:val="003147E9"/>
    <w:rsid w:val="00316135"/>
    <w:rsid w:val="00321025"/>
    <w:rsid w:val="00321A8A"/>
    <w:rsid w:val="00322A3A"/>
    <w:rsid w:val="00323EF1"/>
    <w:rsid w:val="00324685"/>
    <w:rsid w:val="003246BB"/>
    <w:rsid w:val="00324ADA"/>
    <w:rsid w:val="0032609B"/>
    <w:rsid w:val="003268FA"/>
    <w:rsid w:val="003302F0"/>
    <w:rsid w:val="0033322B"/>
    <w:rsid w:val="0033470C"/>
    <w:rsid w:val="00334745"/>
    <w:rsid w:val="003408B2"/>
    <w:rsid w:val="003411E0"/>
    <w:rsid w:val="00342ECC"/>
    <w:rsid w:val="00343D2F"/>
    <w:rsid w:val="00344554"/>
    <w:rsid w:val="003459C9"/>
    <w:rsid w:val="00346582"/>
    <w:rsid w:val="003501B0"/>
    <w:rsid w:val="00350211"/>
    <w:rsid w:val="003510E9"/>
    <w:rsid w:val="00352154"/>
    <w:rsid w:val="00355C3F"/>
    <w:rsid w:val="0035626B"/>
    <w:rsid w:val="00356D91"/>
    <w:rsid w:val="00356E63"/>
    <w:rsid w:val="00357C0E"/>
    <w:rsid w:val="00357D07"/>
    <w:rsid w:val="00362413"/>
    <w:rsid w:val="0036310C"/>
    <w:rsid w:val="003652E8"/>
    <w:rsid w:val="00365CA2"/>
    <w:rsid w:val="00366F33"/>
    <w:rsid w:val="00367D55"/>
    <w:rsid w:val="00370E86"/>
    <w:rsid w:val="003722CC"/>
    <w:rsid w:val="00373C6C"/>
    <w:rsid w:val="00373DE7"/>
    <w:rsid w:val="0037690B"/>
    <w:rsid w:val="00377656"/>
    <w:rsid w:val="00383BFF"/>
    <w:rsid w:val="00384353"/>
    <w:rsid w:val="00384A6A"/>
    <w:rsid w:val="00384E81"/>
    <w:rsid w:val="003854EC"/>
    <w:rsid w:val="0038597B"/>
    <w:rsid w:val="00387E7D"/>
    <w:rsid w:val="00390593"/>
    <w:rsid w:val="00390AA5"/>
    <w:rsid w:val="0039108A"/>
    <w:rsid w:val="00391987"/>
    <w:rsid w:val="003924D2"/>
    <w:rsid w:val="003926EA"/>
    <w:rsid w:val="00393402"/>
    <w:rsid w:val="003978F8"/>
    <w:rsid w:val="003A0128"/>
    <w:rsid w:val="003A0242"/>
    <w:rsid w:val="003A05A4"/>
    <w:rsid w:val="003A1445"/>
    <w:rsid w:val="003A20AA"/>
    <w:rsid w:val="003A3B6D"/>
    <w:rsid w:val="003A3D98"/>
    <w:rsid w:val="003A46C9"/>
    <w:rsid w:val="003A46E0"/>
    <w:rsid w:val="003A4DEC"/>
    <w:rsid w:val="003A78AD"/>
    <w:rsid w:val="003A78B1"/>
    <w:rsid w:val="003B05CA"/>
    <w:rsid w:val="003B3E8A"/>
    <w:rsid w:val="003B4649"/>
    <w:rsid w:val="003B5350"/>
    <w:rsid w:val="003B6079"/>
    <w:rsid w:val="003C4CD4"/>
    <w:rsid w:val="003D0405"/>
    <w:rsid w:val="003D0B5D"/>
    <w:rsid w:val="003D0BDE"/>
    <w:rsid w:val="003D2FEF"/>
    <w:rsid w:val="003D37F4"/>
    <w:rsid w:val="003E2C49"/>
    <w:rsid w:val="003E38CB"/>
    <w:rsid w:val="003E5114"/>
    <w:rsid w:val="003E6426"/>
    <w:rsid w:val="003E70FD"/>
    <w:rsid w:val="003E752C"/>
    <w:rsid w:val="003E77E1"/>
    <w:rsid w:val="00400BCE"/>
    <w:rsid w:val="00400EB6"/>
    <w:rsid w:val="004031B9"/>
    <w:rsid w:val="00403EEC"/>
    <w:rsid w:val="00405177"/>
    <w:rsid w:val="004059D4"/>
    <w:rsid w:val="00405B9A"/>
    <w:rsid w:val="00405C51"/>
    <w:rsid w:val="004101FC"/>
    <w:rsid w:val="00411AD9"/>
    <w:rsid w:val="00412913"/>
    <w:rsid w:val="00412BA8"/>
    <w:rsid w:val="00414541"/>
    <w:rsid w:val="004156B1"/>
    <w:rsid w:val="00415E79"/>
    <w:rsid w:val="00417574"/>
    <w:rsid w:val="00417581"/>
    <w:rsid w:val="00417C0F"/>
    <w:rsid w:val="004207F6"/>
    <w:rsid w:val="0042197C"/>
    <w:rsid w:val="00422811"/>
    <w:rsid w:val="00422851"/>
    <w:rsid w:val="0042287D"/>
    <w:rsid w:val="00422A34"/>
    <w:rsid w:val="00422A73"/>
    <w:rsid w:val="00422D24"/>
    <w:rsid w:val="00424A03"/>
    <w:rsid w:val="00426B2E"/>
    <w:rsid w:val="004309AB"/>
    <w:rsid w:val="00432B35"/>
    <w:rsid w:val="0043347D"/>
    <w:rsid w:val="004336AF"/>
    <w:rsid w:val="00433E65"/>
    <w:rsid w:val="00434034"/>
    <w:rsid w:val="00436EAE"/>
    <w:rsid w:val="00443665"/>
    <w:rsid w:val="00443D73"/>
    <w:rsid w:val="0044452F"/>
    <w:rsid w:val="00445BCD"/>
    <w:rsid w:val="00446CB8"/>
    <w:rsid w:val="00450E6A"/>
    <w:rsid w:val="004538B0"/>
    <w:rsid w:val="00453D27"/>
    <w:rsid w:val="00454D6D"/>
    <w:rsid w:val="00454F4F"/>
    <w:rsid w:val="00455C8C"/>
    <w:rsid w:val="004620A5"/>
    <w:rsid w:val="004629A6"/>
    <w:rsid w:val="00462DC2"/>
    <w:rsid w:val="00464ABC"/>
    <w:rsid w:val="00466BD1"/>
    <w:rsid w:val="00466DB7"/>
    <w:rsid w:val="00467E95"/>
    <w:rsid w:val="00470BB4"/>
    <w:rsid w:val="00470D26"/>
    <w:rsid w:val="004714B7"/>
    <w:rsid w:val="004716E9"/>
    <w:rsid w:val="00471ED5"/>
    <w:rsid w:val="004724E3"/>
    <w:rsid w:val="004737C1"/>
    <w:rsid w:val="00473C74"/>
    <w:rsid w:val="00477B8C"/>
    <w:rsid w:val="00481886"/>
    <w:rsid w:val="00482953"/>
    <w:rsid w:val="004829F3"/>
    <w:rsid w:val="004831B1"/>
    <w:rsid w:val="00484B28"/>
    <w:rsid w:val="00485C0B"/>
    <w:rsid w:val="00485F47"/>
    <w:rsid w:val="00486846"/>
    <w:rsid w:val="00486FB7"/>
    <w:rsid w:val="004910F8"/>
    <w:rsid w:val="0049342F"/>
    <w:rsid w:val="00493A8E"/>
    <w:rsid w:val="00493C32"/>
    <w:rsid w:val="00493D42"/>
    <w:rsid w:val="00496406"/>
    <w:rsid w:val="00496A5F"/>
    <w:rsid w:val="00496DFB"/>
    <w:rsid w:val="004978D4"/>
    <w:rsid w:val="00497B4D"/>
    <w:rsid w:val="004A0E8A"/>
    <w:rsid w:val="004A3E6A"/>
    <w:rsid w:val="004A4A78"/>
    <w:rsid w:val="004A514C"/>
    <w:rsid w:val="004A51DE"/>
    <w:rsid w:val="004A61ED"/>
    <w:rsid w:val="004A6F55"/>
    <w:rsid w:val="004A75E9"/>
    <w:rsid w:val="004A7E6A"/>
    <w:rsid w:val="004A7EE1"/>
    <w:rsid w:val="004B1D7A"/>
    <w:rsid w:val="004B4477"/>
    <w:rsid w:val="004B6C79"/>
    <w:rsid w:val="004C001C"/>
    <w:rsid w:val="004C0CCA"/>
    <w:rsid w:val="004C1992"/>
    <w:rsid w:val="004C1C4C"/>
    <w:rsid w:val="004C23CD"/>
    <w:rsid w:val="004C528F"/>
    <w:rsid w:val="004C5345"/>
    <w:rsid w:val="004C66F2"/>
    <w:rsid w:val="004C7120"/>
    <w:rsid w:val="004C76C5"/>
    <w:rsid w:val="004D00D7"/>
    <w:rsid w:val="004D131C"/>
    <w:rsid w:val="004D4509"/>
    <w:rsid w:val="004D56CF"/>
    <w:rsid w:val="004E128A"/>
    <w:rsid w:val="004E144B"/>
    <w:rsid w:val="004E557C"/>
    <w:rsid w:val="004E6C2B"/>
    <w:rsid w:val="004E75C9"/>
    <w:rsid w:val="004E7E23"/>
    <w:rsid w:val="004E7E4E"/>
    <w:rsid w:val="004F0984"/>
    <w:rsid w:val="004F3144"/>
    <w:rsid w:val="004F437E"/>
    <w:rsid w:val="004F572D"/>
    <w:rsid w:val="004F70B3"/>
    <w:rsid w:val="005002F7"/>
    <w:rsid w:val="005053E9"/>
    <w:rsid w:val="005065B7"/>
    <w:rsid w:val="0050666A"/>
    <w:rsid w:val="00507012"/>
    <w:rsid w:val="005113CE"/>
    <w:rsid w:val="0051353A"/>
    <w:rsid w:val="00514533"/>
    <w:rsid w:val="00514E5D"/>
    <w:rsid w:val="00515839"/>
    <w:rsid w:val="00516852"/>
    <w:rsid w:val="00517B0E"/>
    <w:rsid w:val="00522FB3"/>
    <w:rsid w:val="0052500F"/>
    <w:rsid w:val="005254F4"/>
    <w:rsid w:val="00525A8F"/>
    <w:rsid w:val="00525CAF"/>
    <w:rsid w:val="00526BA7"/>
    <w:rsid w:val="005310F8"/>
    <w:rsid w:val="005336AB"/>
    <w:rsid w:val="00533CA8"/>
    <w:rsid w:val="00536B68"/>
    <w:rsid w:val="00537310"/>
    <w:rsid w:val="005374A7"/>
    <w:rsid w:val="0054109B"/>
    <w:rsid w:val="0054246B"/>
    <w:rsid w:val="00543BF7"/>
    <w:rsid w:val="005443BB"/>
    <w:rsid w:val="005448AB"/>
    <w:rsid w:val="00545C02"/>
    <w:rsid w:val="00545F60"/>
    <w:rsid w:val="00546D6B"/>
    <w:rsid w:val="00547A95"/>
    <w:rsid w:val="0055003B"/>
    <w:rsid w:val="0055033E"/>
    <w:rsid w:val="00554379"/>
    <w:rsid w:val="00556339"/>
    <w:rsid w:val="00557E75"/>
    <w:rsid w:val="00565660"/>
    <w:rsid w:val="005674C7"/>
    <w:rsid w:val="00570073"/>
    <w:rsid w:val="00570D1C"/>
    <w:rsid w:val="00572647"/>
    <w:rsid w:val="005763E5"/>
    <w:rsid w:val="00580248"/>
    <w:rsid w:val="005803BC"/>
    <w:rsid w:val="00581402"/>
    <w:rsid w:val="0058157C"/>
    <w:rsid w:val="00581C66"/>
    <w:rsid w:val="00582633"/>
    <w:rsid w:val="005831C2"/>
    <w:rsid w:val="00583354"/>
    <w:rsid w:val="0058458C"/>
    <w:rsid w:val="005856BA"/>
    <w:rsid w:val="005869BA"/>
    <w:rsid w:val="00587ABC"/>
    <w:rsid w:val="00587E8E"/>
    <w:rsid w:val="005908F8"/>
    <w:rsid w:val="0059151F"/>
    <w:rsid w:val="00594AFE"/>
    <w:rsid w:val="00595692"/>
    <w:rsid w:val="00595EC7"/>
    <w:rsid w:val="005960C8"/>
    <w:rsid w:val="0059618E"/>
    <w:rsid w:val="00596425"/>
    <w:rsid w:val="005A018C"/>
    <w:rsid w:val="005A08CC"/>
    <w:rsid w:val="005A1124"/>
    <w:rsid w:val="005A160B"/>
    <w:rsid w:val="005A5C6F"/>
    <w:rsid w:val="005B0AD7"/>
    <w:rsid w:val="005B2A5D"/>
    <w:rsid w:val="005B32EF"/>
    <w:rsid w:val="005B3F7D"/>
    <w:rsid w:val="005B40DC"/>
    <w:rsid w:val="005B415A"/>
    <w:rsid w:val="005B4607"/>
    <w:rsid w:val="005B5848"/>
    <w:rsid w:val="005B7BDC"/>
    <w:rsid w:val="005C0CE5"/>
    <w:rsid w:val="005C2E1F"/>
    <w:rsid w:val="005C3008"/>
    <w:rsid w:val="005C36C7"/>
    <w:rsid w:val="005C51D7"/>
    <w:rsid w:val="005C52DD"/>
    <w:rsid w:val="005C64DE"/>
    <w:rsid w:val="005D01C7"/>
    <w:rsid w:val="005D037C"/>
    <w:rsid w:val="005D039B"/>
    <w:rsid w:val="005D0577"/>
    <w:rsid w:val="005D1235"/>
    <w:rsid w:val="005D14D0"/>
    <w:rsid w:val="005D242D"/>
    <w:rsid w:val="005D51EE"/>
    <w:rsid w:val="005D59FA"/>
    <w:rsid w:val="005D7BDB"/>
    <w:rsid w:val="005D7C35"/>
    <w:rsid w:val="005D7ED4"/>
    <w:rsid w:val="005E0B2E"/>
    <w:rsid w:val="005E4370"/>
    <w:rsid w:val="005E4AEE"/>
    <w:rsid w:val="005E5A17"/>
    <w:rsid w:val="005E616C"/>
    <w:rsid w:val="005E777C"/>
    <w:rsid w:val="005F08A2"/>
    <w:rsid w:val="005F4823"/>
    <w:rsid w:val="005F4E46"/>
    <w:rsid w:val="005F72A2"/>
    <w:rsid w:val="005F755E"/>
    <w:rsid w:val="005F7C00"/>
    <w:rsid w:val="00600191"/>
    <w:rsid w:val="00602FAD"/>
    <w:rsid w:val="00603019"/>
    <w:rsid w:val="00603422"/>
    <w:rsid w:val="00606EE1"/>
    <w:rsid w:val="006072C7"/>
    <w:rsid w:val="0060753C"/>
    <w:rsid w:val="00612038"/>
    <w:rsid w:val="006124A5"/>
    <w:rsid w:val="00613911"/>
    <w:rsid w:val="006161BE"/>
    <w:rsid w:val="00616524"/>
    <w:rsid w:val="0061709D"/>
    <w:rsid w:val="00620D87"/>
    <w:rsid w:val="00622589"/>
    <w:rsid w:val="0062269C"/>
    <w:rsid w:val="0062301C"/>
    <w:rsid w:val="00623CD3"/>
    <w:rsid w:val="006240CC"/>
    <w:rsid w:val="00624863"/>
    <w:rsid w:val="00625A1A"/>
    <w:rsid w:val="00625D27"/>
    <w:rsid w:val="00626BF9"/>
    <w:rsid w:val="0063032C"/>
    <w:rsid w:val="0063128A"/>
    <w:rsid w:val="00631E0E"/>
    <w:rsid w:val="00633545"/>
    <w:rsid w:val="0063491C"/>
    <w:rsid w:val="00635733"/>
    <w:rsid w:val="00636366"/>
    <w:rsid w:val="00641162"/>
    <w:rsid w:val="00643903"/>
    <w:rsid w:val="00643E72"/>
    <w:rsid w:val="006444D4"/>
    <w:rsid w:val="006449D0"/>
    <w:rsid w:val="006452A3"/>
    <w:rsid w:val="00645CFF"/>
    <w:rsid w:val="006464FA"/>
    <w:rsid w:val="00647078"/>
    <w:rsid w:val="00647EA2"/>
    <w:rsid w:val="006504B0"/>
    <w:rsid w:val="00650A78"/>
    <w:rsid w:val="0065225D"/>
    <w:rsid w:val="00653F10"/>
    <w:rsid w:val="006540F0"/>
    <w:rsid w:val="006601BA"/>
    <w:rsid w:val="00664296"/>
    <w:rsid w:val="0066473B"/>
    <w:rsid w:val="00665580"/>
    <w:rsid w:val="006660DB"/>
    <w:rsid w:val="00666133"/>
    <w:rsid w:val="0066625B"/>
    <w:rsid w:val="00670787"/>
    <w:rsid w:val="00673875"/>
    <w:rsid w:val="00673FCA"/>
    <w:rsid w:val="006760E7"/>
    <w:rsid w:val="00676100"/>
    <w:rsid w:val="0067753E"/>
    <w:rsid w:val="00681FA3"/>
    <w:rsid w:val="0068589B"/>
    <w:rsid w:val="00686EAF"/>
    <w:rsid w:val="00687C41"/>
    <w:rsid w:val="00691CD5"/>
    <w:rsid w:val="00692E8C"/>
    <w:rsid w:val="006933FD"/>
    <w:rsid w:val="006934F7"/>
    <w:rsid w:val="00696788"/>
    <w:rsid w:val="00697607"/>
    <w:rsid w:val="006A01C9"/>
    <w:rsid w:val="006A0F9E"/>
    <w:rsid w:val="006A183C"/>
    <w:rsid w:val="006A3DC8"/>
    <w:rsid w:val="006A4BF6"/>
    <w:rsid w:val="006A5D8F"/>
    <w:rsid w:val="006A7E7E"/>
    <w:rsid w:val="006B05A3"/>
    <w:rsid w:val="006B13F0"/>
    <w:rsid w:val="006B5B2D"/>
    <w:rsid w:val="006B65EC"/>
    <w:rsid w:val="006B6A9D"/>
    <w:rsid w:val="006B6C2B"/>
    <w:rsid w:val="006B7755"/>
    <w:rsid w:val="006C0096"/>
    <w:rsid w:val="006C1047"/>
    <w:rsid w:val="006C1D7E"/>
    <w:rsid w:val="006C4DDA"/>
    <w:rsid w:val="006C5201"/>
    <w:rsid w:val="006C5605"/>
    <w:rsid w:val="006C5B9E"/>
    <w:rsid w:val="006C6B24"/>
    <w:rsid w:val="006C7ABE"/>
    <w:rsid w:val="006D1170"/>
    <w:rsid w:val="006D25C9"/>
    <w:rsid w:val="006E0920"/>
    <w:rsid w:val="006E09B1"/>
    <w:rsid w:val="006E0A55"/>
    <w:rsid w:val="006E1749"/>
    <w:rsid w:val="006E1950"/>
    <w:rsid w:val="006E19D4"/>
    <w:rsid w:val="006E270A"/>
    <w:rsid w:val="006E2953"/>
    <w:rsid w:val="006E3A71"/>
    <w:rsid w:val="006E44C3"/>
    <w:rsid w:val="006E54E7"/>
    <w:rsid w:val="006F3282"/>
    <w:rsid w:val="006F4190"/>
    <w:rsid w:val="006F4CBE"/>
    <w:rsid w:val="006F4F1D"/>
    <w:rsid w:val="006F6D08"/>
    <w:rsid w:val="006F6FC8"/>
    <w:rsid w:val="006F702A"/>
    <w:rsid w:val="007006EA"/>
    <w:rsid w:val="00701F98"/>
    <w:rsid w:val="007029EC"/>
    <w:rsid w:val="00702C1D"/>
    <w:rsid w:val="00705791"/>
    <w:rsid w:val="007076E3"/>
    <w:rsid w:val="007125EA"/>
    <w:rsid w:val="00712749"/>
    <w:rsid w:val="0071377B"/>
    <w:rsid w:val="007212C3"/>
    <w:rsid w:val="00722332"/>
    <w:rsid w:val="0072436B"/>
    <w:rsid w:val="007268EE"/>
    <w:rsid w:val="00726ADD"/>
    <w:rsid w:val="0072715F"/>
    <w:rsid w:val="00731A9C"/>
    <w:rsid w:val="00731B0B"/>
    <w:rsid w:val="0073204E"/>
    <w:rsid w:val="007322BA"/>
    <w:rsid w:val="00732394"/>
    <w:rsid w:val="00732C06"/>
    <w:rsid w:val="00734271"/>
    <w:rsid w:val="007349F3"/>
    <w:rsid w:val="00734A6A"/>
    <w:rsid w:val="0073749A"/>
    <w:rsid w:val="00740F85"/>
    <w:rsid w:val="007415AB"/>
    <w:rsid w:val="00743249"/>
    <w:rsid w:val="007454A8"/>
    <w:rsid w:val="00745F7A"/>
    <w:rsid w:val="00747ABC"/>
    <w:rsid w:val="007501A0"/>
    <w:rsid w:val="007501F7"/>
    <w:rsid w:val="007538E7"/>
    <w:rsid w:val="0075404F"/>
    <w:rsid w:val="007560B5"/>
    <w:rsid w:val="00760809"/>
    <w:rsid w:val="00760BC8"/>
    <w:rsid w:val="0076162B"/>
    <w:rsid w:val="00761D9C"/>
    <w:rsid w:val="00761F4F"/>
    <w:rsid w:val="00762DF3"/>
    <w:rsid w:val="007635E4"/>
    <w:rsid w:val="00763A02"/>
    <w:rsid w:val="00765327"/>
    <w:rsid w:val="007663E0"/>
    <w:rsid w:val="007713B7"/>
    <w:rsid w:val="0077175C"/>
    <w:rsid w:val="00772383"/>
    <w:rsid w:val="00772D96"/>
    <w:rsid w:val="00774EA2"/>
    <w:rsid w:val="00775382"/>
    <w:rsid w:val="00775D0E"/>
    <w:rsid w:val="00776842"/>
    <w:rsid w:val="00777CCA"/>
    <w:rsid w:val="00780506"/>
    <w:rsid w:val="00780933"/>
    <w:rsid w:val="00782728"/>
    <w:rsid w:val="007828D5"/>
    <w:rsid w:val="007837C5"/>
    <w:rsid w:val="00783BBE"/>
    <w:rsid w:val="00791831"/>
    <w:rsid w:val="00794425"/>
    <w:rsid w:val="0079485C"/>
    <w:rsid w:val="0079511C"/>
    <w:rsid w:val="00797D9C"/>
    <w:rsid w:val="007A2119"/>
    <w:rsid w:val="007A251C"/>
    <w:rsid w:val="007A4501"/>
    <w:rsid w:val="007A50B0"/>
    <w:rsid w:val="007A585E"/>
    <w:rsid w:val="007B1216"/>
    <w:rsid w:val="007B19D4"/>
    <w:rsid w:val="007B1D8B"/>
    <w:rsid w:val="007B2903"/>
    <w:rsid w:val="007B4559"/>
    <w:rsid w:val="007B4E9C"/>
    <w:rsid w:val="007B524C"/>
    <w:rsid w:val="007B6752"/>
    <w:rsid w:val="007B7B5F"/>
    <w:rsid w:val="007C35A0"/>
    <w:rsid w:val="007C78B1"/>
    <w:rsid w:val="007D0A8D"/>
    <w:rsid w:val="007D1B80"/>
    <w:rsid w:val="007D30C8"/>
    <w:rsid w:val="007D3B0F"/>
    <w:rsid w:val="007D4502"/>
    <w:rsid w:val="007D45A7"/>
    <w:rsid w:val="007D6549"/>
    <w:rsid w:val="007D6C3C"/>
    <w:rsid w:val="007E07EB"/>
    <w:rsid w:val="007E17B2"/>
    <w:rsid w:val="007E220F"/>
    <w:rsid w:val="007E4451"/>
    <w:rsid w:val="007E58B4"/>
    <w:rsid w:val="007F022E"/>
    <w:rsid w:val="007F092F"/>
    <w:rsid w:val="007F27B7"/>
    <w:rsid w:val="007F2D35"/>
    <w:rsid w:val="007F2D68"/>
    <w:rsid w:val="007F3CC9"/>
    <w:rsid w:val="007F4CBE"/>
    <w:rsid w:val="007F6924"/>
    <w:rsid w:val="007F7BFC"/>
    <w:rsid w:val="00806AB0"/>
    <w:rsid w:val="008072BB"/>
    <w:rsid w:val="0080754C"/>
    <w:rsid w:val="00807870"/>
    <w:rsid w:val="00810FE1"/>
    <w:rsid w:val="00811D62"/>
    <w:rsid w:val="00813635"/>
    <w:rsid w:val="00816CFD"/>
    <w:rsid w:val="008177DF"/>
    <w:rsid w:val="00821AC2"/>
    <w:rsid w:val="00821B04"/>
    <w:rsid w:val="00821B4B"/>
    <w:rsid w:val="00822762"/>
    <w:rsid w:val="00822BDF"/>
    <w:rsid w:val="00823C8D"/>
    <w:rsid w:val="0082500C"/>
    <w:rsid w:val="00826054"/>
    <w:rsid w:val="00827134"/>
    <w:rsid w:val="00827364"/>
    <w:rsid w:val="0082794E"/>
    <w:rsid w:val="0083113A"/>
    <w:rsid w:val="008317A6"/>
    <w:rsid w:val="008330C1"/>
    <w:rsid w:val="00833C8B"/>
    <w:rsid w:val="00833F0F"/>
    <w:rsid w:val="00834892"/>
    <w:rsid w:val="00834CD3"/>
    <w:rsid w:val="00836541"/>
    <w:rsid w:val="00836E57"/>
    <w:rsid w:val="00837AEA"/>
    <w:rsid w:val="008406D5"/>
    <w:rsid w:val="00842E87"/>
    <w:rsid w:val="00842EBD"/>
    <w:rsid w:val="008443D2"/>
    <w:rsid w:val="00844781"/>
    <w:rsid w:val="008449A1"/>
    <w:rsid w:val="0084507C"/>
    <w:rsid w:val="00845A59"/>
    <w:rsid w:val="00845F78"/>
    <w:rsid w:val="00846297"/>
    <w:rsid w:val="00846CE8"/>
    <w:rsid w:val="00847AAA"/>
    <w:rsid w:val="00847DC8"/>
    <w:rsid w:val="0085057C"/>
    <w:rsid w:val="0085142A"/>
    <w:rsid w:val="00851BB0"/>
    <w:rsid w:val="00852292"/>
    <w:rsid w:val="00853C84"/>
    <w:rsid w:val="00854FF9"/>
    <w:rsid w:val="00856CEE"/>
    <w:rsid w:val="00857367"/>
    <w:rsid w:val="00857816"/>
    <w:rsid w:val="00857BD2"/>
    <w:rsid w:val="0086026B"/>
    <w:rsid w:val="0086036D"/>
    <w:rsid w:val="00861616"/>
    <w:rsid w:val="008616AF"/>
    <w:rsid w:val="00861AD4"/>
    <w:rsid w:val="00861B2C"/>
    <w:rsid w:val="00861C1D"/>
    <w:rsid w:val="008620EA"/>
    <w:rsid w:val="008626C7"/>
    <w:rsid w:val="008643FC"/>
    <w:rsid w:val="008645A6"/>
    <w:rsid w:val="00870408"/>
    <w:rsid w:val="00870CCE"/>
    <w:rsid w:val="008727DB"/>
    <w:rsid w:val="00872CB0"/>
    <w:rsid w:val="00872E85"/>
    <w:rsid w:val="008730BC"/>
    <w:rsid w:val="0087478D"/>
    <w:rsid w:val="00874CA5"/>
    <w:rsid w:val="00875D00"/>
    <w:rsid w:val="00876327"/>
    <w:rsid w:val="00876364"/>
    <w:rsid w:val="008809D7"/>
    <w:rsid w:val="00880B80"/>
    <w:rsid w:val="00881AE2"/>
    <w:rsid w:val="00883D24"/>
    <w:rsid w:val="0088407E"/>
    <w:rsid w:val="00885D21"/>
    <w:rsid w:val="0088630B"/>
    <w:rsid w:val="008915F5"/>
    <w:rsid w:val="008917B1"/>
    <w:rsid w:val="00893D45"/>
    <w:rsid w:val="008968FC"/>
    <w:rsid w:val="008A0CCD"/>
    <w:rsid w:val="008A11E5"/>
    <w:rsid w:val="008A169B"/>
    <w:rsid w:val="008A1889"/>
    <w:rsid w:val="008A2759"/>
    <w:rsid w:val="008A2FF2"/>
    <w:rsid w:val="008A33DA"/>
    <w:rsid w:val="008A35D6"/>
    <w:rsid w:val="008A406E"/>
    <w:rsid w:val="008A57B8"/>
    <w:rsid w:val="008A6411"/>
    <w:rsid w:val="008A797A"/>
    <w:rsid w:val="008B0356"/>
    <w:rsid w:val="008B0D5C"/>
    <w:rsid w:val="008B1253"/>
    <w:rsid w:val="008B1590"/>
    <w:rsid w:val="008B172B"/>
    <w:rsid w:val="008B2271"/>
    <w:rsid w:val="008B25EC"/>
    <w:rsid w:val="008B2E12"/>
    <w:rsid w:val="008B5527"/>
    <w:rsid w:val="008B6F1D"/>
    <w:rsid w:val="008B70F2"/>
    <w:rsid w:val="008C0128"/>
    <w:rsid w:val="008C05BC"/>
    <w:rsid w:val="008C3127"/>
    <w:rsid w:val="008C3C3D"/>
    <w:rsid w:val="008C45C6"/>
    <w:rsid w:val="008C4765"/>
    <w:rsid w:val="008C5F9B"/>
    <w:rsid w:val="008D0BDC"/>
    <w:rsid w:val="008D0D61"/>
    <w:rsid w:val="008D3354"/>
    <w:rsid w:val="008D357C"/>
    <w:rsid w:val="008D45A9"/>
    <w:rsid w:val="008D62A3"/>
    <w:rsid w:val="008D6F4F"/>
    <w:rsid w:val="008D7057"/>
    <w:rsid w:val="008E10CA"/>
    <w:rsid w:val="008E2AE9"/>
    <w:rsid w:val="008E41AC"/>
    <w:rsid w:val="008E4B17"/>
    <w:rsid w:val="008E53DD"/>
    <w:rsid w:val="008E624C"/>
    <w:rsid w:val="008E759A"/>
    <w:rsid w:val="008F0BD5"/>
    <w:rsid w:val="008F2303"/>
    <w:rsid w:val="008F31D8"/>
    <w:rsid w:val="008F3956"/>
    <w:rsid w:val="008F3FA3"/>
    <w:rsid w:val="008F5F14"/>
    <w:rsid w:val="008F6532"/>
    <w:rsid w:val="008F70C0"/>
    <w:rsid w:val="008F7B41"/>
    <w:rsid w:val="008F7D30"/>
    <w:rsid w:val="00900228"/>
    <w:rsid w:val="00901B2A"/>
    <w:rsid w:val="00902EF5"/>
    <w:rsid w:val="00903CFB"/>
    <w:rsid w:val="009058A2"/>
    <w:rsid w:val="00907AD3"/>
    <w:rsid w:val="00910E6C"/>
    <w:rsid w:val="0091174B"/>
    <w:rsid w:val="009121D5"/>
    <w:rsid w:val="00912C6A"/>
    <w:rsid w:val="0091360D"/>
    <w:rsid w:val="00914382"/>
    <w:rsid w:val="0091633B"/>
    <w:rsid w:val="009169C3"/>
    <w:rsid w:val="00916FF1"/>
    <w:rsid w:val="00917FE8"/>
    <w:rsid w:val="00920057"/>
    <w:rsid w:val="009208D9"/>
    <w:rsid w:val="009227F9"/>
    <w:rsid w:val="00922BBB"/>
    <w:rsid w:val="00922EE3"/>
    <w:rsid w:val="009238A8"/>
    <w:rsid w:val="009261F5"/>
    <w:rsid w:val="0092656F"/>
    <w:rsid w:val="00930805"/>
    <w:rsid w:val="00931233"/>
    <w:rsid w:val="009329D3"/>
    <w:rsid w:val="009348C3"/>
    <w:rsid w:val="00934E9A"/>
    <w:rsid w:val="009362F4"/>
    <w:rsid w:val="009367DB"/>
    <w:rsid w:val="00937FC2"/>
    <w:rsid w:val="0094000C"/>
    <w:rsid w:val="00941DDE"/>
    <w:rsid w:val="00942125"/>
    <w:rsid w:val="009429EE"/>
    <w:rsid w:val="00943FCB"/>
    <w:rsid w:val="00944919"/>
    <w:rsid w:val="00944AF9"/>
    <w:rsid w:val="009467CE"/>
    <w:rsid w:val="0094720C"/>
    <w:rsid w:val="0094722D"/>
    <w:rsid w:val="009505A3"/>
    <w:rsid w:val="009506C2"/>
    <w:rsid w:val="00950A4E"/>
    <w:rsid w:val="00952F88"/>
    <w:rsid w:val="00954219"/>
    <w:rsid w:val="009547EB"/>
    <w:rsid w:val="00954DA1"/>
    <w:rsid w:val="0095550A"/>
    <w:rsid w:val="0095668E"/>
    <w:rsid w:val="0095723C"/>
    <w:rsid w:val="00957D94"/>
    <w:rsid w:val="009640B2"/>
    <w:rsid w:val="0096525B"/>
    <w:rsid w:val="0096652F"/>
    <w:rsid w:val="0096686B"/>
    <w:rsid w:val="00966C5C"/>
    <w:rsid w:val="00972DBD"/>
    <w:rsid w:val="009734C6"/>
    <w:rsid w:val="00973AAB"/>
    <w:rsid w:val="00975768"/>
    <w:rsid w:val="00975AFD"/>
    <w:rsid w:val="00975C12"/>
    <w:rsid w:val="00976F58"/>
    <w:rsid w:val="00981185"/>
    <w:rsid w:val="00984D69"/>
    <w:rsid w:val="0098558F"/>
    <w:rsid w:val="0099050E"/>
    <w:rsid w:val="00991FB5"/>
    <w:rsid w:val="00992F13"/>
    <w:rsid w:val="00993099"/>
    <w:rsid w:val="0099474F"/>
    <w:rsid w:val="00996579"/>
    <w:rsid w:val="009A088B"/>
    <w:rsid w:val="009A1A38"/>
    <w:rsid w:val="009A24AE"/>
    <w:rsid w:val="009A302F"/>
    <w:rsid w:val="009A4D9D"/>
    <w:rsid w:val="009A534A"/>
    <w:rsid w:val="009A578C"/>
    <w:rsid w:val="009A62B9"/>
    <w:rsid w:val="009A7D34"/>
    <w:rsid w:val="009B0817"/>
    <w:rsid w:val="009B0F9E"/>
    <w:rsid w:val="009B1E62"/>
    <w:rsid w:val="009B2F66"/>
    <w:rsid w:val="009B4EB3"/>
    <w:rsid w:val="009B5EAF"/>
    <w:rsid w:val="009B7D33"/>
    <w:rsid w:val="009C0E6D"/>
    <w:rsid w:val="009C1C10"/>
    <w:rsid w:val="009C3DF3"/>
    <w:rsid w:val="009C40CD"/>
    <w:rsid w:val="009C482E"/>
    <w:rsid w:val="009C6E56"/>
    <w:rsid w:val="009C726F"/>
    <w:rsid w:val="009D0E6E"/>
    <w:rsid w:val="009D2C54"/>
    <w:rsid w:val="009D2E20"/>
    <w:rsid w:val="009D3568"/>
    <w:rsid w:val="009D3C78"/>
    <w:rsid w:val="009D58C5"/>
    <w:rsid w:val="009D6221"/>
    <w:rsid w:val="009E0506"/>
    <w:rsid w:val="009E0660"/>
    <w:rsid w:val="009E0CF6"/>
    <w:rsid w:val="009E1817"/>
    <w:rsid w:val="009E2EA0"/>
    <w:rsid w:val="009E598C"/>
    <w:rsid w:val="009E6111"/>
    <w:rsid w:val="009E6636"/>
    <w:rsid w:val="009F0F0C"/>
    <w:rsid w:val="009F1514"/>
    <w:rsid w:val="009F1837"/>
    <w:rsid w:val="009F18BB"/>
    <w:rsid w:val="009F2068"/>
    <w:rsid w:val="009F227F"/>
    <w:rsid w:val="009F418D"/>
    <w:rsid w:val="009F45A9"/>
    <w:rsid w:val="009F5123"/>
    <w:rsid w:val="009F5367"/>
    <w:rsid w:val="009F62AF"/>
    <w:rsid w:val="009F66EB"/>
    <w:rsid w:val="009F6BA8"/>
    <w:rsid w:val="00A00716"/>
    <w:rsid w:val="00A022FE"/>
    <w:rsid w:val="00A02D6E"/>
    <w:rsid w:val="00A0368C"/>
    <w:rsid w:val="00A03C4C"/>
    <w:rsid w:val="00A03EE1"/>
    <w:rsid w:val="00A04774"/>
    <w:rsid w:val="00A04BCA"/>
    <w:rsid w:val="00A05A71"/>
    <w:rsid w:val="00A1029B"/>
    <w:rsid w:val="00A10648"/>
    <w:rsid w:val="00A10BDE"/>
    <w:rsid w:val="00A121B7"/>
    <w:rsid w:val="00A143EF"/>
    <w:rsid w:val="00A14AE3"/>
    <w:rsid w:val="00A14FF9"/>
    <w:rsid w:val="00A15152"/>
    <w:rsid w:val="00A15BEE"/>
    <w:rsid w:val="00A16394"/>
    <w:rsid w:val="00A17820"/>
    <w:rsid w:val="00A17CB9"/>
    <w:rsid w:val="00A22321"/>
    <w:rsid w:val="00A229A2"/>
    <w:rsid w:val="00A25B13"/>
    <w:rsid w:val="00A25B5E"/>
    <w:rsid w:val="00A270EA"/>
    <w:rsid w:val="00A2766F"/>
    <w:rsid w:val="00A27BCA"/>
    <w:rsid w:val="00A34E53"/>
    <w:rsid w:val="00A353B5"/>
    <w:rsid w:val="00A40E5E"/>
    <w:rsid w:val="00A431A4"/>
    <w:rsid w:val="00A461C0"/>
    <w:rsid w:val="00A46C94"/>
    <w:rsid w:val="00A46ED4"/>
    <w:rsid w:val="00A47F0D"/>
    <w:rsid w:val="00A553BF"/>
    <w:rsid w:val="00A554D2"/>
    <w:rsid w:val="00A637EE"/>
    <w:rsid w:val="00A63A9A"/>
    <w:rsid w:val="00A673D2"/>
    <w:rsid w:val="00A70744"/>
    <w:rsid w:val="00A7436C"/>
    <w:rsid w:val="00A74676"/>
    <w:rsid w:val="00A75128"/>
    <w:rsid w:val="00A753D0"/>
    <w:rsid w:val="00A769D9"/>
    <w:rsid w:val="00A777C1"/>
    <w:rsid w:val="00A80168"/>
    <w:rsid w:val="00A83702"/>
    <w:rsid w:val="00A866BE"/>
    <w:rsid w:val="00A869F9"/>
    <w:rsid w:val="00A8777A"/>
    <w:rsid w:val="00A913ED"/>
    <w:rsid w:val="00A92B60"/>
    <w:rsid w:val="00A948C7"/>
    <w:rsid w:val="00A9547A"/>
    <w:rsid w:val="00A96E3B"/>
    <w:rsid w:val="00A97665"/>
    <w:rsid w:val="00AA09B7"/>
    <w:rsid w:val="00AA120D"/>
    <w:rsid w:val="00AA1D4F"/>
    <w:rsid w:val="00AA21FB"/>
    <w:rsid w:val="00AA3EB7"/>
    <w:rsid w:val="00AB0547"/>
    <w:rsid w:val="00AB172C"/>
    <w:rsid w:val="00AB18FE"/>
    <w:rsid w:val="00AB23C8"/>
    <w:rsid w:val="00AB2F9D"/>
    <w:rsid w:val="00AB4685"/>
    <w:rsid w:val="00AB6AAE"/>
    <w:rsid w:val="00AC02E6"/>
    <w:rsid w:val="00AC053D"/>
    <w:rsid w:val="00AC258F"/>
    <w:rsid w:val="00AC426B"/>
    <w:rsid w:val="00AC5272"/>
    <w:rsid w:val="00AC5F5A"/>
    <w:rsid w:val="00AC7D42"/>
    <w:rsid w:val="00AD1EF1"/>
    <w:rsid w:val="00AD404C"/>
    <w:rsid w:val="00AD4724"/>
    <w:rsid w:val="00AD509F"/>
    <w:rsid w:val="00AD6035"/>
    <w:rsid w:val="00AD6D32"/>
    <w:rsid w:val="00AE239C"/>
    <w:rsid w:val="00AE36D8"/>
    <w:rsid w:val="00AE3C39"/>
    <w:rsid w:val="00AE471B"/>
    <w:rsid w:val="00AE55AE"/>
    <w:rsid w:val="00AE72A4"/>
    <w:rsid w:val="00AE764D"/>
    <w:rsid w:val="00AE7A84"/>
    <w:rsid w:val="00AF0785"/>
    <w:rsid w:val="00AF0926"/>
    <w:rsid w:val="00AF0A8A"/>
    <w:rsid w:val="00AF19E5"/>
    <w:rsid w:val="00AF6D09"/>
    <w:rsid w:val="00AF7E02"/>
    <w:rsid w:val="00B0110B"/>
    <w:rsid w:val="00B02C90"/>
    <w:rsid w:val="00B04EB3"/>
    <w:rsid w:val="00B057B5"/>
    <w:rsid w:val="00B063C5"/>
    <w:rsid w:val="00B10A0E"/>
    <w:rsid w:val="00B132AC"/>
    <w:rsid w:val="00B13C72"/>
    <w:rsid w:val="00B13D18"/>
    <w:rsid w:val="00B14AF1"/>
    <w:rsid w:val="00B14D1B"/>
    <w:rsid w:val="00B14E2E"/>
    <w:rsid w:val="00B16DE7"/>
    <w:rsid w:val="00B20320"/>
    <w:rsid w:val="00B21FDB"/>
    <w:rsid w:val="00B23C43"/>
    <w:rsid w:val="00B23C50"/>
    <w:rsid w:val="00B248A3"/>
    <w:rsid w:val="00B2550E"/>
    <w:rsid w:val="00B26554"/>
    <w:rsid w:val="00B26788"/>
    <w:rsid w:val="00B26B8E"/>
    <w:rsid w:val="00B272E5"/>
    <w:rsid w:val="00B30FE3"/>
    <w:rsid w:val="00B33B47"/>
    <w:rsid w:val="00B36E92"/>
    <w:rsid w:val="00B41744"/>
    <w:rsid w:val="00B42E24"/>
    <w:rsid w:val="00B4346D"/>
    <w:rsid w:val="00B43BC3"/>
    <w:rsid w:val="00B44CE8"/>
    <w:rsid w:val="00B45908"/>
    <w:rsid w:val="00B5120C"/>
    <w:rsid w:val="00B51DA4"/>
    <w:rsid w:val="00B51F74"/>
    <w:rsid w:val="00B524F5"/>
    <w:rsid w:val="00B52E66"/>
    <w:rsid w:val="00B53A66"/>
    <w:rsid w:val="00B5414F"/>
    <w:rsid w:val="00B54FD9"/>
    <w:rsid w:val="00B569A5"/>
    <w:rsid w:val="00B57B22"/>
    <w:rsid w:val="00B61426"/>
    <w:rsid w:val="00B6156B"/>
    <w:rsid w:val="00B616C8"/>
    <w:rsid w:val="00B62E29"/>
    <w:rsid w:val="00B639D5"/>
    <w:rsid w:val="00B65088"/>
    <w:rsid w:val="00B65B75"/>
    <w:rsid w:val="00B705E5"/>
    <w:rsid w:val="00B7086A"/>
    <w:rsid w:val="00B711E3"/>
    <w:rsid w:val="00B74491"/>
    <w:rsid w:val="00B74D0A"/>
    <w:rsid w:val="00B75884"/>
    <w:rsid w:val="00B77467"/>
    <w:rsid w:val="00B80017"/>
    <w:rsid w:val="00B8028B"/>
    <w:rsid w:val="00B81E77"/>
    <w:rsid w:val="00B84860"/>
    <w:rsid w:val="00B86133"/>
    <w:rsid w:val="00B870E3"/>
    <w:rsid w:val="00B877D1"/>
    <w:rsid w:val="00B90577"/>
    <w:rsid w:val="00B90B60"/>
    <w:rsid w:val="00B90C93"/>
    <w:rsid w:val="00B91BD0"/>
    <w:rsid w:val="00B941D0"/>
    <w:rsid w:val="00B96937"/>
    <w:rsid w:val="00BA32E9"/>
    <w:rsid w:val="00BA4C0A"/>
    <w:rsid w:val="00BA53B3"/>
    <w:rsid w:val="00BA6977"/>
    <w:rsid w:val="00BB0F75"/>
    <w:rsid w:val="00BB1344"/>
    <w:rsid w:val="00BB1625"/>
    <w:rsid w:val="00BB1D26"/>
    <w:rsid w:val="00BB28BA"/>
    <w:rsid w:val="00BB76F9"/>
    <w:rsid w:val="00BB777B"/>
    <w:rsid w:val="00BC03D9"/>
    <w:rsid w:val="00BC0AF0"/>
    <w:rsid w:val="00BC2435"/>
    <w:rsid w:val="00BC2461"/>
    <w:rsid w:val="00BC290A"/>
    <w:rsid w:val="00BC42A6"/>
    <w:rsid w:val="00BC5474"/>
    <w:rsid w:val="00BD6C20"/>
    <w:rsid w:val="00BD6FAC"/>
    <w:rsid w:val="00BE08B1"/>
    <w:rsid w:val="00BE0A75"/>
    <w:rsid w:val="00BE2128"/>
    <w:rsid w:val="00BE2694"/>
    <w:rsid w:val="00BE4A92"/>
    <w:rsid w:val="00BE4B7E"/>
    <w:rsid w:val="00BE53CA"/>
    <w:rsid w:val="00BE5FD7"/>
    <w:rsid w:val="00BF0D2E"/>
    <w:rsid w:val="00BF15EC"/>
    <w:rsid w:val="00BF1743"/>
    <w:rsid w:val="00BF1B66"/>
    <w:rsid w:val="00BF1B9D"/>
    <w:rsid w:val="00BF31E0"/>
    <w:rsid w:val="00BF3719"/>
    <w:rsid w:val="00BF6028"/>
    <w:rsid w:val="00BF74B5"/>
    <w:rsid w:val="00C002A8"/>
    <w:rsid w:val="00C0296A"/>
    <w:rsid w:val="00C04B39"/>
    <w:rsid w:val="00C10E37"/>
    <w:rsid w:val="00C115BD"/>
    <w:rsid w:val="00C12339"/>
    <w:rsid w:val="00C126D5"/>
    <w:rsid w:val="00C1296E"/>
    <w:rsid w:val="00C1327B"/>
    <w:rsid w:val="00C170AA"/>
    <w:rsid w:val="00C17F1F"/>
    <w:rsid w:val="00C2004B"/>
    <w:rsid w:val="00C214BE"/>
    <w:rsid w:val="00C22957"/>
    <w:rsid w:val="00C245DB"/>
    <w:rsid w:val="00C3060F"/>
    <w:rsid w:val="00C30947"/>
    <w:rsid w:val="00C31BA5"/>
    <w:rsid w:val="00C325C5"/>
    <w:rsid w:val="00C32BAA"/>
    <w:rsid w:val="00C333B0"/>
    <w:rsid w:val="00C34F53"/>
    <w:rsid w:val="00C35B9D"/>
    <w:rsid w:val="00C40417"/>
    <w:rsid w:val="00C40676"/>
    <w:rsid w:val="00C40CF4"/>
    <w:rsid w:val="00C41C09"/>
    <w:rsid w:val="00C42D04"/>
    <w:rsid w:val="00C43854"/>
    <w:rsid w:val="00C43C74"/>
    <w:rsid w:val="00C44955"/>
    <w:rsid w:val="00C450B1"/>
    <w:rsid w:val="00C45BE0"/>
    <w:rsid w:val="00C45CF1"/>
    <w:rsid w:val="00C504EC"/>
    <w:rsid w:val="00C50EDC"/>
    <w:rsid w:val="00C50F4F"/>
    <w:rsid w:val="00C51860"/>
    <w:rsid w:val="00C53736"/>
    <w:rsid w:val="00C53878"/>
    <w:rsid w:val="00C56453"/>
    <w:rsid w:val="00C57F4C"/>
    <w:rsid w:val="00C60363"/>
    <w:rsid w:val="00C61DA0"/>
    <w:rsid w:val="00C634AE"/>
    <w:rsid w:val="00C63F1D"/>
    <w:rsid w:val="00C64771"/>
    <w:rsid w:val="00C74A1F"/>
    <w:rsid w:val="00C74B84"/>
    <w:rsid w:val="00C7758E"/>
    <w:rsid w:val="00C8060A"/>
    <w:rsid w:val="00C841B6"/>
    <w:rsid w:val="00C86577"/>
    <w:rsid w:val="00C871D2"/>
    <w:rsid w:val="00C8758F"/>
    <w:rsid w:val="00C91110"/>
    <w:rsid w:val="00C911AC"/>
    <w:rsid w:val="00C912D2"/>
    <w:rsid w:val="00C91426"/>
    <w:rsid w:val="00C91FF7"/>
    <w:rsid w:val="00C93949"/>
    <w:rsid w:val="00C941EE"/>
    <w:rsid w:val="00C961FA"/>
    <w:rsid w:val="00C96AEA"/>
    <w:rsid w:val="00C9722C"/>
    <w:rsid w:val="00CA0886"/>
    <w:rsid w:val="00CA0B87"/>
    <w:rsid w:val="00CA1608"/>
    <w:rsid w:val="00CA2045"/>
    <w:rsid w:val="00CA382A"/>
    <w:rsid w:val="00CA53E9"/>
    <w:rsid w:val="00CA7CDA"/>
    <w:rsid w:val="00CB0C79"/>
    <w:rsid w:val="00CB16B9"/>
    <w:rsid w:val="00CB3844"/>
    <w:rsid w:val="00CB3E8F"/>
    <w:rsid w:val="00CB41DB"/>
    <w:rsid w:val="00CB56C6"/>
    <w:rsid w:val="00CB64E2"/>
    <w:rsid w:val="00CB728B"/>
    <w:rsid w:val="00CB74C9"/>
    <w:rsid w:val="00CC3894"/>
    <w:rsid w:val="00CD26D2"/>
    <w:rsid w:val="00CD490F"/>
    <w:rsid w:val="00CD4FCD"/>
    <w:rsid w:val="00CD5904"/>
    <w:rsid w:val="00CD66ED"/>
    <w:rsid w:val="00CE072B"/>
    <w:rsid w:val="00CE203F"/>
    <w:rsid w:val="00CE211B"/>
    <w:rsid w:val="00CE5141"/>
    <w:rsid w:val="00CE703E"/>
    <w:rsid w:val="00CF05FA"/>
    <w:rsid w:val="00CF12AC"/>
    <w:rsid w:val="00CF12E1"/>
    <w:rsid w:val="00CF1540"/>
    <w:rsid w:val="00CF1E75"/>
    <w:rsid w:val="00CF1E9A"/>
    <w:rsid w:val="00CF1F74"/>
    <w:rsid w:val="00CF35EB"/>
    <w:rsid w:val="00CF41DA"/>
    <w:rsid w:val="00CF4B8A"/>
    <w:rsid w:val="00CF6992"/>
    <w:rsid w:val="00CF71CE"/>
    <w:rsid w:val="00D00C9E"/>
    <w:rsid w:val="00D016EE"/>
    <w:rsid w:val="00D02DB5"/>
    <w:rsid w:val="00D0339A"/>
    <w:rsid w:val="00D04D17"/>
    <w:rsid w:val="00D05A38"/>
    <w:rsid w:val="00D074ED"/>
    <w:rsid w:val="00D077B6"/>
    <w:rsid w:val="00D0794B"/>
    <w:rsid w:val="00D10B93"/>
    <w:rsid w:val="00D14F6B"/>
    <w:rsid w:val="00D157CC"/>
    <w:rsid w:val="00D1739C"/>
    <w:rsid w:val="00D20303"/>
    <w:rsid w:val="00D2232E"/>
    <w:rsid w:val="00D22593"/>
    <w:rsid w:val="00D2269F"/>
    <w:rsid w:val="00D2721B"/>
    <w:rsid w:val="00D2726C"/>
    <w:rsid w:val="00D30271"/>
    <w:rsid w:val="00D314F8"/>
    <w:rsid w:val="00D31806"/>
    <w:rsid w:val="00D32135"/>
    <w:rsid w:val="00D32CDD"/>
    <w:rsid w:val="00D332AC"/>
    <w:rsid w:val="00D3412E"/>
    <w:rsid w:val="00D35DD7"/>
    <w:rsid w:val="00D37AE5"/>
    <w:rsid w:val="00D4068F"/>
    <w:rsid w:val="00D4106D"/>
    <w:rsid w:val="00D42E63"/>
    <w:rsid w:val="00D432FF"/>
    <w:rsid w:val="00D43B72"/>
    <w:rsid w:val="00D46609"/>
    <w:rsid w:val="00D46E90"/>
    <w:rsid w:val="00D4712A"/>
    <w:rsid w:val="00D50326"/>
    <w:rsid w:val="00D512D2"/>
    <w:rsid w:val="00D518A5"/>
    <w:rsid w:val="00D51D3C"/>
    <w:rsid w:val="00D52731"/>
    <w:rsid w:val="00D5340D"/>
    <w:rsid w:val="00D539E6"/>
    <w:rsid w:val="00D5464E"/>
    <w:rsid w:val="00D54E5E"/>
    <w:rsid w:val="00D5569C"/>
    <w:rsid w:val="00D56561"/>
    <w:rsid w:val="00D56934"/>
    <w:rsid w:val="00D56A5A"/>
    <w:rsid w:val="00D57F6C"/>
    <w:rsid w:val="00D57FB0"/>
    <w:rsid w:val="00D602A5"/>
    <w:rsid w:val="00D60967"/>
    <w:rsid w:val="00D62226"/>
    <w:rsid w:val="00D6273D"/>
    <w:rsid w:val="00D63B51"/>
    <w:rsid w:val="00D642A9"/>
    <w:rsid w:val="00D6468C"/>
    <w:rsid w:val="00D64AD2"/>
    <w:rsid w:val="00D65CD5"/>
    <w:rsid w:val="00D672B7"/>
    <w:rsid w:val="00D70DD3"/>
    <w:rsid w:val="00D72F84"/>
    <w:rsid w:val="00D74A9F"/>
    <w:rsid w:val="00D74AF0"/>
    <w:rsid w:val="00D75ADD"/>
    <w:rsid w:val="00D75D1A"/>
    <w:rsid w:val="00D7665B"/>
    <w:rsid w:val="00D76B78"/>
    <w:rsid w:val="00D76B86"/>
    <w:rsid w:val="00D76F46"/>
    <w:rsid w:val="00D77F04"/>
    <w:rsid w:val="00D811DF"/>
    <w:rsid w:val="00D817DA"/>
    <w:rsid w:val="00D81EC4"/>
    <w:rsid w:val="00D8602B"/>
    <w:rsid w:val="00D87173"/>
    <w:rsid w:val="00D9178C"/>
    <w:rsid w:val="00D91DE8"/>
    <w:rsid w:val="00D92306"/>
    <w:rsid w:val="00D942DC"/>
    <w:rsid w:val="00D95725"/>
    <w:rsid w:val="00D97A71"/>
    <w:rsid w:val="00DA072B"/>
    <w:rsid w:val="00DA0CB2"/>
    <w:rsid w:val="00DA1EBD"/>
    <w:rsid w:val="00DA31EE"/>
    <w:rsid w:val="00DA4801"/>
    <w:rsid w:val="00DA5AAB"/>
    <w:rsid w:val="00DA5BF1"/>
    <w:rsid w:val="00DA610C"/>
    <w:rsid w:val="00DB010F"/>
    <w:rsid w:val="00DB0359"/>
    <w:rsid w:val="00DB3223"/>
    <w:rsid w:val="00DB3F84"/>
    <w:rsid w:val="00DB547E"/>
    <w:rsid w:val="00DB54BA"/>
    <w:rsid w:val="00DB620B"/>
    <w:rsid w:val="00DB6508"/>
    <w:rsid w:val="00DB660A"/>
    <w:rsid w:val="00DB7917"/>
    <w:rsid w:val="00DC0DC7"/>
    <w:rsid w:val="00DC1394"/>
    <w:rsid w:val="00DC1462"/>
    <w:rsid w:val="00DC21D2"/>
    <w:rsid w:val="00DC347F"/>
    <w:rsid w:val="00DC5A45"/>
    <w:rsid w:val="00DC7F59"/>
    <w:rsid w:val="00DC7FB5"/>
    <w:rsid w:val="00DD242B"/>
    <w:rsid w:val="00DD28CA"/>
    <w:rsid w:val="00DD618F"/>
    <w:rsid w:val="00DD677A"/>
    <w:rsid w:val="00DD6994"/>
    <w:rsid w:val="00DD7D9A"/>
    <w:rsid w:val="00DD7E39"/>
    <w:rsid w:val="00DE000C"/>
    <w:rsid w:val="00DE0FAA"/>
    <w:rsid w:val="00DE1303"/>
    <w:rsid w:val="00DE1523"/>
    <w:rsid w:val="00DE17A1"/>
    <w:rsid w:val="00DE1D24"/>
    <w:rsid w:val="00DE2D0A"/>
    <w:rsid w:val="00DE3A4A"/>
    <w:rsid w:val="00DE5969"/>
    <w:rsid w:val="00DE748E"/>
    <w:rsid w:val="00DF0052"/>
    <w:rsid w:val="00DF01D6"/>
    <w:rsid w:val="00DF0A95"/>
    <w:rsid w:val="00DF1D0A"/>
    <w:rsid w:val="00DF2291"/>
    <w:rsid w:val="00DF2477"/>
    <w:rsid w:val="00DF3F71"/>
    <w:rsid w:val="00DF5E6B"/>
    <w:rsid w:val="00DF6F2D"/>
    <w:rsid w:val="00DF7B66"/>
    <w:rsid w:val="00E01946"/>
    <w:rsid w:val="00E021C2"/>
    <w:rsid w:val="00E02F2A"/>
    <w:rsid w:val="00E04446"/>
    <w:rsid w:val="00E05284"/>
    <w:rsid w:val="00E07F14"/>
    <w:rsid w:val="00E107DF"/>
    <w:rsid w:val="00E10868"/>
    <w:rsid w:val="00E11F6C"/>
    <w:rsid w:val="00E120CA"/>
    <w:rsid w:val="00E13450"/>
    <w:rsid w:val="00E1551C"/>
    <w:rsid w:val="00E2075C"/>
    <w:rsid w:val="00E20C60"/>
    <w:rsid w:val="00E20CE5"/>
    <w:rsid w:val="00E210DA"/>
    <w:rsid w:val="00E214F1"/>
    <w:rsid w:val="00E21A3A"/>
    <w:rsid w:val="00E23235"/>
    <w:rsid w:val="00E23845"/>
    <w:rsid w:val="00E24268"/>
    <w:rsid w:val="00E24EFF"/>
    <w:rsid w:val="00E2515B"/>
    <w:rsid w:val="00E253C9"/>
    <w:rsid w:val="00E2678B"/>
    <w:rsid w:val="00E27223"/>
    <w:rsid w:val="00E30FCF"/>
    <w:rsid w:val="00E3159C"/>
    <w:rsid w:val="00E32294"/>
    <w:rsid w:val="00E32B8F"/>
    <w:rsid w:val="00E35513"/>
    <w:rsid w:val="00E35C19"/>
    <w:rsid w:val="00E36D3E"/>
    <w:rsid w:val="00E401A0"/>
    <w:rsid w:val="00E40EE6"/>
    <w:rsid w:val="00E41A3C"/>
    <w:rsid w:val="00E42BBB"/>
    <w:rsid w:val="00E42E71"/>
    <w:rsid w:val="00E432C7"/>
    <w:rsid w:val="00E45348"/>
    <w:rsid w:val="00E46087"/>
    <w:rsid w:val="00E46DAF"/>
    <w:rsid w:val="00E476F2"/>
    <w:rsid w:val="00E503D8"/>
    <w:rsid w:val="00E53A73"/>
    <w:rsid w:val="00E54460"/>
    <w:rsid w:val="00E54ED5"/>
    <w:rsid w:val="00E55F9B"/>
    <w:rsid w:val="00E6016C"/>
    <w:rsid w:val="00E603BE"/>
    <w:rsid w:val="00E60CB1"/>
    <w:rsid w:val="00E620D0"/>
    <w:rsid w:val="00E638F7"/>
    <w:rsid w:val="00E647D5"/>
    <w:rsid w:val="00E65496"/>
    <w:rsid w:val="00E66CBE"/>
    <w:rsid w:val="00E67ADB"/>
    <w:rsid w:val="00E70502"/>
    <w:rsid w:val="00E71C1E"/>
    <w:rsid w:val="00E739DC"/>
    <w:rsid w:val="00E757A1"/>
    <w:rsid w:val="00E7703A"/>
    <w:rsid w:val="00E8059E"/>
    <w:rsid w:val="00E80688"/>
    <w:rsid w:val="00E815CD"/>
    <w:rsid w:val="00E825E0"/>
    <w:rsid w:val="00E82B44"/>
    <w:rsid w:val="00E8491A"/>
    <w:rsid w:val="00E84DDA"/>
    <w:rsid w:val="00E85FA2"/>
    <w:rsid w:val="00E86032"/>
    <w:rsid w:val="00E87879"/>
    <w:rsid w:val="00E94D32"/>
    <w:rsid w:val="00E96A6C"/>
    <w:rsid w:val="00EA0093"/>
    <w:rsid w:val="00EA7A2F"/>
    <w:rsid w:val="00EB0C15"/>
    <w:rsid w:val="00EB2458"/>
    <w:rsid w:val="00EB2F34"/>
    <w:rsid w:val="00EB3099"/>
    <w:rsid w:val="00EB6785"/>
    <w:rsid w:val="00EC036B"/>
    <w:rsid w:val="00EC13E2"/>
    <w:rsid w:val="00EC1BC1"/>
    <w:rsid w:val="00EC6EE6"/>
    <w:rsid w:val="00EC7556"/>
    <w:rsid w:val="00ED0237"/>
    <w:rsid w:val="00ED0F16"/>
    <w:rsid w:val="00ED135B"/>
    <w:rsid w:val="00ED52AD"/>
    <w:rsid w:val="00ED69B0"/>
    <w:rsid w:val="00ED76DD"/>
    <w:rsid w:val="00EE035F"/>
    <w:rsid w:val="00EE0654"/>
    <w:rsid w:val="00EE131E"/>
    <w:rsid w:val="00EE1D6E"/>
    <w:rsid w:val="00EE3CD3"/>
    <w:rsid w:val="00EE6E75"/>
    <w:rsid w:val="00EF07A3"/>
    <w:rsid w:val="00EF0BCD"/>
    <w:rsid w:val="00EF1DEE"/>
    <w:rsid w:val="00EF2414"/>
    <w:rsid w:val="00EF7312"/>
    <w:rsid w:val="00F00B6C"/>
    <w:rsid w:val="00F01839"/>
    <w:rsid w:val="00F03053"/>
    <w:rsid w:val="00F04539"/>
    <w:rsid w:val="00F04672"/>
    <w:rsid w:val="00F04C8F"/>
    <w:rsid w:val="00F0517F"/>
    <w:rsid w:val="00F059C6"/>
    <w:rsid w:val="00F05B0C"/>
    <w:rsid w:val="00F0789E"/>
    <w:rsid w:val="00F07DA6"/>
    <w:rsid w:val="00F11D0B"/>
    <w:rsid w:val="00F11DD1"/>
    <w:rsid w:val="00F1286F"/>
    <w:rsid w:val="00F13087"/>
    <w:rsid w:val="00F13235"/>
    <w:rsid w:val="00F1339A"/>
    <w:rsid w:val="00F1655F"/>
    <w:rsid w:val="00F16789"/>
    <w:rsid w:val="00F17F60"/>
    <w:rsid w:val="00F21212"/>
    <w:rsid w:val="00F245B4"/>
    <w:rsid w:val="00F25D90"/>
    <w:rsid w:val="00F2626B"/>
    <w:rsid w:val="00F2666D"/>
    <w:rsid w:val="00F26E51"/>
    <w:rsid w:val="00F30422"/>
    <w:rsid w:val="00F3050E"/>
    <w:rsid w:val="00F32D82"/>
    <w:rsid w:val="00F33F58"/>
    <w:rsid w:val="00F34BA2"/>
    <w:rsid w:val="00F34C0A"/>
    <w:rsid w:val="00F354BA"/>
    <w:rsid w:val="00F37DC8"/>
    <w:rsid w:val="00F428E3"/>
    <w:rsid w:val="00F43352"/>
    <w:rsid w:val="00F43E9D"/>
    <w:rsid w:val="00F47E17"/>
    <w:rsid w:val="00F50AD2"/>
    <w:rsid w:val="00F53000"/>
    <w:rsid w:val="00F53223"/>
    <w:rsid w:val="00F5379E"/>
    <w:rsid w:val="00F57846"/>
    <w:rsid w:val="00F57B2D"/>
    <w:rsid w:val="00F60632"/>
    <w:rsid w:val="00F61DC6"/>
    <w:rsid w:val="00F61E8C"/>
    <w:rsid w:val="00F630DD"/>
    <w:rsid w:val="00F63CA8"/>
    <w:rsid w:val="00F64313"/>
    <w:rsid w:val="00F644B0"/>
    <w:rsid w:val="00F6602C"/>
    <w:rsid w:val="00F66CE1"/>
    <w:rsid w:val="00F67186"/>
    <w:rsid w:val="00F6789F"/>
    <w:rsid w:val="00F67FB3"/>
    <w:rsid w:val="00F73CEB"/>
    <w:rsid w:val="00F75451"/>
    <w:rsid w:val="00F76EB9"/>
    <w:rsid w:val="00F77673"/>
    <w:rsid w:val="00F80065"/>
    <w:rsid w:val="00F8026B"/>
    <w:rsid w:val="00F8090E"/>
    <w:rsid w:val="00F81465"/>
    <w:rsid w:val="00F81477"/>
    <w:rsid w:val="00F81AB8"/>
    <w:rsid w:val="00F81B82"/>
    <w:rsid w:val="00F82106"/>
    <w:rsid w:val="00F826FE"/>
    <w:rsid w:val="00F82DC5"/>
    <w:rsid w:val="00F83A1C"/>
    <w:rsid w:val="00F8413A"/>
    <w:rsid w:val="00F85BFD"/>
    <w:rsid w:val="00F86BE6"/>
    <w:rsid w:val="00F902FA"/>
    <w:rsid w:val="00F90A84"/>
    <w:rsid w:val="00F92432"/>
    <w:rsid w:val="00F927FF"/>
    <w:rsid w:val="00F93D29"/>
    <w:rsid w:val="00F950F1"/>
    <w:rsid w:val="00F9655F"/>
    <w:rsid w:val="00F976AD"/>
    <w:rsid w:val="00F9789E"/>
    <w:rsid w:val="00FA0280"/>
    <w:rsid w:val="00FA0937"/>
    <w:rsid w:val="00FA1339"/>
    <w:rsid w:val="00FA1CAA"/>
    <w:rsid w:val="00FA2A06"/>
    <w:rsid w:val="00FA3F2C"/>
    <w:rsid w:val="00FA51E4"/>
    <w:rsid w:val="00FB0047"/>
    <w:rsid w:val="00FB01A3"/>
    <w:rsid w:val="00FB424A"/>
    <w:rsid w:val="00FB65F6"/>
    <w:rsid w:val="00FC0451"/>
    <w:rsid w:val="00FC1F58"/>
    <w:rsid w:val="00FC31A9"/>
    <w:rsid w:val="00FC3B1D"/>
    <w:rsid w:val="00FC4E3B"/>
    <w:rsid w:val="00FC7467"/>
    <w:rsid w:val="00FC76DD"/>
    <w:rsid w:val="00FD14CA"/>
    <w:rsid w:val="00FD1DD7"/>
    <w:rsid w:val="00FD1E17"/>
    <w:rsid w:val="00FD4DBE"/>
    <w:rsid w:val="00FD741E"/>
    <w:rsid w:val="00FE07D4"/>
    <w:rsid w:val="00FE14C5"/>
    <w:rsid w:val="00FE40B5"/>
    <w:rsid w:val="00FE4D2D"/>
    <w:rsid w:val="00FE683E"/>
    <w:rsid w:val="00FF1204"/>
    <w:rsid w:val="00FF226D"/>
    <w:rsid w:val="00FF38D1"/>
    <w:rsid w:val="00FF3E08"/>
    <w:rsid w:val="00FF3EB6"/>
    <w:rsid w:val="00FF41A1"/>
    <w:rsid w:val="00FF4C9B"/>
    <w:rsid w:val="00FF5828"/>
    <w:rsid w:val="00FF5990"/>
    <w:rsid w:val="00FF631B"/>
    <w:rsid w:val="00FF6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8A797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customStyle="1" w:styleId="CM99">
    <w:name w:val="CM99"/>
    <w:basedOn w:val="Normal"/>
    <w:next w:val="Normal"/>
    <w:rsid w:val="007837C5"/>
    <w:pPr>
      <w:widowControl w:val="0"/>
      <w:autoSpaceDE w:val="0"/>
      <w:autoSpaceDN w:val="0"/>
      <w:adjustRightInd w:val="0"/>
    </w:pPr>
    <w:rPr>
      <w:rFonts w:eastAsia="MS ??"/>
    </w:rPr>
  </w:style>
  <w:style w:type="paragraph" w:customStyle="1" w:styleId="Default">
    <w:name w:val="Default"/>
    <w:rsid w:val="007837C5"/>
    <w:pPr>
      <w:widowControl w:val="0"/>
      <w:autoSpaceDE w:val="0"/>
      <w:autoSpaceDN w:val="0"/>
      <w:adjustRightInd w:val="0"/>
    </w:pPr>
    <w:rPr>
      <w:rFonts w:eastAsia="MS ??"/>
      <w:color w:val="000000"/>
      <w:sz w:val="24"/>
      <w:szCs w:val="24"/>
    </w:rPr>
  </w:style>
  <w:style w:type="paragraph" w:customStyle="1" w:styleId="CM3">
    <w:name w:val="CM3"/>
    <w:basedOn w:val="Normal"/>
    <w:next w:val="Normal"/>
    <w:rsid w:val="00BC03D9"/>
    <w:pPr>
      <w:widowControl w:val="0"/>
      <w:autoSpaceDE w:val="0"/>
      <w:autoSpaceDN w:val="0"/>
      <w:adjustRightInd w:val="0"/>
      <w:spacing w:line="278" w:lineRule="atLeast"/>
    </w:pPr>
    <w:rPr>
      <w:rFonts w:eastAsia="MS ??"/>
    </w:rPr>
  </w:style>
  <w:style w:type="paragraph" w:customStyle="1" w:styleId="CM4">
    <w:name w:val="CM4"/>
    <w:basedOn w:val="Default"/>
    <w:next w:val="Default"/>
    <w:rsid w:val="00BC03D9"/>
    <w:pPr>
      <w:spacing w:line="276" w:lineRule="atLeast"/>
    </w:pPr>
    <w:rPr>
      <w:color w:val="auto"/>
    </w:rPr>
  </w:style>
  <w:style w:type="paragraph" w:styleId="z-TopofForm">
    <w:name w:val="HTML Top of Form"/>
    <w:basedOn w:val="Normal"/>
    <w:next w:val="Normal"/>
    <w:link w:val="z-TopofFormChar"/>
    <w:hidden/>
    <w:uiPriority w:val="99"/>
    <w:unhideWhenUsed/>
    <w:rsid w:val="009D2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D2C5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D2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D2C54"/>
    <w:rPr>
      <w:rFonts w:ascii="Arial" w:hAnsi="Arial" w:cs="Arial"/>
      <w:vanish/>
      <w:sz w:val="16"/>
      <w:szCs w:val="16"/>
    </w:rPr>
  </w:style>
  <w:style w:type="table" w:customStyle="1" w:styleId="TableGrid1">
    <w:name w:val="Table Grid1"/>
    <w:basedOn w:val="TableNormal"/>
    <w:next w:val="TableGrid"/>
    <w:uiPriority w:val="59"/>
    <w:rsid w:val="00294CE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8A797A"/>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next w:val="TableGrid"/>
    <w:uiPriority w:val="59"/>
    <w:rsid w:val="008A79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809"/>
    <w:rPr>
      <w:sz w:val="24"/>
      <w:szCs w:val="24"/>
    </w:rPr>
  </w:style>
  <w:style w:type="paragraph" w:styleId="Heading1">
    <w:name w:val="heading 1"/>
    <w:basedOn w:val="Normal"/>
    <w:next w:val="Normal"/>
    <w:qFormat/>
    <w:rsid w:val="004336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787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A3EB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rsid w:val="00237C8E"/>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8A797A"/>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qFormat/>
    <w:rsid w:val="00377656"/>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36AF"/>
    <w:pPr>
      <w:tabs>
        <w:tab w:val="center" w:pos="4320"/>
        <w:tab w:val="right" w:pos="8640"/>
      </w:tabs>
    </w:pPr>
  </w:style>
  <w:style w:type="paragraph" w:styleId="Footer">
    <w:name w:val="footer"/>
    <w:basedOn w:val="Normal"/>
    <w:rsid w:val="004336AF"/>
    <w:pPr>
      <w:tabs>
        <w:tab w:val="center" w:pos="4320"/>
        <w:tab w:val="right" w:pos="8640"/>
      </w:tabs>
    </w:pPr>
  </w:style>
  <w:style w:type="character" w:styleId="PageNumber">
    <w:name w:val="page number"/>
    <w:basedOn w:val="DefaultParagraphFont"/>
    <w:rsid w:val="004336AF"/>
  </w:style>
  <w:style w:type="table" w:styleId="TableGrid">
    <w:name w:val="Table Grid"/>
    <w:basedOn w:val="TableNormal"/>
    <w:rsid w:val="005310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65660"/>
    <w:rPr>
      <w:rFonts w:ascii="Tahoma" w:hAnsi="Tahoma" w:cs="Tahoma"/>
      <w:sz w:val="16"/>
      <w:szCs w:val="16"/>
    </w:rPr>
  </w:style>
  <w:style w:type="paragraph" w:styleId="ListParagraph">
    <w:name w:val="List Paragraph"/>
    <w:basedOn w:val="Normal"/>
    <w:uiPriority w:val="34"/>
    <w:qFormat/>
    <w:rsid w:val="00914382"/>
    <w:pPr>
      <w:ind w:left="720"/>
    </w:pPr>
  </w:style>
  <w:style w:type="paragraph" w:styleId="NoSpacing">
    <w:name w:val="No Spacing"/>
    <w:uiPriority w:val="1"/>
    <w:qFormat/>
    <w:rsid w:val="00422D24"/>
    <w:rPr>
      <w:position w:val="6"/>
      <w:sz w:val="24"/>
    </w:rPr>
  </w:style>
  <w:style w:type="paragraph" w:styleId="Quote">
    <w:name w:val="Quote"/>
    <w:basedOn w:val="Normal"/>
    <w:next w:val="Normal"/>
    <w:link w:val="QuoteChar"/>
    <w:uiPriority w:val="29"/>
    <w:qFormat/>
    <w:rsid w:val="00422D24"/>
    <w:pPr>
      <w:tabs>
        <w:tab w:val="left" w:pos="7920"/>
      </w:tabs>
      <w:ind w:left="720" w:right="720"/>
    </w:pPr>
    <w:rPr>
      <w:iCs/>
      <w:color w:val="000000"/>
      <w:position w:val="6"/>
      <w:szCs w:val="20"/>
    </w:rPr>
  </w:style>
  <w:style w:type="character" w:customStyle="1" w:styleId="QuoteChar">
    <w:name w:val="Quote Char"/>
    <w:basedOn w:val="DefaultParagraphFont"/>
    <w:link w:val="Quote"/>
    <w:uiPriority w:val="29"/>
    <w:rsid w:val="00422D24"/>
    <w:rPr>
      <w:iCs/>
      <w:color w:val="000000"/>
      <w:position w:val="6"/>
      <w:sz w:val="24"/>
    </w:rPr>
  </w:style>
  <w:style w:type="paragraph" w:styleId="FootnoteText">
    <w:name w:val="footnote text"/>
    <w:basedOn w:val="Normal"/>
    <w:link w:val="FootnoteTextChar"/>
    <w:unhideWhenUsed/>
    <w:rsid w:val="00633545"/>
    <w:rPr>
      <w:position w:val="6"/>
      <w:sz w:val="20"/>
      <w:szCs w:val="20"/>
    </w:rPr>
  </w:style>
  <w:style w:type="character" w:customStyle="1" w:styleId="FootnoteTextChar">
    <w:name w:val="Footnote Text Char"/>
    <w:basedOn w:val="DefaultParagraphFont"/>
    <w:link w:val="FootnoteText"/>
    <w:rsid w:val="00633545"/>
    <w:rPr>
      <w:position w:val="6"/>
    </w:rPr>
  </w:style>
  <w:style w:type="character" w:styleId="FootnoteReference">
    <w:name w:val="footnote reference"/>
    <w:basedOn w:val="DefaultParagraphFont"/>
    <w:unhideWhenUsed/>
    <w:rsid w:val="00633545"/>
    <w:rPr>
      <w:vertAlign w:val="superscript"/>
    </w:rPr>
  </w:style>
  <w:style w:type="character" w:styleId="Hyperlink">
    <w:name w:val="Hyperlink"/>
    <w:basedOn w:val="DefaultParagraphFont"/>
    <w:unhideWhenUsed/>
    <w:rsid w:val="00633545"/>
    <w:rPr>
      <w:color w:val="0000FF"/>
      <w:u w:val="single"/>
    </w:rPr>
  </w:style>
  <w:style w:type="paragraph" w:styleId="BodyText">
    <w:name w:val="Body Text"/>
    <w:basedOn w:val="Normal"/>
    <w:link w:val="BodyTextChar"/>
    <w:rsid w:val="00827134"/>
    <w:pPr>
      <w:spacing w:after="120"/>
    </w:pPr>
    <w:rPr>
      <w:position w:val="6"/>
      <w:szCs w:val="20"/>
    </w:rPr>
  </w:style>
  <w:style w:type="character" w:customStyle="1" w:styleId="BodyTextChar">
    <w:name w:val="Body Text Char"/>
    <w:basedOn w:val="DefaultParagraphFont"/>
    <w:link w:val="BodyText"/>
    <w:rsid w:val="00827134"/>
    <w:rPr>
      <w:position w:val="6"/>
      <w:sz w:val="24"/>
    </w:rPr>
  </w:style>
  <w:style w:type="character" w:customStyle="1" w:styleId="HeaderChar">
    <w:name w:val="Header Char"/>
    <w:basedOn w:val="DefaultParagraphFont"/>
    <w:link w:val="Header"/>
    <w:uiPriority w:val="99"/>
    <w:rsid w:val="000B1DBE"/>
    <w:rPr>
      <w:sz w:val="24"/>
      <w:szCs w:val="24"/>
    </w:rPr>
  </w:style>
  <w:style w:type="paragraph" w:styleId="BodyText2">
    <w:name w:val="Body Text 2"/>
    <w:basedOn w:val="Normal"/>
    <w:rsid w:val="00377656"/>
    <w:pPr>
      <w:spacing w:after="120" w:line="480" w:lineRule="auto"/>
    </w:pPr>
  </w:style>
  <w:style w:type="paragraph" w:styleId="Title">
    <w:name w:val="Title"/>
    <w:basedOn w:val="Normal"/>
    <w:link w:val="TitleChar"/>
    <w:qFormat/>
    <w:rsid w:val="003776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jc w:val="center"/>
    </w:pPr>
    <w:rPr>
      <w:sz w:val="22"/>
      <w:szCs w:val="20"/>
      <w:u w:val="single"/>
    </w:rPr>
  </w:style>
  <w:style w:type="character" w:customStyle="1" w:styleId="A0">
    <w:name w:val="A0"/>
    <w:rsid w:val="00377656"/>
    <w:rPr>
      <w:rFonts w:cs="Weiss"/>
      <w:color w:val="000000"/>
      <w:sz w:val="48"/>
      <w:szCs w:val="48"/>
    </w:rPr>
  </w:style>
  <w:style w:type="paragraph" w:styleId="BodyTextIndent2">
    <w:name w:val="Body Text Indent 2"/>
    <w:basedOn w:val="Normal"/>
    <w:rsid w:val="00377656"/>
    <w:pPr>
      <w:spacing w:after="120" w:line="480" w:lineRule="auto"/>
      <w:ind w:left="360"/>
    </w:pPr>
  </w:style>
  <w:style w:type="paragraph" w:customStyle="1" w:styleId="Style0">
    <w:name w:val="Style0"/>
    <w:rsid w:val="00377656"/>
    <w:rPr>
      <w:rFonts w:ascii="Arial" w:hAnsi="Arial"/>
      <w:snapToGrid w:val="0"/>
      <w:sz w:val="24"/>
    </w:rPr>
  </w:style>
  <w:style w:type="paragraph" w:customStyle="1" w:styleId="Level2">
    <w:name w:val="Level 2"/>
    <w:basedOn w:val="Normal"/>
    <w:rsid w:val="00377656"/>
    <w:pPr>
      <w:widowControl w:val="0"/>
      <w:autoSpaceDE w:val="0"/>
      <w:autoSpaceDN w:val="0"/>
      <w:adjustRightInd w:val="0"/>
      <w:ind w:left="796" w:right="39" w:hanging="359"/>
    </w:pPr>
  </w:style>
  <w:style w:type="paragraph" w:customStyle="1" w:styleId="Level1">
    <w:name w:val="Level 1"/>
    <w:basedOn w:val="Normal"/>
    <w:rsid w:val="00377656"/>
    <w:pPr>
      <w:widowControl w:val="0"/>
      <w:autoSpaceDE w:val="0"/>
      <w:autoSpaceDN w:val="0"/>
      <w:adjustRightInd w:val="0"/>
      <w:ind w:left="720" w:right="-14" w:hanging="710"/>
    </w:pPr>
  </w:style>
  <w:style w:type="character" w:customStyle="1" w:styleId="a1">
    <w:name w:val="a1"/>
    <w:basedOn w:val="DefaultParagraphFont"/>
    <w:rsid w:val="00377656"/>
    <w:rPr>
      <w:color w:val="008000"/>
      <w:sz w:val="20"/>
      <w:szCs w:val="20"/>
    </w:rPr>
  </w:style>
  <w:style w:type="character" w:styleId="Strong">
    <w:name w:val="Strong"/>
    <w:basedOn w:val="DefaultParagraphFont"/>
    <w:qFormat/>
    <w:rsid w:val="00377656"/>
    <w:rPr>
      <w:b/>
      <w:bCs/>
    </w:rPr>
  </w:style>
  <w:style w:type="character" w:styleId="Emphasis">
    <w:name w:val="Emphasis"/>
    <w:basedOn w:val="DefaultParagraphFont"/>
    <w:uiPriority w:val="20"/>
    <w:qFormat/>
    <w:rsid w:val="00377656"/>
    <w:rPr>
      <w:i/>
      <w:iCs/>
    </w:rPr>
  </w:style>
  <w:style w:type="paragraph" w:styleId="NormalWeb">
    <w:name w:val="Normal (Web)"/>
    <w:basedOn w:val="Normal"/>
    <w:uiPriority w:val="99"/>
    <w:rsid w:val="00D77F04"/>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A74676"/>
    <w:pPr>
      <w:spacing w:after="120"/>
    </w:pPr>
    <w:rPr>
      <w:sz w:val="16"/>
      <w:szCs w:val="16"/>
    </w:rPr>
  </w:style>
  <w:style w:type="character" w:customStyle="1" w:styleId="Char">
    <w:name w:val="Char"/>
    <w:basedOn w:val="DefaultParagraphFont"/>
    <w:rsid w:val="005F4E46"/>
    <w:rPr>
      <w:position w:val="6"/>
      <w:sz w:val="24"/>
      <w:szCs w:val="24"/>
      <w:lang w:val="en-US" w:eastAsia="en-US" w:bidi="ar-SA"/>
    </w:rPr>
  </w:style>
  <w:style w:type="paragraph" w:customStyle="1" w:styleId="listparagraph0">
    <w:name w:val="listparagraph"/>
    <w:basedOn w:val="Normal"/>
    <w:rsid w:val="0095668E"/>
    <w:pPr>
      <w:ind w:left="720"/>
    </w:pPr>
  </w:style>
  <w:style w:type="paragraph" w:customStyle="1" w:styleId="style16">
    <w:name w:val="style16"/>
    <w:basedOn w:val="Normal"/>
    <w:rsid w:val="008443D2"/>
    <w:pPr>
      <w:spacing w:before="100" w:beforeAutospacing="1" w:after="100" w:afterAutospacing="1"/>
    </w:pPr>
    <w:rPr>
      <w:rFonts w:ascii="Verdana" w:hAnsi="Verdana"/>
    </w:rPr>
  </w:style>
  <w:style w:type="character" w:customStyle="1" w:styleId="TitleChar">
    <w:name w:val="Title Char"/>
    <w:link w:val="Title"/>
    <w:rsid w:val="00CB16B9"/>
    <w:rPr>
      <w:sz w:val="22"/>
      <w:u w:val="single"/>
    </w:rPr>
  </w:style>
  <w:style w:type="character" w:customStyle="1" w:styleId="Heading4Char">
    <w:name w:val="Heading 4 Char"/>
    <w:basedOn w:val="DefaultParagraphFont"/>
    <w:link w:val="Heading4"/>
    <w:rsid w:val="00237C8E"/>
    <w:rPr>
      <w:rFonts w:ascii="Calibri" w:hAnsi="Calibri"/>
      <w:b/>
      <w:bCs/>
      <w:sz w:val="28"/>
      <w:szCs w:val="28"/>
    </w:rPr>
  </w:style>
  <w:style w:type="character" w:customStyle="1" w:styleId="DeltaViewInsertion">
    <w:name w:val="DeltaView Insertion"/>
    <w:rsid w:val="003A4DEC"/>
    <w:rPr>
      <w:color w:val="0000FF"/>
      <w:u w:val="double"/>
    </w:rPr>
  </w:style>
  <w:style w:type="paragraph" w:customStyle="1" w:styleId="CM99">
    <w:name w:val="CM99"/>
    <w:basedOn w:val="Normal"/>
    <w:next w:val="Normal"/>
    <w:rsid w:val="007837C5"/>
    <w:pPr>
      <w:widowControl w:val="0"/>
      <w:autoSpaceDE w:val="0"/>
      <w:autoSpaceDN w:val="0"/>
      <w:adjustRightInd w:val="0"/>
    </w:pPr>
    <w:rPr>
      <w:rFonts w:eastAsia="MS ??"/>
    </w:rPr>
  </w:style>
  <w:style w:type="paragraph" w:customStyle="1" w:styleId="Default">
    <w:name w:val="Default"/>
    <w:rsid w:val="007837C5"/>
    <w:pPr>
      <w:widowControl w:val="0"/>
      <w:autoSpaceDE w:val="0"/>
      <w:autoSpaceDN w:val="0"/>
      <w:adjustRightInd w:val="0"/>
    </w:pPr>
    <w:rPr>
      <w:rFonts w:eastAsia="MS ??"/>
      <w:color w:val="000000"/>
      <w:sz w:val="24"/>
      <w:szCs w:val="24"/>
    </w:rPr>
  </w:style>
  <w:style w:type="paragraph" w:customStyle="1" w:styleId="CM3">
    <w:name w:val="CM3"/>
    <w:basedOn w:val="Normal"/>
    <w:next w:val="Normal"/>
    <w:rsid w:val="00BC03D9"/>
    <w:pPr>
      <w:widowControl w:val="0"/>
      <w:autoSpaceDE w:val="0"/>
      <w:autoSpaceDN w:val="0"/>
      <w:adjustRightInd w:val="0"/>
      <w:spacing w:line="278" w:lineRule="atLeast"/>
    </w:pPr>
    <w:rPr>
      <w:rFonts w:eastAsia="MS ??"/>
    </w:rPr>
  </w:style>
  <w:style w:type="paragraph" w:customStyle="1" w:styleId="CM4">
    <w:name w:val="CM4"/>
    <w:basedOn w:val="Default"/>
    <w:next w:val="Default"/>
    <w:rsid w:val="00BC03D9"/>
    <w:pPr>
      <w:spacing w:line="276" w:lineRule="atLeast"/>
    </w:pPr>
    <w:rPr>
      <w:color w:val="auto"/>
    </w:rPr>
  </w:style>
  <w:style w:type="paragraph" w:styleId="z-TopofForm">
    <w:name w:val="HTML Top of Form"/>
    <w:basedOn w:val="Normal"/>
    <w:next w:val="Normal"/>
    <w:link w:val="z-TopofFormChar"/>
    <w:hidden/>
    <w:uiPriority w:val="99"/>
    <w:unhideWhenUsed/>
    <w:rsid w:val="009D2C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9D2C5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D2C54"/>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9D2C54"/>
    <w:rPr>
      <w:rFonts w:ascii="Arial" w:hAnsi="Arial" w:cs="Arial"/>
      <w:vanish/>
      <w:sz w:val="16"/>
      <w:szCs w:val="16"/>
    </w:rPr>
  </w:style>
  <w:style w:type="table" w:customStyle="1" w:styleId="TableGrid1">
    <w:name w:val="Table Grid1"/>
    <w:basedOn w:val="TableNormal"/>
    <w:next w:val="TableGrid"/>
    <w:uiPriority w:val="59"/>
    <w:rsid w:val="00294CE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8A797A"/>
    <w:rPr>
      <w:rFonts w:asciiTheme="majorHAnsi" w:eastAsiaTheme="majorEastAsia" w:hAnsiTheme="majorHAnsi" w:cstheme="majorBidi"/>
      <w:color w:val="243F60" w:themeColor="accent1" w:themeShade="7F"/>
      <w:sz w:val="24"/>
      <w:szCs w:val="24"/>
    </w:rPr>
  </w:style>
  <w:style w:type="table" w:customStyle="1" w:styleId="TableGrid2">
    <w:name w:val="Table Grid2"/>
    <w:basedOn w:val="TableNormal"/>
    <w:next w:val="TableGrid"/>
    <w:uiPriority w:val="59"/>
    <w:rsid w:val="008A797A"/>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8112">
      <w:bodyDiv w:val="1"/>
      <w:marLeft w:val="0"/>
      <w:marRight w:val="0"/>
      <w:marTop w:val="0"/>
      <w:marBottom w:val="0"/>
      <w:divBdr>
        <w:top w:val="none" w:sz="0" w:space="0" w:color="auto"/>
        <w:left w:val="none" w:sz="0" w:space="0" w:color="auto"/>
        <w:bottom w:val="none" w:sz="0" w:space="0" w:color="auto"/>
        <w:right w:val="none" w:sz="0" w:space="0" w:color="auto"/>
      </w:divBdr>
    </w:div>
    <w:div w:id="69236975">
      <w:bodyDiv w:val="1"/>
      <w:marLeft w:val="0"/>
      <w:marRight w:val="0"/>
      <w:marTop w:val="0"/>
      <w:marBottom w:val="0"/>
      <w:divBdr>
        <w:top w:val="none" w:sz="0" w:space="0" w:color="auto"/>
        <w:left w:val="none" w:sz="0" w:space="0" w:color="auto"/>
        <w:bottom w:val="none" w:sz="0" w:space="0" w:color="auto"/>
        <w:right w:val="none" w:sz="0" w:space="0" w:color="auto"/>
      </w:divBdr>
    </w:div>
    <w:div w:id="69738738">
      <w:marLeft w:val="0"/>
      <w:marRight w:val="0"/>
      <w:marTop w:val="0"/>
      <w:marBottom w:val="0"/>
      <w:divBdr>
        <w:top w:val="none" w:sz="0" w:space="0" w:color="auto"/>
        <w:left w:val="none" w:sz="0" w:space="0" w:color="auto"/>
        <w:bottom w:val="none" w:sz="0" w:space="0" w:color="auto"/>
        <w:right w:val="none" w:sz="0" w:space="0" w:color="auto"/>
      </w:divBdr>
    </w:div>
    <w:div w:id="78673320">
      <w:marLeft w:val="0"/>
      <w:marRight w:val="0"/>
      <w:marTop w:val="0"/>
      <w:marBottom w:val="0"/>
      <w:divBdr>
        <w:top w:val="none" w:sz="0" w:space="0" w:color="auto"/>
        <w:left w:val="none" w:sz="0" w:space="0" w:color="auto"/>
        <w:bottom w:val="none" w:sz="0" w:space="0" w:color="auto"/>
        <w:right w:val="none" w:sz="0" w:space="0" w:color="auto"/>
      </w:divBdr>
    </w:div>
    <w:div w:id="141510270">
      <w:bodyDiv w:val="1"/>
      <w:marLeft w:val="0"/>
      <w:marRight w:val="0"/>
      <w:marTop w:val="0"/>
      <w:marBottom w:val="0"/>
      <w:divBdr>
        <w:top w:val="none" w:sz="0" w:space="0" w:color="auto"/>
        <w:left w:val="none" w:sz="0" w:space="0" w:color="auto"/>
        <w:bottom w:val="none" w:sz="0" w:space="0" w:color="auto"/>
        <w:right w:val="none" w:sz="0" w:space="0" w:color="auto"/>
      </w:divBdr>
      <w:divsChild>
        <w:div w:id="132523681">
          <w:marLeft w:val="0"/>
          <w:marRight w:val="0"/>
          <w:marTop w:val="0"/>
          <w:marBottom w:val="0"/>
          <w:divBdr>
            <w:top w:val="none" w:sz="0" w:space="0" w:color="auto"/>
            <w:left w:val="none" w:sz="0" w:space="0" w:color="auto"/>
            <w:bottom w:val="none" w:sz="0" w:space="0" w:color="auto"/>
            <w:right w:val="none" w:sz="0" w:space="0" w:color="auto"/>
          </w:divBdr>
          <w:divsChild>
            <w:div w:id="674763968">
              <w:marLeft w:val="0"/>
              <w:marRight w:val="0"/>
              <w:marTop w:val="0"/>
              <w:marBottom w:val="0"/>
              <w:divBdr>
                <w:top w:val="none" w:sz="0" w:space="0" w:color="auto"/>
                <w:left w:val="none" w:sz="0" w:space="0" w:color="auto"/>
                <w:bottom w:val="none" w:sz="0" w:space="0" w:color="auto"/>
                <w:right w:val="none" w:sz="0" w:space="0" w:color="auto"/>
              </w:divBdr>
              <w:divsChild>
                <w:div w:id="14640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4368">
      <w:marLeft w:val="0"/>
      <w:marRight w:val="0"/>
      <w:marTop w:val="0"/>
      <w:marBottom w:val="0"/>
      <w:divBdr>
        <w:top w:val="none" w:sz="0" w:space="0" w:color="auto"/>
        <w:left w:val="none" w:sz="0" w:space="0" w:color="auto"/>
        <w:bottom w:val="none" w:sz="0" w:space="0" w:color="auto"/>
        <w:right w:val="none" w:sz="0" w:space="0" w:color="auto"/>
      </w:divBdr>
    </w:div>
    <w:div w:id="143816296">
      <w:bodyDiv w:val="1"/>
      <w:marLeft w:val="0"/>
      <w:marRight w:val="0"/>
      <w:marTop w:val="0"/>
      <w:marBottom w:val="0"/>
      <w:divBdr>
        <w:top w:val="none" w:sz="0" w:space="0" w:color="auto"/>
        <w:left w:val="none" w:sz="0" w:space="0" w:color="auto"/>
        <w:bottom w:val="none" w:sz="0" w:space="0" w:color="auto"/>
        <w:right w:val="none" w:sz="0" w:space="0" w:color="auto"/>
      </w:divBdr>
    </w:div>
    <w:div w:id="164561671">
      <w:bodyDiv w:val="1"/>
      <w:marLeft w:val="0"/>
      <w:marRight w:val="0"/>
      <w:marTop w:val="0"/>
      <w:marBottom w:val="0"/>
      <w:divBdr>
        <w:top w:val="none" w:sz="0" w:space="0" w:color="auto"/>
        <w:left w:val="none" w:sz="0" w:space="0" w:color="auto"/>
        <w:bottom w:val="none" w:sz="0" w:space="0" w:color="auto"/>
        <w:right w:val="none" w:sz="0" w:space="0" w:color="auto"/>
      </w:divBdr>
    </w:div>
    <w:div w:id="195582236">
      <w:bodyDiv w:val="1"/>
      <w:marLeft w:val="0"/>
      <w:marRight w:val="0"/>
      <w:marTop w:val="0"/>
      <w:marBottom w:val="0"/>
      <w:divBdr>
        <w:top w:val="none" w:sz="0" w:space="0" w:color="auto"/>
        <w:left w:val="none" w:sz="0" w:space="0" w:color="auto"/>
        <w:bottom w:val="none" w:sz="0" w:space="0" w:color="auto"/>
        <w:right w:val="none" w:sz="0" w:space="0" w:color="auto"/>
      </w:divBdr>
    </w:div>
    <w:div w:id="214044660">
      <w:bodyDiv w:val="1"/>
      <w:marLeft w:val="0"/>
      <w:marRight w:val="0"/>
      <w:marTop w:val="0"/>
      <w:marBottom w:val="0"/>
      <w:divBdr>
        <w:top w:val="none" w:sz="0" w:space="0" w:color="auto"/>
        <w:left w:val="none" w:sz="0" w:space="0" w:color="auto"/>
        <w:bottom w:val="none" w:sz="0" w:space="0" w:color="auto"/>
        <w:right w:val="none" w:sz="0" w:space="0" w:color="auto"/>
      </w:divBdr>
    </w:div>
    <w:div w:id="261688637">
      <w:bodyDiv w:val="1"/>
      <w:marLeft w:val="0"/>
      <w:marRight w:val="0"/>
      <w:marTop w:val="0"/>
      <w:marBottom w:val="0"/>
      <w:divBdr>
        <w:top w:val="none" w:sz="0" w:space="0" w:color="auto"/>
        <w:left w:val="none" w:sz="0" w:space="0" w:color="auto"/>
        <w:bottom w:val="none" w:sz="0" w:space="0" w:color="auto"/>
        <w:right w:val="none" w:sz="0" w:space="0" w:color="auto"/>
      </w:divBdr>
    </w:div>
    <w:div w:id="285965936">
      <w:bodyDiv w:val="1"/>
      <w:marLeft w:val="0"/>
      <w:marRight w:val="0"/>
      <w:marTop w:val="0"/>
      <w:marBottom w:val="0"/>
      <w:divBdr>
        <w:top w:val="none" w:sz="0" w:space="0" w:color="auto"/>
        <w:left w:val="none" w:sz="0" w:space="0" w:color="auto"/>
        <w:bottom w:val="none" w:sz="0" w:space="0" w:color="auto"/>
        <w:right w:val="none" w:sz="0" w:space="0" w:color="auto"/>
      </w:divBdr>
    </w:div>
    <w:div w:id="312687686">
      <w:bodyDiv w:val="1"/>
      <w:marLeft w:val="0"/>
      <w:marRight w:val="0"/>
      <w:marTop w:val="0"/>
      <w:marBottom w:val="0"/>
      <w:divBdr>
        <w:top w:val="none" w:sz="0" w:space="0" w:color="auto"/>
        <w:left w:val="none" w:sz="0" w:space="0" w:color="auto"/>
        <w:bottom w:val="none" w:sz="0" w:space="0" w:color="auto"/>
        <w:right w:val="none" w:sz="0" w:space="0" w:color="auto"/>
      </w:divBdr>
    </w:div>
    <w:div w:id="320278162">
      <w:marLeft w:val="0"/>
      <w:marRight w:val="0"/>
      <w:marTop w:val="0"/>
      <w:marBottom w:val="0"/>
      <w:divBdr>
        <w:top w:val="none" w:sz="0" w:space="0" w:color="auto"/>
        <w:left w:val="none" w:sz="0" w:space="0" w:color="auto"/>
        <w:bottom w:val="none" w:sz="0" w:space="0" w:color="auto"/>
        <w:right w:val="none" w:sz="0" w:space="0" w:color="auto"/>
      </w:divBdr>
    </w:div>
    <w:div w:id="343627666">
      <w:bodyDiv w:val="1"/>
      <w:marLeft w:val="0"/>
      <w:marRight w:val="0"/>
      <w:marTop w:val="0"/>
      <w:marBottom w:val="0"/>
      <w:divBdr>
        <w:top w:val="none" w:sz="0" w:space="0" w:color="auto"/>
        <w:left w:val="none" w:sz="0" w:space="0" w:color="auto"/>
        <w:bottom w:val="none" w:sz="0" w:space="0" w:color="auto"/>
        <w:right w:val="none" w:sz="0" w:space="0" w:color="auto"/>
      </w:divBdr>
    </w:div>
    <w:div w:id="358622630">
      <w:bodyDiv w:val="1"/>
      <w:marLeft w:val="0"/>
      <w:marRight w:val="0"/>
      <w:marTop w:val="0"/>
      <w:marBottom w:val="0"/>
      <w:divBdr>
        <w:top w:val="none" w:sz="0" w:space="0" w:color="auto"/>
        <w:left w:val="none" w:sz="0" w:space="0" w:color="auto"/>
        <w:bottom w:val="none" w:sz="0" w:space="0" w:color="auto"/>
        <w:right w:val="none" w:sz="0" w:space="0" w:color="auto"/>
      </w:divBdr>
    </w:div>
    <w:div w:id="359860900">
      <w:bodyDiv w:val="1"/>
      <w:marLeft w:val="0"/>
      <w:marRight w:val="0"/>
      <w:marTop w:val="0"/>
      <w:marBottom w:val="0"/>
      <w:divBdr>
        <w:top w:val="none" w:sz="0" w:space="0" w:color="auto"/>
        <w:left w:val="none" w:sz="0" w:space="0" w:color="auto"/>
        <w:bottom w:val="none" w:sz="0" w:space="0" w:color="auto"/>
        <w:right w:val="none" w:sz="0" w:space="0" w:color="auto"/>
      </w:divBdr>
    </w:div>
    <w:div w:id="411781357">
      <w:bodyDiv w:val="1"/>
      <w:marLeft w:val="0"/>
      <w:marRight w:val="0"/>
      <w:marTop w:val="0"/>
      <w:marBottom w:val="0"/>
      <w:divBdr>
        <w:top w:val="none" w:sz="0" w:space="0" w:color="auto"/>
        <w:left w:val="none" w:sz="0" w:space="0" w:color="auto"/>
        <w:bottom w:val="none" w:sz="0" w:space="0" w:color="auto"/>
        <w:right w:val="none" w:sz="0" w:space="0" w:color="auto"/>
      </w:divBdr>
    </w:div>
    <w:div w:id="458033399">
      <w:bodyDiv w:val="1"/>
      <w:marLeft w:val="0"/>
      <w:marRight w:val="0"/>
      <w:marTop w:val="0"/>
      <w:marBottom w:val="0"/>
      <w:divBdr>
        <w:top w:val="none" w:sz="0" w:space="0" w:color="auto"/>
        <w:left w:val="none" w:sz="0" w:space="0" w:color="auto"/>
        <w:bottom w:val="none" w:sz="0" w:space="0" w:color="auto"/>
        <w:right w:val="none" w:sz="0" w:space="0" w:color="auto"/>
      </w:divBdr>
    </w:div>
    <w:div w:id="471023342">
      <w:bodyDiv w:val="1"/>
      <w:marLeft w:val="0"/>
      <w:marRight w:val="0"/>
      <w:marTop w:val="0"/>
      <w:marBottom w:val="0"/>
      <w:divBdr>
        <w:top w:val="none" w:sz="0" w:space="0" w:color="auto"/>
        <w:left w:val="none" w:sz="0" w:space="0" w:color="auto"/>
        <w:bottom w:val="none" w:sz="0" w:space="0" w:color="auto"/>
        <w:right w:val="none" w:sz="0" w:space="0" w:color="auto"/>
      </w:divBdr>
    </w:div>
    <w:div w:id="489292263">
      <w:bodyDiv w:val="1"/>
      <w:marLeft w:val="0"/>
      <w:marRight w:val="0"/>
      <w:marTop w:val="0"/>
      <w:marBottom w:val="0"/>
      <w:divBdr>
        <w:top w:val="none" w:sz="0" w:space="0" w:color="auto"/>
        <w:left w:val="none" w:sz="0" w:space="0" w:color="auto"/>
        <w:bottom w:val="none" w:sz="0" w:space="0" w:color="auto"/>
        <w:right w:val="none" w:sz="0" w:space="0" w:color="auto"/>
      </w:divBdr>
    </w:div>
    <w:div w:id="525825965">
      <w:bodyDiv w:val="1"/>
      <w:marLeft w:val="0"/>
      <w:marRight w:val="0"/>
      <w:marTop w:val="0"/>
      <w:marBottom w:val="0"/>
      <w:divBdr>
        <w:top w:val="none" w:sz="0" w:space="0" w:color="auto"/>
        <w:left w:val="none" w:sz="0" w:space="0" w:color="auto"/>
        <w:bottom w:val="none" w:sz="0" w:space="0" w:color="auto"/>
        <w:right w:val="none" w:sz="0" w:space="0" w:color="auto"/>
      </w:divBdr>
    </w:div>
    <w:div w:id="526915367">
      <w:bodyDiv w:val="1"/>
      <w:marLeft w:val="0"/>
      <w:marRight w:val="0"/>
      <w:marTop w:val="0"/>
      <w:marBottom w:val="0"/>
      <w:divBdr>
        <w:top w:val="none" w:sz="0" w:space="0" w:color="auto"/>
        <w:left w:val="none" w:sz="0" w:space="0" w:color="auto"/>
        <w:bottom w:val="none" w:sz="0" w:space="0" w:color="auto"/>
        <w:right w:val="none" w:sz="0" w:space="0" w:color="auto"/>
      </w:divBdr>
    </w:div>
    <w:div w:id="547181541">
      <w:marLeft w:val="0"/>
      <w:marRight w:val="0"/>
      <w:marTop w:val="0"/>
      <w:marBottom w:val="0"/>
      <w:divBdr>
        <w:top w:val="none" w:sz="0" w:space="0" w:color="auto"/>
        <w:left w:val="none" w:sz="0" w:space="0" w:color="auto"/>
        <w:bottom w:val="none" w:sz="0" w:space="0" w:color="auto"/>
        <w:right w:val="none" w:sz="0" w:space="0" w:color="auto"/>
      </w:divBdr>
    </w:div>
    <w:div w:id="659700001">
      <w:marLeft w:val="0"/>
      <w:marRight w:val="0"/>
      <w:marTop w:val="0"/>
      <w:marBottom w:val="0"/>
      <w:divBdr>
        <w:top w:val="none" w:sz="0" w:space="0" w:color="auto"/>
        <w:left w:val="none" w:sz="0" w:space="0" w:color="auto"/>
        <w:bottom w:val="none" w:sz="0" w:space="0" w:color="auto"/>
        <w:right w:val="none" w:sz="0" w:space="0" w:color="auto"/>
      </w:divBdr>
    </w:div>
    <w:div w:id="675571276">
      <w:bodyDiv w:val="1"/>
      <w:marLeft w:val="0"/>
      <w:marRight w:val="0"/>
      <w:marTop w:val="0"/>
      <w:marBottom w:val="0"/>
      <w:divBdr>
        <w:top w:val="none" w:sz="0" w:space="0" w:color="auto"/>
        <w:left w:val="none" w:sz="0" w:space="0" w:color="auto"/>
        <w:bottom w:val="none" w:sz="0" w:space="0" w:color="auto"/>
        <w:right w:val="none" w:sz="0" w:space="0" w:color="auto"/>
      </w:divBdr>
    </w:div>
    <w:div w:id="711923622">
      <w:bodyDiv w:val="1"/>
      <w:marLeft w:val="0"/>
      <w:marRight w:val="0"/>
      <w:marTop w:val="0"/>
      <w:marBottom w:val="0"/>
      <w:divBdr>
        <w:top w:val="none" w:sz="0" w:space="0" w:color="auto"/>
        <w:left w:val="none" w:sz="0" w:space="0" w:color="auto"/>
        <w:bottom w:val="none" w:sz="0" w:space="0" w:color="auto"/>
        <w:right w:val="none" w:sz="0" w:space="0" w:color="auto"/>
      </w:divBdr>
    </w:div>
    <w:div w:id="712198895">
      <w:bodyDiv w:val="1"/>
      <w:marLeft w:val="0"/>
      <w:marRight w:val="0"/>
      <w:marTop w:val="0"/>
      <w:marBottom w:val="0"/>
      <w:divBdr>
        <w:top w:val="none" w:sz="0" w:space="0" w:color="auto"/>
        <w:left w:val="none" w:sz="0" w:space="0" w:color="auto"/>
        <w:bottom w:val="none" w:sz="0" w:space="0" w:color="auto"/>
        <w:right w:val="none" w:sz="0" w:space="0" w:color="auto"/>
      </w:divBdr>
    </w:div>
    <w:div w:id="713506246">
      <w:bodyDiv w:val="1"/>
      <w:marLeft w:val="0"/>
      <w:marRight w:val="0"/>
      <w:marTop w:val="0"/>
      <w:marBottom w:val="0"/>
      <w:divBdr>
        <w:top w:val="none" w:sz="0" w:space="0" w:color="auto"/>
        <w:left w:val="none" w:sz="0" w:space="0" w:color="auto"/>
        <w:bottom w:val="none" w:sz="0" w:space="0" w:color="auto"/>
        <w:right w:val="none" w:sz="0" w:space="0" w:color="auto"/>
      </w:divBdr>
      <w:divsChild>
        <w:div w:id="1197691811">
          <w:marLeft w:val="0"/>
          <w:marRight w:val="0"/>
          <w:marTop w:val="0"/>
          <w:marBottom w:val="0"/>
          <w:divBdr>
            <w:top w:val="none" w:sz="0" w:space="0" w:color="auto"/>
            <w:left w:val="none" w:sz="0" w:space="0" w:color="auto"/>
            <w:bottom w:val="none" w:sz="0" w:space="0" w:color="auto"/>
            <w:right w:val="none" w:sz="0" w:space="0" w:color="auto"/>
          </w:divBdr>
          <w:divsChild>
            <w:div w:id="700014364">
              <w:marLeft w:val="0"/>
              <w:marRight w:val="0"/>
              <w:marTop w:val="0"/>
              <w:marBottom w:val="0"/>
              <w:divBdr>
                <w:top w:val="none" w:sz="0" w:space="0" w:color="auto"/>
                <w:left w:val="none" w:sz="0" w:space="0" w:color="auto"/>
                <w:bottom w:val="none" w:sz="0" w:space="0" w:color="auto"/>
                <w:right w:val="none" w:sz="0" w:space="0" w:color="auto"/>
              </w:divBdr>
              <w:divsChild>
                <w:div w:id="3294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91785">
      <w:bodyDiv w:val="1"/>
      <w:marLeft w:val="0"/>
      <w:marRight w:val="0"/>
      <w:marTop w:val="0"/>
      <w:marBottom w:val="0"/>
      <w:divBdr>
        <w:top w:val="none" w:sz="0" w:space="0" w:color="auto"/>
        <w:left w:val="none" w:sz="0" w:space="0" w:color="auto"/>
        <w:bottom w:val="none" w:sz="0" w:space="0" w:color="auto"/>
        <w:right w:val="none" w:sz="0" w:space="0" w:color="auto"/>
      </w:divBdr>
    </w:div>
    <w:div w:id="727068473">
      <w:bodyDiv w:val="1"/>
      <w:marLeft w:val="0"/>
      <w:marRight w:val="0"/>
      <w:marTop w:val="0"/>
      <w:marBottom w:val="0"/>
      <w:divBdr>
        <w:top w:val="none" w:sz="0" w:space="0" w:color="auto"/>
        <w:left w:val="none" w:sz="0" w:space="0" w:color="auto"/>
        <w:bottom w:val="none" w:sz="0" w:space="0" w:color="auto"/>
        <w:right w:val="none" w:sz="0" w:space="0" w:color="auto"/>
      </w:divBdr>
    </w:div>
    <w:div w:id="737630442">
      <w:bodyDiv w:val="1"/>
      <w:marLeft w:val="0"/>
      <w:marRight w:val="0"/>
      <w:marTop w:val="0"/>
      <w:marBottom w:val="0"/>
      <w:divBdr>
        <w:top w:val="none" w:sz="0" w:space="0" w:color="auto"/>
        <w:left w:val="none" w:sz="0" w:space="0" w:color="auto"/>
        <w:bottom w:val="none" w:sz="0" w:space="0" w:color="auto"/>
        <w:right w:val="none" w:sz="0" w:space="0" w:color="auto"/>
      </w:divBdr>
    </w:div>
    <w:div w:id="760419082">
      <w:marLeft w:val="0"/>
      <w:marRight w:val="0"/>
      <w:marTop w:val="0"/>
      <w:marBottom w:val="0"/>
      <w:divBdr>
        <w:top w:val="none" w:sz="0" w:space="0" w:color="auto"/>
        <w:left w:val="none" w:sz="0" w:space="0" w:color="auto"/>
        <w:bottom w:val="none" w:sz="0" w:space="0" w:color="auto"/>
        <w:right w:val="none" w:sz="0" w:space="0" w:color="auto"/>
      </w:divBdr>
    </w:div>
    <w:div w:id="792094177">
      <w:bodyDiv w:val="1"/>
      <w:marLeft w:val="0"/>
      <w:marRight w:val="0"/>
      <w:marTop w:val="0"/>
      <w:marBottom w:val="0"/>
      <w:divBdr>
        <w:top w:val="none" w:sz="0" w:space="0" w:color="auto"/>
        <w:left w:val="none" w:sz="0" w:space="0" w:color="auto"/>
        <w:bottom w:val="none" w:sz="0" w:space="0" w:color="auto"/>
        <w:right w:val="none" w:sz="0" w:space="0" w:color="auto"/>
      </w:divBdr>
    </w:div>
    <w:div w:id="804852759">
      <w:bodyDiv w:val="1"/>
      <w:marLeft w:val="0"/>
      <w:marRight w:val="0"/>
      <w:marTop w:val="0"/>
      <w:marBottom w:val="0"/>
      <w:divBdr>
        <w:top w:val="none" w:sz="0" w:space="0" w:color="auto"/>
        <w:left w:val="none" w:sz="0" w:space="0" w:color="auto"/>
        <w:bottom w:val="none" w:sz="0" w:space="0" w:color="auto"/>
        <w:right w:val="none" w:sz="0" w:space="0" w:color="auto"/>
      </w:divBdr>
      <w:divsChild>
        <w:div w:id="2055882398">
          <w:marLeft w:val="0"/>
          <w:marRight w:val="0"/>
          <w:marTop w:val="0"/>
          <w:marBottom w:val="0"/>
          <w:divBdr>
            <w:top w:val="none" w:sz="0" w:space="0" w:color="auto"/>
            <w:left w:val="none" w:sz="0" w:space="0" w:color="auto"/>
            <w:bottom w:val="none" w:sz="0" w:space="0" w:color="auto"/>
            <w:right w:val="none" w:sz="0" w:space="0" w:color="auto"/>
          </w:divBdr>
          <w:divsChild>
            <w:div w:id="198471314">
              <w:marLeft w:val="0"/>
              <w:marRight w:val="0"/>
              <w:marTop w:val="0"/>
              <w:marBottom w:val="0"/>
              <w:divBdr>
                <w:top w:val="none" w:sz="0" w:space="0" w:color="auto"/>
                <w:left w:val="none" w:sz="0" w:space="0" w:color="auto"/>
                <w:bottom w:val="none" w:sz="0" w:space="0" w:color="auto"/>
                <w:right w:val="none" w:sz="0" w:space="0" w:color="auto"/>
              </w:divBdr>
              <w:divsChild>
                <w:div w:id="1368139796">
                  <w:marLeft w:val="0"/>
                  <w:marRight w:val="0"/>
                  <w:marTop w:val="0"/>
                  <w:marBottom w:val="0"/>
                  <w:divBdr>
                    <w:top w:val="none" w:sz="0" w:space="0" w:color="auto"/>
                    <w:left w:val="none" w:sz="0" w:space="0" w:color="auto"/>
                    <w:bottom w:val="none" w:sz="0" w:space="0" w:color="auto"/>
                    <w:right w:val="none" w:sz="0" w:space="0" w:color="auto"/>
                  </w:divBdr>
                  <w:divsChild>
                    <w:div w:id="1937520683">
                      <w:marLeft w:val="0"/>
                      <w:marRight w:val="0"/>
                      <w:marTop w:val="0"/>
                      <w:marBottom w:val="0"/>
                      <w:divBdr>
                        <w:top w:val="none" w:sz="0" w:space="0" w:color="auto"/>
                        <w:left w:val="none" w:sz="0" w:space="0" w:color="auto"/>
                        <w:bottom w:val="none" w:sz="0" w:space="0" w:color="auto"/>
                        <w:right w:val="none" w:sz="0" w:space="0" w:color="auto"/>
                      </w:divBdr>
                      <w:divsChild>
                        <w:div w:id="2013096447">
                          <w:marLeft w:val="0"/>
                          <w:marRight w:val="0"/>
                          <w:marTop w:val="0"/>
                          <w:marBottom w:val="0"/>
                          <w:divBdr>
                            <w:top w:val="none" w:sz="0" w:space="0" w:color="auto"/>
                            <w:left w:val="none" w:sz="0" w:space="0" w:color="auto"/>
                            <w:bottom w:val="none" w:sz="0" w:space="0" w:color="auto"/>
                            <w:right w:val="none" w:sz="0" w:space="0" w:color="auto"/>
                          </w:divBdr>
                          <w:divsChild>
                            <w:div w:id="1970087918">
                              <w:marLeft w:val="0"/>
                              <w:marRight w:val="0"/>
                              <w:marTop w:val="0"/>
                              <w:marBottom w:val="0"/>
                              <w:divBdr>
                                <w:top w:val="none" w:sz="0" w:space="0" w:color="auto"/>
                                <w:left w:val="none" w:sz="0" w:space="0" w:color="auto"/>
                                <w:bottom w:val="none" w:sz="0" w:space="0" w:color="auto"/>
                                <w:right w:val="none" w:sz="0" w:space="0" w:color="auto"/>
                              </w:divBdr>
                              <w:divsChild>
                                <w:div w:id="164423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31528">
      <w:marLeft w:val="0"/>
      <w:marRight w:val="0"/>
      <w:marTop w:val="0"/>
      <w:marBottom w:val="0"/>
      <w:divBdr>
        <w:top w:val="none" w:sz="0" w:space="0" w:color="auto"/>
        <w:left w:val="none" w:sz="0" w:space="0" w:color="auto"/>
        <w:bottom w:val="none" w:sz="0" w:space="0" w:color="auto"/>
        <w:right w:val="none" w:sz="0" w:space="0" w:color="auto"/>
      </w:divBdr>
    </w:div>
    <w:div w:id="852189641">
      <w:bodyDiv w:val="1"/>
      <w:marLeft w:val="0"/>
      <w:marRight w:val="0"/>
      <w:marTop w:val="0"/>
      <w:marBottom w:val="0"/>
      <w:divBdr>
        <w:top w:val="none" w:sz="0" w:space="0" w:color="auto"/>
        <w:left w:val="none" w:sz="0" w:space="0" w:color="auto"/>
        <w:bottom w:val="none" w:sz="0" w:space="0" w:color="auto"/>
        <w:right w:val="none" w:sz="0" w:space="0" w:color="auto"/>
      </w:divBdr>
    </w:div>
    <w:div w:id="885607643">
      <w:bodyDiv w:val="1"/>
      <w:marLeft w:val="0"/>
      <w:marRight w:val="0"/>
      <w:marTop w:val="0"/>
      <w:marBottom w:val="0"/>
      <w:divBdr>
        <w:top w:val="none" w:sz="0" w:space="0" w:color="auto"/>
        <w:left w:val="none" w:sz="0" w:space="0" w:color="auto"/>
        <w:bottom w:val="none" w:sz="0" w:space="0" w:color="auto"/>
        <w:right w:val="none" w:sz="0" w:space="0" w:color="auto"/>
      </w:divBdr>
    </w:div>
    <w:div w:id="889997236">
      <w:bodyDiv w:val="1"/>
      <w:marLeft w:val="0"/>
      <w:marRight w:val="0"/>
      <w:marTop w:val="0"/>
      <w:marBottom w:val="0"/>
      <w:divBdr>
        <w:top w:val="none" w:sz="0" w:space="0" w:color="auto"/>
        <w:left w:val="none" w:sz="0" w:space="0" w:color="auto"/>
        <w:bottom w:val="none" w:sz="0" w:space="0" w:color="auto"/>
        <w:right w:val="none" w:sz="0" w:space="0" w:color="auto"/>
      </w:divBdr>
      <w:divsChild>
        <w:div w:id="1413234868">
          <w:marLeft w:val="0"/>
          <w:marRight w:val="0"/>
          <w:marTop w:val="0"/>
          <w:marBottom w:val="0"/>
          <w:divBdr>
            <w:top w:val="none" w:sz="0" w:space="0" w:color="auto"/>
            <w:left w:val="none" w:sz="0" w:space="0" w:color="auto"/>
            <w:bottom w:val="none" w:sz="0" w:space="0" w:color="auto"/>
            <w:right w:val="none" w:sz="0" w:space="0" w:color="auto"/>
          </w:divBdr>
        </w:div>
      </w:divsChild>
    </w:div>
    <w:div w:id="906838152">
      <w:bodyDiv w:val="1"/>
      <w:marLeft w:val="0"/>
      <w:marRight w:val="0"/>
      <w:marTop w:val="0"/>
      <w:marBottom w:val="0"/>
      <w:divBdr>
        <w:top w:val="none" w:sz="0" w:space="0" w:color="auto"/>
        <w:left w:val="none" w:sz="0" w:space="0" w:color="auto"/>
        <w:bottom w:val="none" w:sz="0" w:space="0" w:color="auto"/>
        <w:right w:val="none" w:sz="0" w:space="0" w:color="auto"/>
      </w:divBdr>
    </w:div>
    <w:div w:id="962538958">
      <w:bodyDiv w:val="1"/>
      <w:marLeft w:val="0"/>
      <w:marRight w:val="0"/>
      <w:marTop w:val="0"/>
      <w:marBottom w:val="0"/>
      <w:divBdr>
        <w:top w:val="none" w:sz="0" w:space="0" w:color="auto"/>
        <w:left w:val="none" w:sz="0" w:space="0" w:color="auto"/>
        <w:bottom w:val="none" w:sz="0" w:space="0" w:color="auto"/>
        <w:right w:val="none" w:sz="0" w:space="0" w:color="auto"/>
      </w:divBdr>
    </w:div>
    <w:div w:id="972061337">
      <w:bodyDiv w:val="1"/>
      <w:marLeft w:val="0"/>
      <w:marRight w:val="0"/>
      <w:marTop w:val="0"/>
      <w:marBottom w:val="0"/>
      <w:divBdr>
        <w:top w:val="none" w:sz="0" w:space="0" w:color="auto"/>
        <w:left w:val="none" w:sz="0" w:space="0" w:color="auto"/>
        <w:bottom w:val="none" w:sz="0" w:space="0" w:color="auto"/>
        <w:right w:val="none" w:sz="0" w:space="0" w:color="auto"/>
      </w:divBdr>
    </w:div>
    <w:div w:id="972638644">
      <w:bodyDiv w:val="1"/>
      <w:marLeft w:val="0"/>
      <w:marRight w:val="0"/>
      <w:marTop w:val="0"/>
      <w:marBottom w:val="0"/>
      <w:divBdr>
        <w:top w:val="none" w:sz="0" w:space="0" w:color="auto"/>
        <w:left w:val="none" w:sz="0" w:space="0" w:color="auto"/>
        <w:bottom w:val="none" w:sz="0" w:space="0" w:color="auto"/>
        <w:right w:val="none" w:sz="0" w:space="0" w:color="auto"/>
      </w:divBdr>
      <w:divsChild>
        <w:div w:id="985746122">
          <w:marLeft w:val="0"/>
          <w:marRight w:val="0"/>
          <w:marTop w:val="0"/>
          <w:marBottom w:val="0"/>
          <w:divBdr>
            <w:top w:val="none" w:sz="0" w:space="0" w:color="auto"/>
            <w:left w:val="single" w:sz="6" w:space="0" w:color="CCCCCC"/>
            <w:bottom w:val="none" w:sz="0" w:space="0" w:color="auto"/>
            <w:right w:val="single" w:sz="6" w:space="0" w:color="CCCCCC"/>
          </w:divBdr>
          <w:divsChild>
            <w:div w:id="2033649162">
              <w:marLeft w:val="0"/>
              <w:marRight w:val="0"/>
              <w:marTop w:val="0"/>
              <w:marBottom w:val="0"/>
              <w:divBdr>
                <w:top w:val="none" w:sz="0" w:space="0" w:color="auto"/>
                <w:left w:val="none" w:sz="0" w:space="0" w:color="auto"/>
                <w:bottom w:val="none" w:sz="0" w:space="0" w:color="auto"/>
                <w:right w:val="none" w:sz="0" w:space="0" w:color="auto"/>
              </w:divBdr>
              <w:divsChild>
                <w:div w:id="1284455822">
                  <w:marLeft w:val="0"/>
                  <w:marRight w:val="0"/>
                  <w:marTop w:val="0"/>
                  <w:marBottom w:val="0"/>
                  <w:divBdr>
                    <w:top w:val="none" w:sz="0" w:space="0" w:color="auto"/>
                    <w:left w:val="none" w:sz="0" w:space="0" w:color="auto"/>
                    <w:bottom w:val="none" w:sz="0" w:space="0" w:color="auto"/>
                    <w:right w:val="none" w:sz="0" w:space="0" w:color="auto"/>
                  </w:divBdr>
                  <w:divsChild>
                    <w:div w:id="842668536">
                      <w:marLeft w:val="0"/>
                      <w:marRight w:val="0"/>
                      <w:marTop w:val="0"/>
                      <w:marBottom w:val="0"/>
                      <w:divBdr>
                        <w:top w:val="none" w:sz="0" w:space="0" w:color="auto"/>
                        <w:left w:val="none" w:sz="0" w:space="0" w:color="auto"/>
                        <w:bottom w:val="none" w:sz="0" w:space="0" w:color="auto"/>
                        <w:right w:val="none" w:sz="0" w:space="0" w:color="auto"/>
                      </w:divBdr>
                      <w:divsChild>
                        <w:div w:id="2105607403">
                          <w:marLeft w:val="0"/>
                          <w:marRight w:val="0"/>
                          <w:marTop w:val="0"/>
                          <w:marBottom w:val="0"/>
                          <w:divBdr>
                            <w:top w:val="none" w:sz="0" w:space="0" w:color="auto"/>
                            <w:left w:val="none" w:sz="0" w:space="0" w:color="auto"/>
                            <w:bottom w:val="none" w:sz="0" w:space="0" w:color="auto"/>
                            <w:right w:val="none" w:sz="0" w:space="0" w:color="auto"/>
                          </w:divBdr>
                          <w:divsChild>
                            <w:div w:id="1360206990">
                              <w:marLeft w:val="0"/>
                              <w:marRight w:val="0"/>
                              <w:marTop w:val="0"/>
                              <w:marBottom w:val="0"/>
                              <w:divBdr>
                                <w:top w:val="none" w:sz="0" w:space="0" w:color="auto"/>
                                <w:left w:val="none" w:sz="0" w:space="0" w:color="auto"/>
                                <w:bottom w:val="none" w:sz="0" w:space="0" w:color="auto"/>
                                <w:right w:val="none" w:sz="0" w:space="0" w:color="auto"/>
                              </w:divBdr>
                              <w:divsChild>
                                <w:div w:id="130902999">
                                  <w:marLeft w:val="0"/>
                                  <w:marRight w:val="0"/>
                                  <w:marTop w:val="75"/>
                                  <w:marBottom w:val="75"/>
                                  <w:divBdr>
                                    <w:top w:val="none" w:sz="0" w:space="0" w:color="auto"/>
                                    <w:left w:val="none" w:sz="0" w:space="0" w:color="auto"/>
                                    <w:bottom w:val="none" w:sz="0" w:space="0" w:color="auto"/>
                                    <w:right w:val="none" w:sz="0" w:space="0" w:color="auto"/>
                                  </w:divBdr>
                                  <w:divsChild>
                                    <w:div w:id="8560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807204">
      <w:bodyDiv w:val="1"/>
      <w:marLeft w:val="0"/>
      <w:marRight w:val="0"/>
      <w:marTop w:val="0"/>
      <w:marBottom w:val="0"/>
      <w:divBdr>
        <w:top w:val="none" w:sz="0" w:space="0" w:color="auto"/>
        <w:left w:val="none" w:sz="0" w:space="0" w:color="auto"/>
        <w:bottom w:val="none" w:sz="0" w:space="0" w:color="auto"/>
        <w:right w:val="none" w:sz="0" w:space="0" w:color="auto"/>
      </w:divBdr>
    </w:div>
    <w:div w:id="1059863737">
      <w:marLeft w:val="0"/>
      <w:marRight w:val="0"/>
      <w:marTop w:val="0"/>
      <w:marBottom w:val="0"/>
      <w:divBdr>
        <w:top w:val="none" w:sz="0" w:space="0" w:color="auto"/>
        <w:left w:val="none" w:sz="0" w:space="0" w:color="auto"/>
        <w:bottom w:val="none" w:sz="0" w:space="0" w:color="auto"/>
        <w:right w:val="none" w:sz="0" w:space="0" w:color="auto"/>
      </w:divBdr>
    </w:div>
    <w:div w:id="1062673100">
      <w:bodyDiv w:val="1"/>
      <w:marLeft w:val="0"/>
      <w:marRight w:val="0"/>
      <w:marTop w:val="0"/>
      <w:marBottom w:val="0"/>
      <w:divBdr>
        <w:top w:val="none" w:sz="0" w:space="0" w:color="auto"/>
        <w:left w:val="none" w:sz="0" w:space="0" w:color="auto"/>
        <w:bottom w:val="none" w:sz="0" w:space="0" w:color="auto"/>
        <w:right w:val="none" w:sz="0" w:space="0" w:color="auto"/>
      </w:divBdr>
    </w:div>
    <w:div w:id="1066806881">
      <w:bodyDiv w:val="1"/>
      <w:marLeft w:val="0"/>
      <w:marRight w:val="0"/>
      <w:marTop w:val="0"/>
      <w:marBottom w:val="0"/>
      <w:divBdr>
        <w:top w:val="none" w:sz="0" w:space="0" w:color="auto"/>
        <w:left w:val="none" w:sz="0" w:space="0" w:color="auto"/>
        <w:bottom w:val="none" w:sz="0" w:space="0" w:color="auto"/>
        <w:right w:val="none" w:sz="0" w:space="0" w:color="auto"/>
      </w:divBdr>
    </w:div>
    <w:div w:id="1101292837">
      <w:bodyDiv w:val="1"/>
      <w:marLeft w:val="0"/>
      <w:marRight w:val="0"/>
      <w:marTop w:val="0"/>
      <w:marBottom w:val="0"/>
      <w:divBdr>
        <w:top w:val="none" w:sz="0" w:space="0" w:color="auto"/>
        <w:left w:val="none" w:sz="0" w:space="0" w:color="auto"/>
        <w:bottom w:val="none" w:sz="0" w:space="0" w:color="auto"/>
        <w:right w:val="none" w:sz="0" w:space="0" w:color="auto"/>
      </w:divBdr>
    </w:div>
    <w:div w:id="1113746064">
      <w:bodyDiv w:val="1"/>
      <w:marLeft w:val="0"/>
      <w:marRight w:val="0"/>
      <w:marTop w:val="0"/>
      <w:marBottom w:val="0"/>
      <w:divBdr>
        <w:top w:val="none" w:sz="0" w:space="0" w:color="auto"/>
        <w:left w:val="none" w:sz="0" w:space="0" w:color="auto"/>
        <w:bottom w:val="none" w:sz="0" w:space="0" w:color="auto"/>
        <w:right w:val="none" w:sz="0" w:space="0" w:color="auto"/>
      </w:divBdr>
      <w:divsChild>
        <w:div w:id="1150170601">
          <w:marLeft w:val="0"/>
          <w:marRight w:val="0"/>
          <w:marTop w:val="0"/>
          <w:marBottom w:val="0"/>
          <w:divBdr>
            <w:top w:val="none" w:sz="0" w:space="0" w:color="auto"/>
            <w:left w:val="none" w:sz="0" w:space="0" w:color="auto"/>
            <w:bottom w:val="none" w:sz="0" w:space="0" w:color="auto"/>
            <w:right w:val="none" w:sz="0" w:space="0" w:color="auto"/>
          </w:divBdr>
          <w:divsChild>
            <w:div w:id="1210804163">
              <w:marLeft w:val="0"/>
              <w:marRight w:val="0"/>
              <w:marTop w:val="0"/>
              <w:marBottom w:val="0"/>
              <w:divBdr>
                <w:top w:val="none" w:sz="0" w:space="0" w:color="auto"/>
                <w:left w:val="none" w:sz="0" w:space="0" w:color="auto"/>
                <w:bottom w:val="none" w:sz="0" w:space="0" w:color="auto"/>
                <w:right w:val="none" w:sz="0" w:space="0" w:color="auto"/>
              </w:divBdr>
              <w:divsChild>
                <w:div w:id="1617982681">
                  <w:marLeft w:val="-18913"/>
                  <w:marRight w:val="-18913"/>
                  <w:marTop w:val="0"/>
                  <w:marBottom w:val="0"/>
                  <w:divBdr>
                    <w:top w:val="none" w:sz="0" w:space="0" w:color="auto"/>
                    <w:left w:val="none" w:sz="0" w:space="0" w:color="auto"/>
                    <w:bottom w:val="none" w:sz="0" w:space="0" w:color="auto"/>
                    <w:right w:val="none" w:sz="0" w:space="0" w:color="auto"/>
                  </w:divBdr>
                  <w:divsChild>
                    <w:div w:id="1109853297">
                      <w:marLeft w:val="0"/>
                      <w:marRight w:val="30"/>
                      <w:marTop w:val="0"/>
                      <w:marBottom w:val="0"/>
                      <w:divBdr>
                        <w:top w:val="none" w:sz="0" w:space="0" w:color="auto"/>
                        <w:left w:val="none" w:sz="0" w:space="0" w:color="auto"/>
                        <w:bottom w:val="none" w:sz="0" w:space="0" w:color="auto"/>
                        <w:right w:val="none" w:sz="0" w:space="0" w:color="auto"/>
                      </w:divBdr>
                      <w:divsChild>
                        <w:div w:id="1208685431">
                          <w:marLeft w:val="0"/>
                          <w:marRight w:val="0"/>
                          <w:marTop w:val="0"/>
                          <w:marBottom w:val="0"/>
                          <w:divBdr>
                            <w:top w:val="none" w:sz="0" w:space="0" w:color="auto"/>
                            <w:left w:val="none" w:sz="0" w:space="0" w:color="auto"/>
                            <w:bottom w:val="none" w:sz="0" w:space="0" w:color="auto"/>
                            <w:right w:val="none" w:sz="0" w:space="0" w:color="auto"/>
                          </w:divBdr>
                          <w:divsChild>
                            <w:div w:id="1489594180">
                              <w:marLeft w:val="0"/>
                              <w:marRight w:val="0"/>
                              <w:marTop w:val="0"/>
                              <w:marBottom w:val="0"/>
                              <w:divBdr>
                                <w:top w:val="none" w:sz="0" w:space="0" w:color="auto"/>
                                <w:left w:val="none" w:sz="0" w:space="0" w:color="auto"/>
                                <w:bottom w:val="none" w:sz="0" w:space="0" w:color="auto"/>
                                <w:right w:val="none" w:sz="0" w:space="0" w:color="auto"/>
                              </w:divBdr>
                              <w:divsChild>
                                <w:div w:id="50647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80795">
      <w:bodyDiv w:val="1"/>
      <w:marLeft w:val="0"/>
      <w:marRight w:val="0"/>
      <w:marTop w:val="0"/>
      <w:marBottom w:val="0"/>
      <w:divBdr>
        <w:top w:val="none" w:sz="0" w:space="0" w:color="auto"/>
        <w:left w:val="none" w:sz="0" w:space="0" w:color="auto"/>
        <w:bottom w:val="none" w:sz="0" w:space="0" w:color="auto"/>
        <w:right w:val="none" w:sz="0" w:space="0" w:color="auto"/>
      </w:divBdr>
      <w:divsChild>
        <w:div w:id="1267276697">
          <w:marLeft w:val="0"/>
          <w:marRight w:val="0"/>
          <w:marTop w:val="0"/>
          <w:marBottom w:val="0"/>
          <w:divBdr>
            <w:top w:val="none" w:sz="0" w:space="0" w:color="auto"/>
            <w:left w:val="none" w:sz="0" w:space="0" w:color="auto"/>
            <w:bottom w:val="none" w:sz="0" w:space="0" w:color="auto"/>
            <w:right w:val="none" w:sz="0" w:space="0" w:color="auto"/>
          </w:divBdr>
          <w:divsChild>
            <w:div w:id="1815222973">
              <w:marLeft w:val="0"/>
              <w:marRight w:val="0"/>
              <w:marTop w:val="0"/>
              <w:marBottom w:val="0"/>
              <w:divBdr>
                <w:top w:val="none" w:sz="0" w:space="0" w:color="auto"/>
                <w:left w:val="none" w:sz="0" w:space="0" w:color="auto"/>
                <w:bottom w:val="none" w:sz="0" w:space="0" w:color="auto"/>
                <w:right w:val="none" w:sz="0" w:space="0" w:color="auto"/>
              </w:divBdr>
              <w:divsChild>
                <w:div w:id="6933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409220">
      <w:bodyDiv w:val="1"/>
      <w:marLeft w:val="0"/>
      <w:marRight w:val="0"/>
      <w:marTop w:val="0"/>
      <w:marBottom w:val="0"/>
      <w:divBdr>
        <w:top w:val="none" w:sz="0" w:space="0" w:color="auto"/>
        <w:left w:val="none" w:sz="0" w:space="0" w:color="auto"/>
        <w:bottom w:val="none" w:sz="0" w:space="0" w:color="auto"/>
        <w:right w:val="none" w:sz="0" w:space="0" w:color="auto"/>
      </w:divBdr>
      <w:divsChild>
        <w:div w:id="1536649334">
          <w:marLeft w:val="0"/>
          <w:marRight w:val="0"/>
          <w:marTop w:val="0"/>
          <w:marBottom w:val="0"/>
          <w:divBdr>
            <w:top w:val="none" w:sz="0" w:space="0" w:color="auto"/>
            <w:left w:val="none" w:sz="0" w:space="0" w:color="auto"/>
            <w:bottom w:val="none" w:sz="0" w:space="0" w:color="auto"/>
            <w:right w:val="none" w:sz="0" w:space="0" w:color="auto"/>
          </w:divBdr>
        </w:div>
      </w:divsChild>
    </w:div>
    <w:div w:id="1210528313">
      <w:marLeft w:val="0"/>
      <w:marRight w:val="0"/>
      <w:marTop w:val="0"/>
      <w:marBottom w:val="0"/>
      <w:divBdr>
        <w:top w:val="none" w:sz="0" w:space="0" w:color="auto"/>
        <w:left w:val="none" w:sz="0" w:space="0" w:color="auto"/>
        <w:bottom w:val="none" w:sz="0" w:space="0" w:color="auto"/>
        <w:right w:val="none" w:sz="0" w:space="0" w:color="auto"/>
      </w:divBdr>
    </w:div>
    <w:div w:id="1212501496">
      <w:bodyDiv w:val="1"/>
      <w:marLeft w:val="0"/>
      <w:marRight w:val="0"/>
      <w:marTop w:val="0"/>
      <w:marBottom w:val="0"/>
      <w:divBdr>
        <w:top w:val="none" w:sz="0" w:space="0" w:color="auto"/>
        <w:left w:val="none" w:sz="0" w:space="0" w:color="auto"/>
        <w:bottom w:val="none" w:sz="0" w:space="0" w:color="auto"/>
        <w:right w:val="none" w:sz="0" w:space="0" w:color="auto"/>
      </w:divBdr>
    </w:div>
    <w:div w:id="1274442810">
      <w:bodyDiv w:val="1"/>
      <w:marLeft w:val="0"/>
      <w:marRight w:val="0"/>
      <w:marTop w:val="0"/>
      <w:marBottom w:val="0"/>
      <w:divBdr>
        <w:top w:val="none" w:sz="0" w:space="0" w:color="auto"/>
        <w:left w:val="none" w:sz="0" w:space="0" w:color="auto"/>
        <w:bottom w:val="none" w:sz="0" w:space="0" w:color="auto"/>
        <w:right w:val="none" w:sz="0" w:space="0" w:color="auto"/>
      </w:divBdr>
    </w:div>
    <w:div w:id="1282225925">
      <w:bodyDiv w:val="1"/>
      <w:marLeft w:val="0"/>
      <w:marRight w:val="0"/>
      <w:marTop w:val="0"/>
      <w:marBottom w:val="0"/>
      <w:divBdr>
        <w:top w:val="none" w:sz="0" w:space="0" w:color="auto"/>
        <w:left w:val="none" w:sz="0" w:space="0" w:color="auto"/>
        <w:bottom w:val="none" w:sz="0" w:space="0" w:color="auto"/>
        <w:right w:val="none" w:sz="0" w:space="0" w:color="auto"/>
      </w:divBdr>
    </w:div>
    <w:div w:id="1315646827">
      <w:bodyDiv w:val="1"/>
      <w:marLeft w:val="0"/>
      <w:marRight w:val="0"/>
      <w:marTop w:val="0"/>
      <w:marBottom w:val="0"/>
      <w:divBdr>
        <w:top w:val="none" w:sz="0" w:space="0" w:color="auto"/>
        <w:left w:val="none" w:sz="0" w:space="0" w:color="auto"/>
        <w:bottom w:val="none" w:sz="0" w:space="0" w:color="auto"/>
        <w:right w:val="none" w:sz="0" w:space="0" w:color="auto"/>
      </w:divBdr>
    </w:div>
    <w:div w:id="1335181379">
      <w:bodyDiv w:val="1"/>
      <w:marLeft w:val="0"/>
      <w:marRight w:val="0"/>
      <w:marTop w:val="0"/>
      <w:marBottom w:val="0"/>
      <w:divBdr>
        <w:top w:val="none" w:sz="0" w:space="0" w:color="auto"/>
        <w:left w:val="none" w:sz="0" w:space="0" w:color="auto"/>
        <w:bottom w:val="none" w:sz="0" w:space="0" w:color="auto"/>
        <w:right w:val="none" w:sz="0" w:space="0" w:color="auto"/>
      </w:divBdr>
    </w:div>
    <w:div w:id="1335568080">
      <w:bodyDiv w:val="1"/>
      <w:marLeft w:val="0"/>
      <w:marRight w:val="0"/>
      <w:marTop w:val="0"/>
      <w:marBottom w:val="0"/>
      <w:divBdr>
        <w:top w:val="none" w:sz="0" w:space="0" w:color="auto"/>
        <w:left w:val="none" w:sz="0" w:space="0" w:color="auto"/>
        <w:bottom w:val="none" w:sz="0" w:space="0" w:color="auto"/>
        <w:right w:val="none" w:sz="0" w:space="0" w:color="auto"/>
      </w:divBdr>
    </w:div>
    <w:div w:id="1351950359">
      <w:bodyDiv w:val="1"/>
      <w:marLeft w:val="0"/>
      <w:marRight w:val="0"/>
      <w:marTop w:val="0"/>
      <w:marBottom w:val="0"/>
      <w:divBdr>
        <w:top w:val="none" w:sz="0" w:space="0" w:color="auto"/>
        <w:left w:val="none" w:sz="0" w:space="0" w:color="auto"/>
        <w:bottom w:val="none" w:sz="0" w:space="0" w:color="auto"/>
        <w:right w:val="none" w:sz="0" w:space="0" w:color="auto"/>
      </w:divBdr>
    </w:div>
    <w:div w:id="1407845355">
      <w:bodyDiv w:val="1"/>
      <w:marLeft w:val="0"/>
      <w:marRight w:val="0"/>
      <w:marTop w:val="0"/>
      <w:marBottom w:val="0"/>
      <w:divBdr>
        <w:top w:val="none" w:sz="0" w:space="0" w:color="auto"/>
        <w:left w:val="none" w:sz="0" w:space="0" w:color="auto"/>
        <w:bottom w:val="none" w:sz="0" w:space="0" w:color="auto"/>
        <w:right w:val="none" w:sz="0" w:space="0" w:color="auto"/>
      </w:divBdr>
    </w:div>
    <w:div w:id="1470971882">
      <w:bodyDiv w:val="1"/>
      <w:marLeft w:val="0"/>
      <w:marRight w:val="0"/>
      <w:marTop w:val="0"/>
      <w:marBottom w:val="0"/>
      <w:divBdr>
        <w:top w:val="none" w:sz="0" w:space="0" w:color="auto"/>
        <w:left w:val="none" w:sz="0" w:space="0" w:color="auto"/>
        <w:bottom w:val="none" w:sz="0" w:space="0" w:color="auto"/>
        <w:right w:val="none" w:sz="0" w:space="0" w:color="auto"/>
      </w:divBdr>
    </w:div>
    <w:div w:id="1474180451">
      <w:bodyDiv w:val="1"/>
      <w:marLeft w:val="0"/>
      <w:marRight w:val="0"/>
      <w:marTop w:val="0"/>
      <w:marBottom w:val="0"/>
      <w:divBdr>
        <w:top w:val="none" w:sz="0" w:space="0" w:color="auto"/>
        <w:left w:val="none" w:sz="0" w:space="0" w:color="auto"/>
        <w:bottom w:val="none" w:sz="0" w:space="0" w:color="auto"/>
        <w:right w:val="none" w:sz="0" w:space="0" w:color="auto"/>
      </w:divBdr>
    </w:div>
    <w:div w:id="1478380790">
      <w:bodyDiv w:val="1"/>
      <w:marLeft w:val="0"/>
      <w:marRight w:val="0"/>
      <w:marTop w:val="0"/>
      <w:marBottom w:val="0"/>
      <w:divBdr>
        <w:top w:val="none" w:sz="0" w:space="0" w:color="auto"/>
        <w:left w:val="none" w:sz="0" w:space="0" w:color="auto"/>
        <w:bottom w:val="none" w:sz="0" w:space="0" w:color="auto"/>
        <w:right w:val="none" w:sz="0" w:space="0" w:color="auto"/>
      </w:divBdr>
    </w:div>
    <w:div w:id="1555891795">
      <w:bodyDiv w:val="1"/>
      <w:marLeft w:val="0"/>
      <w:marRight w:val="0"/>
      <w:marTop w:val="0"/>
      <w:marBottom w:val="0"/>
      <w:divBdr>
        <w:top w:val="none" w:sz="0" w:space="0" w:color="auto"/>
        <w:left w:val="none" w:sz="0" w:space="0" w:color="auto"/>
        <w:bottom w:val="none" w:sz="0" w:space="0" w:color="auto"/>
        <w:right w:val="none" w:sz="0" w:space="0" w:color="auto"/>
      </w:divBdr>
    </w:div>
    <w:div w:id="1560940285">
      <w:marLeft w:val="0"/>
      <w:marRight w:val="0"/>
      <w:marTop w:val="0"/>
      <w:marBottom w:val="0"/>
      <w:divBdr>
        <w:top w:val="none" w:sz="0" w:space="0" w:color="auto"/>
        <w:left w:val="none" w:sz="0" w:space="0" w:color="auto"/>
        <w:bottom w:val="none" w:sz="0" w:space="0" w:color="auto"/>
        <w:right w:val="none" w:sz="0" w:space="0" w:color="auto"/>
      </w:divBdr>
    </w:div>
    <w:div w:id="1613198651">
      <w:bodyDiv w:val="1"/>
      <w:marLeft w:val="0"/>
      <w:marRight w:val="0"/>
      <w:marTop w:val="0"/>
      <w:marBottom w:val="0"/>
      <w:divBdr>
        <w:top w:val="none" w:sz="0" w:space="0" w:color="auto"/>
        <w:left w:val="none" w:sz="0" w:space="0" w:color="auto"/>
        <w:bottom w:val="none" w:sz="0" w:space="0" w:color="auto"/>
        <w:right w:val="none" w:sz="0" w:space="0" w:color="auto"/>
      </w:divBdr>
    </w:div>
    <w:div w:id="1642685423">
      <w:marLeft w:val="0"/>
      <w:marRight w:val="0"/>
      <w:marTop w:val="0"/>
      <w:marBottom w:val="0"/>
      <w:divBdr>
        <w:top w:val="none" w:sz="0" w:space="0" w:color="auto"/>
        <w:left w:val="none" w:sz="0" w:space="0" w:color="auto"/>
        <w:bottom w:val="none" w:sz="0" w:space="0" w:color="auto"/>
        <w:right w:val="none" w:sz="0" w:space="0" w:color="auto"/>
      </w:divBdr>
    </w:div>
    <w:div w:id="1654215963">
      <w:marLeft w:val="0"/>
      <w:marRight w:val="0"/>
      <w:marTop w:val="0"/>
      <w:marBottom w:val="0"/>
      <w:divBdr>
        <w:top w:val="none" w:sz="0" w:space="0" w:color="auto"/>
        <w:left w:val="none" w:sz="0" w:space="0" w:color="auto"/>
        <w:bottom w:val="none" w:sz="0" w:space="0" w:color="auto"/>
        <w:right w:val="none" w:sz="0" w:space="0" w:color="auto"/>
      </w:divBdr>
    </w:div>
    <w:div w:id="1681155233">
      <w:marLeft w:val="0"/>
      <w:marRight w:val="0"/>
      <w:marTop w:val="0"/>
      <w:marBottom w:val="0"/>
      <w:divBdr>
        <w:top w:val="none" w:sz="0" w:space="0" w:color="auto"/>
        <w:left w:val="none" w:sz="0" w:space="0" w:color="auto"/>
        <w:bottom w:val="none" w:sz="0" w:space="0" w:color="auto"/>
        <w:right w:val="none" w:sz="0" w:space="0" w:color="auto"/>
      </w:divBdr>
    </w:div>
    <w:div w:id="1684628587">
      <w:bodyDiv w:val="1"/>
      <w:marLeft w:val="0"/>
      <w:marRight w:val="0"/>
      <w:marTop w:val="0"/>
      <w:marBottom w:val="0"/>
      <w:divBdr>
        <w:top w:val="none" w:sz="0" w:space="0" w:color="auto"/>
        <w:left w:val="none" w:sz="0" w:space="0" w:color="auto"/>
        <w:bottom w:val="none" w:sz="0" w:space="0" w:color="auto"/>
        <w:right w:val="none" w:sz="0" w:space="0" w:color="auto"/>
      </w:divBdr>
    </w:div>
    <w:div w:id="1762988447">
      <w:bodyDiv w:val="1"/>
      <w:marLeft w:val="0"/>
      <w:marRight w:val="0"/>
      <w:marTop w:val="0"/>
      <w:marBottom w:val="0"/>
      <w:divBdr>
        <w:top w:val="none" w:sz="0" w:space="0" w:color="auto"/>
        <w:left w:val="none" w:sz="0" w:space="0" w:color="auto"/>
        <w:bottom w:val="none" w:sz="0" w:space="0" w:color="auto"/>
        <w:right w:val="none" w:sz="0" w:space="0" w:color="auto"/>
      </w:divBdr>
    </w:div>
    <w:div w:id="1766530535">
      <w:bodyDiv w:val="1"/>
      <w:marLeft w:val="0"/>
      <w:marRight w:val="0"/>
      <w:marTop w:val="0"/>
      <w:marBottom w:val="0"/>
      <w:divBdr>
        <w:top w:val="none" w:sz="0" w:space="0" w:color="auto"/>
        <w:left w:val="none" w:sz="0" w:space="0" w:color="auto"/>
        <w:bottom w:val="none" w:sz="0" w:space="0" w:color="auto"/>
        <w:right w:val="none" w:sz="0" w:space="0" w:color="auto"/>
      </w:divBdr>
      <w:divsChild>
        <w:div w:id="855120397">
          <w:marLeft w:val="0"/>
          <w:marRight w:val="0"/>
          <w:marTop w:val="0"/>
          <w:marBottom w:val="0"/>
          <w:divBdr>
            <w:top w:val="none" w:sz="0" w:space="0" w:color="auto"/>
            <w:left w:val="none" w:sz="0" w:space="0" w:color="auto"/>
            <w:bottom w:val="none" w:sz="0" w:space="0" w:color="auto"/>
            <w:right w:val="none" w:sz="0" w:space="0" w:color="auto"/>
          </w:divBdr>
        </w:div>
        <w:div w:id="1641492940">
          <w:marLeft w:val="0"/>
          <w:marRight w:val="0"/>
          <w:marTop w:val="0"/>
          <w:marBottom w:val="0"/>
          <w:divBdr>
            <w:top w:val="none" w:sz="0" w:space="0" w:color="auto"/>
            <w:left w:val="none" w:sz="0" w:space="0" w:color="auto"/>
            <w:bottom w:val="none" w:sz="0" w:space="0" w:color="auto"/>
            <w:right w:val="none" w:sz="0" w:space="0" w:color="auto"/>
          </w:divBdr>
        </w:div>
        <w:div w:id="79915274">
          <w:marLeft w:val="0"/>
          <w:marRight w:val="0"/>
          <w:marTop w:val="0"/>
          <w:marBottom w:val="0"/>
          <w:divBdr>
            <w:top w:val="none" w:sz="0" w:space="0" w:color="auto"/>
            <w:left w:val="none" w:sz="0" w:space="0" w:color="auto"/>
            <w:bottom w:val="none" w:sz="0" w:space="0" w:color="auto"/>
            <w:right w:val="none" w:sz="0" w:space="0" w:color="auto"/>
          </w:divBdr>
        </w:div>
        <w:div w:id="1322732312">
          <w:marLeft w:val="0"/>
          <w:marRight w:val="0"/>
          <w:marTop w:val="0"/>
          <w:marBottom w:val="0"/>
          <w:divBdr>
            <w:top w:val="none" w:sz="0" w:space="0" w:color="auto"/>
            <w:left w:val="none" w:sz="0" w:space="0" w:color="auto"/>
            <w:bottom w:val="none" w:sz="0" w:space="0" w:color="auto"/>
            <w:right w:val="none" w:sz="0" w:space="0" w:color="auto"/>
          </w:divBdr>
        </w:div>
        <w:div w:id="1667514995">
          <w:marLeft w:val="0"/>
          <w:marRight w:val="0"/>
          <w:marTop w:val="0"/>
          <w:marBottom w:val="0"/>
          <w:divBdr>
            <w:top w:val="none" w:sz="0" w:space="0" w:color="auto"/>
            <w:left w:val="none" w:sz="0" w:space="0" w:color="auto"/>
            <w:bottom w:val="none" w:sz="0" w:space="0" w:color="auto"/>
            <w:right w:val="none" w:sz="0" w:space="0" w:color="auto"/>
          </w:divBdr>
        </w:div>
        <w:div w:id="1123574862">
          <w:marLeft w:val="0"/>
          <w:marRight w:val="0"/>
          <w:marTop w:val="0"/>
          <w:marBottom w:val="0"/>
          <w:divBdr>
            <w:top w:val="none" w:sz="0" w:space="0" w:color="auto"/>
            <w:left w:val="none" w:sz="0" w:space="0" w:color="auto"/>
            <w:bottom w:val="none" w:sz="0" w:space="0" w:color="auto"/>
            <w:right w:val="none" w:sz="0" w:space="0" w:color="auto"/>
          </w:divBdr>
        </w:div>
        <w:div w:id="943151953">
          <w:marLeft w:val="0"/>
          <w:marRight w:val="0"/>
          <w:marTop w:val="0"/>
          <w:marBottom w:val="0"/>
          <w:divBdr>
            <w:top w:val="none" w:sz="0" w:space="0" w:color="auto"/>
            <w:left w:val="none" w:sz="0" w:space="0" w:color="auto"/>
            <w:bottom w:val="none" w:sz="0" w:space="0" w:color="auto"/>
            <w:right w:val="none" w:sz="0" w:space="0" w:color="auto"/>
          </w:divBdr>
        </w:div>
        <w:div w:id="1241401374">
          <w:marLeft w:val="0"/>
          <w:marRight w:val="0"/>
          <w:marTop w:val="0"/>
          <w:marBottom w:val="0"/>
          <w:divBdr>
            <w:top w:val="none" w:sz="0" w:space="0" w:color="auto"/>
            <w:left w:val="none" w:sz="0" w:space="0" w:color="auto"/>
            <w:bottom w:val="none" w:sz="0" w:space="0" w:color="auto"/>
            <w:right w:val="none" w:sz="0" w:space="0" w:color="auto"/>
          </w:divBdr>
        </w:div>
        <w:div w:id="1431509600">
          <w:marLeft w:val="0"/>
          <w:marRight w:val="0"/>
          <w:marTop w:val="0"/>
          <w:marBottom w:val="0"/>
          <w:divBdr>
            <w:top w:val="none" w:sz="0" w:space="0" w:color="auto"/>
            <w:left w:val="none" w:sz="0" w:space="0" w:color="auto"/>
            <w:bottom w:val="none" w:sz="0" w:space="0" w:color="auto"/>
            <w:right w:val="none" w:sz="0" w:space="0" w:color="auto"/>
          </w:divBdr>
        </w:div>
        <w:div w:id="1700006862">
          <w:marLeft w:val="0"/>
          <w:marRight w:val="0"/>
          <w:marTop w:val="0"/>
          <w:marBottom w:val="0"/>
          <w:divBdr>
            <w:top w:val="none" w:sz="0" w:space="0" w:color="auto"/>
            <w:left w:val="none" w:sz="0" w:space="0" w:color="auto"/>
            <w:bottom w:val="none" w:sz="0" w:space="0" w:color="auto"/>
            <w:right w:val="none" w:sz="0" w:space="0" w:color="auto"/>
          </w:divBdr>
        </w:div>
        <w:div w:id="1550460275">
          <w:marLeft w:val="0"/>
          <w:marRight w:val="0"/>
          <w:marTop w:val="0"/>
          <w:marBottom w:val="0"/>
          <w:divBdr>
            <w:top w:val="none" w:sz="0" w:space="0" w:color="auto"/>
            <w:left w:val="none" w:sz="0" w:space="0" w:color="auto"/>
            <w:bottom w:val="none" w:sz="0" w:space="0" w:color="auto"/>
            <w:right w:val="none" w:sz="0" w:space="0" w:color="auto"/>
          </w:divBdr>
        </w:div>
        <w:div w:id="769543831">
          <w:marLeft w:val="0"/>
          <w:marRight w:val="0"/>
          <w:marTop w:val="0"/>
          <w:marBottom w:val="0"/>
          <w:divBdr>
            <w:top w:val="none" w:sz="0" w:space="0" w:color="auto"/>
            <w:left w:val="none" w:sz="0" w:space="0" w:color="auto"/>
            <w:bottom w:val="none" w:sz="0" w:space="0" w:color="auto"/>
            <w:right w:val="none" w:sz="0" w:space="0" w:color="auto"/>
          </w:divBdr>
        </w:div>
        <w:div w:id="279727111">
          <w:marLeft w:val="0"/>
          <w:marRight w:val="0"/>
          <w:marTop w:val="0"/>
          <w:marBottom w:val="0"/>
          <w:divBdr>
            <w:top w:val="none" w:sz="0" w:space="0" w:color="auto"/>
            <w:left w:val="none" w:sz="0" w:space="0" w:color="auto"/>
            <w:bottom w:val="none" w:sz="0" w:space="0" w:color="auto"/>
            <w:right w:val="none" w:sz="0" w:space="0" w:color="auto"/>
          </w:divBdr>
        </w:div>
        <w:div w:id="1108548908">
          <w:marLeft w:val="0"/>
          <w:marRight w:val="0"/>
          <w:marTop w:val="0"/>
          <w:marBottom w:val="0"/>
          <w:divBdr>
            <w:top w:val="none" w:sz="0" w:space="0" w:color="auto"/>
            <w:left w:val="none" w:sz="0" w:space="0" w:color="auto"/>
            <w:bottom w:val="none" w:sz="0" w:space="0" w:color="auto"/>
            <w:right w:val="none" w:sz="0" w:space="0" w:color="auto"/>
          </w:divBdr>
        </w:div>
        <w:div w:id="862790780">
          <w:marLeft w:val="0"/>
          <w:marRight w:val="0"/>
          <w:marTop w:val="0"/>
          <w:marBottom w:val="0"/>
          <w:divBdr>
            <w:top w:val="none" w:sz="0" w:space="0" w:color="auto"/>
            <w:left w:val="none" w:sz="0" w:space="0" w:color="auto"/>
            <w:bottom w:val="none" w:sz="0" w:space="0" w:color="auto"/>
            <w:right w:val="none" w:sz="0" w:space="0" w:color="auto"/>
          </w:divBdr>
        </w:div>
        <w:div w:id="701245465">
          <w:marLeft w:val="0"/>
          <w:marRight w:val="0"/>
          <w:marTop w:val="0"/>
          <w:marBottom w:val="0"/>
          <w:divBdr>
            <w:top w:val="none" w:sz="0" w:space="0" w:color="auto"/>
            <w:left w:val="none" w:sz="0" w:space="0" w:color="auto"/>
            <w:bottom w:val="none" w:sz="0" w:space="0" w:color="auto"/>
            <w:right w:val="none" w:sz="0" w:space="0" w:color="auto"/>
          </w:divBdr>
        </w:div>
        <w:div w:id="1728264829">
          <w:marLeft w:val="0"/>
          <w:marRight w:val="0"/>
          <w:marTop w:val="0"/>
          <w:marBottom w:val="0"/>
          <w:divBdr>
            <w:top w:val="none" w:sz="0" w:space="0" w:color="auto"/>
            <w:left w:val="none" w:sz="0" w:space="0" w:color="auto"/>
            <w:bottom w:val="none" w:sz="0" w:space="0" w:color="auto"/>
            <w:right w:val="none" w:sz="0" w:space="0" w:color="auto"/>
          </w:divBdr>
        </w:div>
        <w:div w:id="1771587080">
          <w:marLeft w:val="0"/>
          <w:marRight w:val="0"/>
          <w:marTop w:val="0"/>
          <w:marBottom w:val="0"/>
          <w:divBdr>
            <w:top w:val="none" w:sz="0" w:space="0" w:color="auto"/>
            <w:left w:val="none" w:sz="0" w:space="0" w:color="auto"/>
            <w:bottom w:val="none" w:sz="0" w:space="0" w:color="auto"/>
            <w:right w:val="none" w:sz="0" w:space="0" w:color="auto"/>
          </w:divBdr>
        </w:div>
        <w:div w:id="1086652529">
          <w:marLeft w:val="0"/>
          <w:marRight w:val="0"/>
          <w:marTop w:val="0"/>
          <w:marBottom w:val="0"/>
          <w:divBdr>
            <w:top w:val="none" w:sz="0" w:space="0" w:color="auto"/>
            <w:left w:val="none" w:sz="0" w:space="0" w:color="auto"/>
            <w:bottom w:val="none" w:sz="0" w:space="0" w:color="auto"/>
            <w:right w:val="none" w:sz="0" w:space="0" w:color="auto"/>
          </w:divBdr>
        </w:div>
        <w:div w:id="1917787867">
          <w:marLeft w:val="0"/>
          <w:marRight w:val="0"/>
          <w:marTop w:val="0"/>
          <w:marBottom w:val="0"/>
          <w:divBdr>
            <w:top w:val="none" w:sz="0" w:space="0" w:color="auto"/>
            <w:left w:val="none" w:sz="0" w:space="0" w:color="auto"/>
            <w:bottom w:val="none" w:sz="0" w:space="0" w:color="auto"/>
            <w:right w:val="none" w:sz="0" w:space="0" w:color="auto"/>
          </w:divBdr>
        </w:div>
        <w:div w:id="1389917284">
          <w:marLeft w:val="0"/>
          <w:marRight w:val="0"/>
          <w:marTop w:val="0"/>
          <w:marBottom w:val="0"/>
          <w:divBdr>
            <w:top w:val="none" w:sz="0" w:space="0" w:color="auto"/>
            <w:left w:val="none" w:sz="0" w:space="0" w:color="auto"/>
            <w:bottom w:val="none" w:sz="0" w:space="0" w:color="auto"/>
            <w:right w:val="none" w:sz="0" w:space="0" w:color="auto"/>
          </w:divBdr>
        </w:div>
        <w:div w:id="1385134600">
          <w:marLeft w:val="0"/>
          <w:marRight w:val="0"/>
          <w:marTop w:val="0"/>
          <w:marBottom w:val="0"/>
          <w:divBdr>
            <w:top w:val="none" w:sz="0" w:space="0" w:color="auto"/>
            <w:left w:val="none" w:sz="0" w:space="0" w:color="auto"/>
            <w:bottom w:val="none" w:sz="0" w:space="0" w:color="auto"/>
            <w:right w:val="none" w:sz="0" w:space="0" w:color="auto"/>
          </w:divBdr>
        </w:div>
        <w:div w:id="729769618">
          <w:marLeft w:val="0"/>
          <w:marRight w:val="0"/>
          <w:marTop w:val="0"/>
          <w:marBottom w:val="0"/>
          <w:divBdr>
            <w:top w:val="none" w:sz="0" w:space="0" w:color="auto"/>
            <w:left w:val="none" w:sz="0" w:space="0" w:color="auto"/>
            <w:bottom w:val="none" w:sz="0" w:space="0" w:color="auto"/>
            <w:right w:val="none" w:sz="0" w:space="0" w:color="auto"/>
          </w:divBdr>
        </w:div>
      </w:divsChild>
    </w:div>
    <w:div w:id="1774206562">
      <w:bodyDiv w:val="1"/>
      <w:marLeft w:val="0"/>
      <w:marRight w:val="0"/>
      <w:marTop w:val="0"/>
      <w:marBottom w:val="0"/>
      <w:divBdr>
        <w:top w:val="none" w:sz="0" w:space="0" w:color="auto"/>
        <w:left w:val="none" w:sz="0" w:space="0" w:color="auto"/>
        <w:bottom w:val="none" w:sz="0" w:space="0" w:color="auto"/>
        <w:right w:val="none" w:sz="0" w:space="0" w:color="auto"/>
      </w:divBdr>
    </w:div>
    <w:div w:id="1776441999">
      <w:marLeft w:val="0"/>
      <w:marRight w:val="0"/>
      <w:marTop w:val="0"/>
      <w:marBottom w:val="0"/>
      <w:divBdr>
        <w:top w:val="none" w:sz="0" w:space="0" w:color="auto"/>
        <w:left w:val="none" w:sz="0" w:space="0" w:color="auto"/>
        <w:bottom w:val="none" w:sz="0" w:space="0" w:color="auto"/>
        <w:right w:val="none" w:sz="0" w:space="0" w:color="auto"/>
      </w:divBdr>
    </w:div>
    <w:div w:id="1816988671">
      <w:bodyDiv w:val="1"/>
      <w:marLeft w:val="0"/>
      <w:marRight w:val="0"/>
      <w:marTop w:val="0"/>
      <w:marBottom w:val="0"/>
      <w:divBdr>
        <w:top w:val="none" w:sz="0" w:space="0" w:color="auto"/>
        <w:left w:val="none" w:sz="0" w:space="0" w:color="auto"/>
        <w:bottom w:val="none" w:sz="0" w:space="0" w:color="auto"/>
        <w:right w:val="none" w:sz="0" w:space="0" w:color="auto"/>
      </w:divBdr>
    </w:div>
    <w:div w:id="1833258292">
      <w:marLeft w:val="0"/>
      <w:marRight w:val="0"/>
      <w:marTop w:val="0"/>
      <w:marBottom w:val="0"/>
      <w:divBdr>
        <w:top w:val="none" w:sz="0" w:space="0" w:color="auto"/>
        <w:left w:val="none" w:sz="0" w:space="0" w:color="auto"/>
        <w:bottom w:val="none" w:sz="0" w:space="0" w:color="auto"/>
        <w:right w:val="none" w:sz="0" w:space="0" w:color="auto"/>
      </w:divBdr>
    </w:div>
    <w:div w:id="1856922748">
      <w:bodyDiv w:val="1"/>
      <w:marLeft w:val="0"/>
      <w:marRight w:val="0"/>
      <w:marTop w:val="0"/>
      <w:marBottom w:val="0"/>
      <w:divBdr>
        <w:top w:val="none" w:sz="0" w:space="0" w:color="auto"/>
        <w:left w:val="none" w:sz="0" w:space="0" w:color="auto"/>
        <w:bottom w:val="none" w:sz="0" w:space="0" w:color="auto"/>
        <w:right w:val="none" w:sz="0" w:space="0" w:color="auto"/>
      </w:divBdr>
      <w:divsChild>
        <w:div w:id="1137527679">
          <w:marLeft w:val="0"/>
          <w:marRight w:val="0"/>
          <w:marTop w:val="100"/>
          <w:marBottom w:val="0"/>
          <w:divBdr>
            <w:top w:val="none" w:sz="0" w:space="0" w:color="auto"/>
            <w:left w:val="none" w:sz="0" w:space="0" w:color="auto"/>
            <w:bottom w:val="none" w:sz="0" w:space="0" w:color="auto"/>
            <w:right w:val="none" w:sz="0" w:space="0" w:color="auto"/>
          </w:divBdr>
          <w:divsChild>
            <w:div w:id="1682733466">
              <w:marLeft w:val="0"/>
              <w:marRight w:val="0"/>
              <w:marTop w:val="45"/>
              <w:marBottom w:val="0"/>
              <w:divBdr>
                <w:top w:val="none" w:sz="0" w:space="0" w:color="auto"/>
                <w:left w:val="none" w:sz="0" w:space="0" w:color="auto"/>
                <w:bottom w:val="none" w:sz="0" w:space="0" w:color="auto"/>
                <w:right w:val="none" w:sz="0" w:space="0" w:color="auto"/>
              </w:divBdr>
              <w:divsChild>
                <w:div w:id="1838300380">
                  <w:marLeft w:val="0"/>
                  <w:marRight w:val="0"/>
                  <w:marTop w:val="0"/>
                  <w:marBottom w:val="0"/>
                  <w:divBdr>
                    <w:top w:val="none" w:sz="0" w:space="0" w:color="auto"/>
                    <w:left w:val="none" w:sz="0" w:space="0" w:color="auto"/>
                    <w:bottom w:val="none" w:sz="0" w:space="0" w:color="auto"/>
                    <w:right w:val="none" w:sz="0" w:space="0" w:color="auto"/>
                  </w:divBdr>
                  <w:divsChild>
                    <w:div w:id="84881050">
                      <w:marLeft w:val="0"/>
                      <w:marRight w:val="0"/>
                      <w:marTop w:val="0"/>
                      <w:marBottom w:val="0"/>
                      <w:divBdr>
                        <w:top w:val="none" w:sz="0" w:space="0" w:color="auto"/>
                        <w:left w:val="none" w:sz="0" w:space="0" w:color="auto"/>
                        <w:bottom w:val="none" w:sz="0" w:space="0" w:color="auto"/>
                        <w:right w:val="none" w:sz="0" w:space="0" w:color="auto"/>
                      </w:divBdr>
                      <w:divsChild>
                        <w:div w:id="1272542787">
                          <w:marLeft w:val="0"/>
                          <w:marRight w:val="0"/>
                          <w:marTop w:val="0"/>
                          <w:marBottom w:val="0"/>
                          <w:divBdr>
                            <w:top w:val="none" w:sz="0" w:space="0" w:color="auto"/>
                            <w:left w:val="none" w:sz="0" w:space="0" w:color="auto"/>
                            <w:bottom w:val="none" w:sz="0" w:space="0" w:color="auto"/>
                            <w:right w:val="none" w:sz="0" w:space="0" w:color="auto"/>
                          </w:divBdr>
                          <w:divsChild>
                            <w:div w:id="202173591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459943">
      <w:marLeft w:val="0"/>
      <w:marRight w:val="0"/>
      <w:marTop w:val="0"/>
      <w:marBottom w:val="0"/>
      <w:divBdr>
        <w:top w:val="none" w:sz="0" w:space="0" w:color="auto"/>
        <w:left w:val="none" w:sz="0" w:space="0" w:color="auto"/>
        <w:bottom w:val="none" w:sz="0" w:space="0" w:color="auto"/>
        <w:right w:val="none" w:sz="0" w:space="0" w:color="auto"/>
      </w:divBdr>
    </w:div>
    <w:div w:id="1880581998">
      <w:marLeft w:val="0"/>
      <w:marRight w:val="0"/>
      <w:marTop w:val="0"/>
      <w:marBottom w:val="0"/>
      <w:divBdr>
        <w:top w:val="none" w:sz="0" w:space="0" w:color="auto"/>
        <w:left w:val="none" w:sz="0" w:space="0" w:color="auto"/>
        <w:bottom w:val="none" w:sz="0" w:space="0" w:color="auto"/>
        <w:right w:val="none" w:sz="0" w:space="0" w:color="auto"/>
      </w:divBdr>
    </w:div>
    <w:div w:id="1915581804">
      <w:bodyDiv w:val="1"/>
      <w:marLeft w:val="0"/>
      <w:marRight w:val="0"/>
      <w:marTop w:val="0"/>
      <w:marBottom w:val="0"/>
      <w:divBdr>
        <w:top w:val="none" w:sz="0" w:space="0" w:color="auto"/>
        <w:left w:val="none" w:sz="0" w:space="0" w:color="auto"/>
        <w:bottom w:val="none" w:sz="0" w:space="0" w:color="auto"/>
        <w:right w:val="none" w:sz="0" w:space="0" w:color="auto"/>
      </w:divBdr>
    </w:div>
    <w:div w:id="1967471177">
      <w:bodyDiv w:val="1"/>
      <w:marLeft w:val="0"/>
      <w:marRight w:val="0"/>
      <w:marTop w:val="0"/>
      <w:marBottom w:val="0"/>
      <w:divBdr>
        <w:top w:val="none" w:sz="0" w:space="0" w:color="auto"/>
        <w:left w:val="none" w:sz="0" w:space="0" w:color="auto"/>
        <w:bottom w:val="none" w:sz="0" w:space="0" w:color="auto"/>
        <w:right w:val="none" w:sz="0" w:space="0" w:color="auto"/>
      </w:divBdr>
      <w:divsChild>
        <w:div w:id="1745762504">
          <w:marLeft w:val="0"/>
          <w:marRight w:val="0"/>
          <w:marTop w:val="100"/>
          <w:marBottom w:val="0"/>
          <w:divBdr>
            <w:top w:val="none" w:sz="0" w:space="0" w:color="auto"/>
            <w:left w:val="none" w:sz="0" w:space="0" w:color="auto"/>
            <w:bottom w:val="none" w:sz="0" w:space="0" w:color="auto"/>
            <w:right w:val="none" w:sz="0" w:space="0" w:color="auto"/>
          </w:divBdr>
          <w:divsChild>
            <w:div w:id="1333608959">
              <w:marLeft w:val="0"/>
              <w:marRight w:val="0"/>
              <w:marTop w:val="45"/>
              <w:marBottom w:val="0"/>
              <w:divBdr>
                <w:top w:val="none" w:sz="0" w:space="0" w:color="auto"/>
                <w:left w:val="none" w:sz="0" w:space="0" w:color="auto"/>
                <w:bottom w:val="none" w:sz="0" w:space="0" w:color="auto"/>
                <w:right w:val="none" w:sz="0" w:space="0" w:color="auto"/>
              </w:divBdr>
              <w:divsChild>
                <w:div w:id="110132825">
                  <w:marLeft w:val="0"/>
                  <w:marRight w:val="0"/>
                  <w:marTop w:val="0"/>
                  <w:marBottom w:val="0"/>
                  <w:divBdr>
                    <w:top w:val="none" w:sz="0" w:space="0" w:color="auto"/>
                    <w:left w:val="none" w:sz="0" w:space="0" w:color="auto"/>
                    <w:bottom w:val="none" w:sz="0" w:space="0" w:color="auto"/>
                    <w:right w:val="none" w:sz="0" w:space="0" w:color="auto"/>
                  </w:divBdr>
                  <w:divsChild>
                    <w:div w:id="1391611156">
                      <w:marLeft w:val="0"/>
                      <w:marRight w:val="0"/>
                      <w:marTop w:val="0"/>
                      <w:marBottom w:val="0"/>
                      <w:divBdr>
                        <w:top w:val="none" w:sz="0" w:space="0" w:color="auto"/>
                        <w:left w:val="none" w:sz="0" w:space="0" w:color="auto"/>
                        <w:bottom w:val="none" w:sz="0" w:space="0" w:color="auto"/>
                        <w:right w:val="none" w:sz="0" w:space="0" w:color="auto"/>
                      </w:divBdr>
                      <w:divsChild>
                        <w:div w:id="1553350963">
                          <w:marLeft w:val="0"/>
                          <w:marRight w:val="0"/>
                          <w:marTop w:val="0"/>
                          <w:marBottom w:val="0"/>
                          <w:divBdr>
                            <w:top w:val="none" w:sz="0" w:space="0" w:color="auto"/>
                            <w:left w:val="none" w:sz="0" w:space="0" w:color="auto"/>
                            <w:bottom w:val="none" w:sz="0" w:space="0" w:color="auto"/>
                            <w:right w:val="none" w:sz="0" w:space="0" w:color="auto"/>
                          </w:divBdr>
                          <w:divsChild>
                            <w:div w:id="212985515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566">
      <w:bodyDiv w:val="1"/>
      <w:marLeft w:val="0"/>
      <w:marRight w:val="0"/>
      <w:marTop w:val="0"/>
      <w:marBottom w:val="0"/>
      <w:divBdr>
        <w:top w:val="none" w:sz="0" w:space="0" w:color="auto"/>
        <w:left w:val="none" w:sz="0" w:space="0" w:color="auto"/>
        <w:bottom w:val="none" w:sz="0" w:space="0" w:color="auto"/>
        <w:right w:val="none" w:sz="0" w:space="0" w:color="auto"/>
      </w:divBdr>
    </w:div>
    <w:div w:id="2088526400">
      <w:bodyDiv w:val="1"/>
      <w:marLeft w:val="0"/>
      <w:marRight w:val="0"/>
      <w:marTop w:val="0"/>
      <w:marBottom w:val="0"/>
      <w:divBdr>
        <w:top w:val="none" w:sz="0" w:space="0" w:color="auto"/>
        <w:left w:val="none" w:sz="0" w:space="0" w:color="auto"/>
        <w:bottom w:val="none" w:sz="0" w:space="0" w:color="auto"/>
        <w:right w:val="none" w:sz="0" w:space="0" w:color="auto"/>
      </w:divBdr>
    </w:div>
    <w:div w:id="2094547442">
      <w:marLeft w:val="0"/>
      <w:marRight w:val="0"/>
      <w:marTop w:val="0"/>
      <w:marBottom w:val="0"/>
      <w:divBdr>
        <w:top w:val="none" w:sz="0" w:space="0" w:color="auto"/>
        <w:left w:val="none" w:sz="0" w:space="0" w:color="auto"/>
        <w:bottom w:val="none" w:sz="0" w:space="0" w:color="auto"/>
        <w:right w:val="none" w:sz="0" w:space="0" w:color="auto"/>
      </w:divBdr>
    </w:div>
    <w:div w:id="2102136273">
      <w:bodyDiv w:val="1"/>
      <w:marLeft w:val="0"/>
      <w:marRight w:val="0"/>
      <w:marTop w:val="0"/>
      <w:marBottom w:val="0"/>
      <w:divBdr>
        <w:top w:val="none" w:sz="0" w:space="0" w:color="auto"/>
        <w:left w:val="none" w:sz="0" w:space="0" w:color="auto"/>
        <w:bottom w:val="none" w:sz="0" w:space="0" w:color="auto"/>
        <w:right w:val="none" w:sz="0" w:space="0" w:color="auto"/>
      </w:divBdr>
    </w:div>
    <w:div w:id="2115443721">
      <w:marLeft w:val="0"/>
      <w:marRight w:val="0"/>
      <w:marTop w:val="0"/>
      <w:marBottom w:val="0"/>
      <w:divBdr>
        <w:top w:val="none" w:sz="0" w:space="0" w:color="auto"/>
        <w:left w:val="none" w:sz="0" w:space="0" w:color="auto"/>
        <w:bottom w:val="none" w:sz="0" w:space="0" w:color="auto"/>
        <w:right w:val="none" w:sz="0" w:space="0" w:color="auto"/>
      </w:divBdr>
    </w:div>
    <w:div w:id="2121148334">
      <w:bodyDiv w:val="1"/>
      <w:marLeft w:val="0"/>
      <w:marRight w:val="0"/>
      <w:marTop w:val="0"/>
      <w:marBottom w:val="0"/>
      <w:divBdr>
        <w:top w:val="none" w:sz="0" w:space="0" w:color="auto"/>
        <w:left w:val="none" w:sz="0" w:space="0" w:color="auto"/>
        <w:bottom w:val="none" w:sz="0" w:space="0" w:color="auto"/>
        <w:right w:val="none" w:sz="0" w:space="0" w:color="auto"/>
      </w:divBdr>
      <w:divsChild>
        <w:div w:id="1906717800">
          <w:marLeft w:val="0"/>
          <w:marRight w:val="0"/>
          <w:marTop w:val="100"/>
          <w:marBottom w:val="0"/>
          <w:divBdr>
            <w:top w:val="none" w:sz="0" w:space="0" w:color="auto"/>
            <w:left w:val="none" w:sz="0" w:space="0" w:color="auto"/>
            <w:bottom w:val="none" w:sz="0" w:space="0" w:color="auto"/>
            <w:right w:val="none" w:sz="0" w:space="0" w:color="auto"/>
          </w:divBdr>
          <w:divsChild>
            <w:div w:id="1925339859">
              <w:marLeft w:val="0"/>
              <w:marRight w:val="0"/>
              <w:marTop w:val="45"/>
              <w:marBottom w:val="0"/>
              <w:divBdr>
                <w:top w:val="none" w:sz="0" w:space="0" w:color="auto"/>
                <w:left w:val="none" w:sz="0" w:space="0" w:color="auto"/>
                <w:bottom w:val="none" w:sz="0" w:space="0" w:color="auto"/>
                <w:right w:val="none" w:sz="0" w:space="0" w:color="auto"/>
              </w:divBdr>
              <w:divsChild>
                <w:div w:id="1076707993">
                  <w:marLeft w:val="0"/>
                  <w:marRight w:val="0"/>
                  <w:marTop w:val="0"/>
                  <w:marBottom w:val="0"/>
                  <w:divBdr>
                    <w:top w:val="none" w:sz="0" w:space="0" w:color="auto"/>
                    <w:left w:val="none" w:sz="0" w:space="0" w:color="auto"/>
                    <w:bottom w:val="none" w:sz="0" w:space="0" w:color="auto"/>
                    <w:right w:val="none" w:sz="0" w:space="0" w:color="auto"/>
                  </w:divBdr>
                  <w:divsChild>
                    <w:div w:id="1070956381">
                      <w:marLeft w:val="0"/>
                      <w:marRight w:val="0"/>
                      <w:marTop w:val="0"/>
                      <w:marBottom w:val="0"/>
                      <w:divBdr>
                        <w:top w:val="none" w:sz="0" w:space="0" w:color="auto"/>
                        <w:left w:val="none" w:sz="0" w:space="0" w:color="auto"/>
                        <w:bottom w:val="none" w:sz="0" w:space="0" w:color="auto"/>
                        <w:right w:val="none" w:sz="0" w:space="0" w:color="auto"/>
                      </w:divBdr>
                      <w:divsChild>
                        <w:div w:id="455562935">
                          <w:marLeft w:val="0"/>
                          <w:marRight w:val="0"/>
                          <w:marTop w:val="0"/>
                          <w:marBottom w:val="0"/>
                          <w:divBdr>
                            <w:top w:val="none" w:sz="0" w:space="0" w:color="auto"/>
                            <w:left w:val="none" w:sz="0" w:space="0" w:color="auto"/>
                            <w:bottom w:val="none" w:sz="0" w:space="0" w:color="auto"/>
                            <w:right w:val="none" w:sz="0" w:space="0" w:color="auto"/>
                          </w:divBdr>
                          <w:divsChild>
                            <w:div w:id="13923832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654633">
      <w:bodyDiv w:val="1"/>
      <w:marLeft w:val="0"/>
      <w:marRight w:val="0"/>
      <w:marTop w:val="0"/>
      <w:marBottom w:val="0"/>
      <w:divBdr>
        <w:top w:val="none" w:sz="0" w:space="0" w:color="auto"/>
        <w:left w:val="none" w:sz="0" w:space="0" w:color="auto"/>
        <w:bottom w:val="none" w:sz="0" w:space="0" w:color="auto"/>
        <w:right w:val="none" w:sz="0" w:space="0" w:color="auto"/>
      </w:divBdr>
    </w:div>
    <w:div w:id="2130931714">
      <w:bodyDiv w:val="1"/>
      <w:marLeft w:val="0"/>
      <w:marRight w:val="0"/>
      <w:marTop w:val="0"/>
      <w:marBottom w:val="0"/>
      <w:divBdr>
        <w:top w:val="none" w:sz="0" w:space="0" w:color="auto"/>
        <w:left w:val="none" w:sz="0" w:space="0" w:color="auto"/>
        <w:bottom w:val="none" w:sz="0" w:space="0" w:color="auto"/>
        <w:right w:val="none" w:sz="0" w:space="0" w:color="auto"/>
      </w:divBdr>
    </w:div>
    <w:div w:id="214585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yperlink" Target="http://www.orthoassociates.com/home/"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mogroup.org/" TargetMode="Externa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idesqa.com/" TargetMode="Externa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yperlink" Target="http://www.spectrummedicalgroup.com/index.html" TargetMode="Externa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pectrummedicalgroup.com/our-partners-affiliations.html"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204E-8EBE-441F-A31F-3C149C49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6705</Words>
  <Characters>33597</Characters>
  <Application>Microsoft Office Word</Application>
  <DocSecurity>4</DocSecurity>
  <Lines>861</Lines>
  <Paragraphs>485</Paragraphs>
  <ScaleCrop>false</ScaleCrop>
  <HeadingPairs>
    <vt:vector size="2" baseType="variant">
      <vt:variant>
        <vt:lpstr>Title</vt:lpstr>
      </vt:variant>
      <vt:variant>
        <vt:i4>1</vt:i4>
      </vt:variant>
    </vt:vector>
  </HeadingPairs>
  <TitlesOfParts>
    <vt:vector size="1" baseType="lpstr">
      <vt:lpstr>Date:</vt:lpstr>
    </vt:vector>
  </TitlesOfParts>
  <Company>Dept. of Health and Human Services</Company>
  <LinksUpToDate>false</LinksUpToDate>
  <CharactersWithSpaces>39817</CharactersWithSpaces>
  <SharedDoc>false</SharedDoc>
  <HLinks>
    <vt:vector size="60" baseType="variant">
      <vt:variant>
        <vt:i4>4915267</vt:i4>
      </vt:variant>
      <vt:variant>
        <vt:i4>9</vt:i4>
      </vt:variant>
      <vt:variant>
        <vt:i4>0</vt:i4>
      </vt:variant>
      <vt:variant>
        <vt:i4>5</vt:i4>
      </vt:variant>
      <vt:variant>
        <vt:lpwstr>http://www.penbayhealthcare.org/</vt:lpwstr>
      </vt:variant>
      <vt:variant>
        <vt:lpwstr/>
      </vt:variant>
      <vt:variant>
        <vt:i4>2424931</vt:i4>
      </vt:variant>
      <vt:variant>
        <vt:i4>6</vt:i4>
      </vt:variant>
      <vt:variant>
        <vt:i4>0</vt:i4>
      </vt:variant>
      <vt:variant>
        <vt:i4>5</vt:i4>
      </vt:variant>
      <vt:variant>
        <vt:lpwstr>http://www.mainehealth.com/</vt:lpwstr>
      </vt:variant>
      <vt:variant>
        <vt:lpwstr/>
      </vt:variant>
      <vt:variant>
        <vt:i4>6094962</vt:i4>
      </vt:variant>
      <vt:variant>
        <vt:i4>21</vt:i4>
      </vt:variant>
      <vt:variant>
        <vt:i4>0</vt:i4>
      </vt:variant>
      <vt:variant>
        <vt:i4>5</vt:i4>
      </vt:variant>
      <vt:variant>
        <vt:lpwstr>http://www.penbayhealthcare.org/penbayhealthcare/service/MaineHealth_Assessment:_Documents_/</vt:lpwstr>
      </vt:variant>
      <vt:variant>
        <vt:lpwstr/>
      </vt:variant>
      <vt:variant>
        <vt:i4>7798907</vt:i4>
      </vt:variant>
      <vt:variant>
        <vt:i4>18</vt:i4>
      </vt:variant>
      <vt:variant>
        <vt:i4>0</vt:i4>
      </vt:variant>
      <vt:variant>
        <vt:i4>5</vt:i4>
      </vt:variant>
      <vt:variant>
        <vt:lpwstr>http://www.cms.hhs.gov/DemoProjectsEvalRpts/downloads/EHR_Fact_Sheet_Site_Selection.pdf</vt:lpwstr>
      </vt:variant>
      <vt:variant>
        <vt:lpwstr/>
      </vt:variant>
      <vt:variant>
        <vt:i4>6488124</vt:i4>
      </vt:variant>
      <vt:variant>
        <vt:i4>15</vt:i4>
      </vt:variant>
      <vt:variant>
        <vt:i4>0</vt:i4>
      </vt:variant>
      <vt:variant>
        <vt:i4>5</vt:i4>
      </vt:variant>
      <vt:variant>
        <vt:lpwstr>http://www.maine.gov/legis/opla/primarycarerpt.pdf</vt:lpwstr>
      </vt:variant>
      <vt:variant>
        <vt:lpwstr/>
      </vt:variant>
      <vt:variant>
        <vt:i4>5963776</vt:i4>
      </vt:variant>
      <vt:variant>
        <vt:i4>12</vt:i4>
      </vt:variant>
      <vt:variant>
        <vt:i4>0</vt:i4>
      </vt:variant>
      <vt:variant>
        <vt:i4>5</vt:i4>
      </vt:variant>
      <vt:variant>
        <vt:lpwstr>http://quickfacts.census.gov/qfd/states/23/23015.html</vt:lpwstr>
      </vt:variant>
      <vt:variant>
        <vt:lpwstr/>
      </vt:variant>
      <vt:variant>
        <vt:i4>2228226</vt:i4>
      </vt:variant>
      <vt:variant>
        <vt:i4>9</vt:i4>
      </vt:variant>
      <vt:variant>
        <vt:i4>0</vt:i4>
      </vt:variant>
      <vt:variant>
        <vt:i4>5</vt:i4>
      </vt:variant>
      <vt:variant>
        <vt:lpwstr>http://www.mileshealthcare.org/lch_body.cfm?id=6115</vt:lpwstr>
      </vt:variant>
      <vt:variant>
        <vt:lpwstr/>
      </vt:variant>
      <vt:variant>
        <vt:i4>4456500</vt:i4>
      </vt:variant>
      <vt:variant>
        <vt:i4>6</vt:i4>
      </vt:variant>
      <vt:variant>
        <vt:i4>0</vt:i4>
      </vt:variant>
      <vt:variant>
        <vt:i4>5</vt:i4>
      </vt:variant>
      <vt:variant>
        <vt:lpwstr>http://www.maine.gov/dhhs/oms/pdfs_doc/MaineCare ED Study FINAL 6-18-2004.doc</vt:lpwstr>
      </vt:variant>
      <vt:variant>
        <vt:lpwstr/>
      </vt:variant>
      <vt:variant>
        <vt:i4>6094863</vt:i4>
      </vt:variant>
      <vt:variant>
        <vt:i4>3</vt:i4>
      </vt:variant>
      <vt:variant>
        <vt:i4>0</vt:i4>
      </vt:variant>
      <vt:variant>
        <vt:i4>5</vt:i4>
      </vt:variant>
      <vt:variant>
        <vt:lpwstr>http://www.mainequalityforum.gov/2004 HOSPITAL INPATIENT SERVICE AREA.xls</vt:lpwstr>
      </vt:variant>
      <vt:variant>
        <vt:lpwstr/>
      </vt:variant>
      <vt:variant>
        <vt:i4>4980757</vt:i4>
      </vt:variant>
      <vt:variant>
        <vt:i4>0</vt:i4>
      </vt:variant>
      <vt:variant>
        <vt:i4>0</vt:i4>
      </vt:variant>
      <vt:variant>
        <vt:i4>5</vt:i4>
      </vt:variant>
      <vt:variant>
        <vt:lpwstr>http://www.maine.gov/tools/whatsnew/attach.php?id=91516&amp;an=1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DoTs</dc:creator>
  <cp:keywords/>
  <cp:lastModifiedBy>michael.morin</cp:lastModifiedBy>
  <cp:revision>2</cp:revision>
  <cp:lastPrinted>2013-10-16T15:34:00Z</cp:lastPrinted>
  <dcterms:created xsi:type="dcterms:W3CDTF">2013-10-24T15:23:00Z</dcterms:created>
  <dcterms:modified xsi:type="dcterms:W3CDTF">2013-10-24T15:23:00Z</dcterms:modified>
</cp:coreProperties>
</file>