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C0" w:rsidRPr="0096374E" w:rsidRDefault="00960CC0" w:rsidP="00DE68E5">
      <w:pPr>
        <w:rPr>
          <w:szCs w:val="24"/>
        </w:rPr>
      </w:pPr>
      <w:bookmarkStart w:id="0" w:name="_GoBack"/>
      <w:bookmarkEnd w:id="0"/>
      <w:r w:rsidRPr="0096374E">
        <w:rPr>
          <w:b/>
          <w:szCs w:val="24"/>
        </w:rPr>
        <w:t>DATE:</w:t>
      </w:r>
      <w:r w:rsidR="00C612BF" w:rsidRPr="0096374E">
        <w:rPr>
          <w:b/>
          <w:szCs w:val="24"/>
        </w:rPr>
        <w:tab/>
      </w:r>
      <w:r w:rsidR="00870872">
        <w:rPr>
          <w:szCs w:val="24"/>
        </w:rPr>
        <w:t>June 10</w:t>
      </w:r>
      <w:r w:rsidR="004076A4" w:rsidRPr="0096374E">
        <w:rPr>
          <w:szCs w:val="24"/>
        </w:rPr>
        <w:t>, 2014</w:t>
      </w:r>
    </w:p>
    <w:p w:rsidR="00960CC0" w:rsidRPr="0096374E" w:rsidRDefault="00960CC0" w:rsidP="00DE68E5">
      <w:pPr>
        <w:rPr>
          <w:b/>
          <w:szCs w:val="24"/>
        </w:rPr>
      </w:pPr>
    </w:p>
    <w:p w:rsidR="00960CC0" w:rsidRPr="0096374E" w:rsidRDefault="00960CC0" w:rsidP="00DE68E5">
      <w:pPr>
        <w:rPr>
          <w:szCs w:val="24"/>
        </w:rPr>
      </w:pPr>
      <w:r w:rsidRPr="0096374E">
        <w:rPr>
          <w:b/>
          <w:szCs w:val="24"/>
        </w:rPr>
        <w:t>TO:</w:t>
      </w:r>
      <w:r w:rsidRPr="0096374E">
        <w:rPr>
          <w:b/>
          <w:szCs w:val="24"/>
        </w:rPr>
        <w:tab/>
      </w:r>
      <w:r w:rsidR="00313E6E" w:rsidRPr="0096374E">
        <w:rPr>
          <w:b/>
          <w:szCs w:val="24"/>
        </w:rPr>
        <w:tab/>
      </w:r>
      <w:r w:rsidR="00DE280D" w:rsidRPr="0096374E">
        <w:rPr>
          <w:szCs w:val="24"/>
        </w:rPr>
        <w:t xml:space="preserve">Mary C. Mayhew, Commissioner, </w:t>
      </w:r>
      <w:r w:rsidR="00957803" w:rsidRPr="0096374E">
        <w:rPr>
          <w:szCs w:val="24"/>
        </w:rPr>
        <w:t>DHHS</w:t>
      </w:r>
    </w:p>
    <w:p w:rsidR="00DE280D" w:rsidRPr="0096374E" w:rsidRDefault="00DE280D" w:rsidP="00DE68E5">
      <w:pPr>
        <w:rPr>
          <w:szCs w:val="24"/>
        </w:rPr>
      </w:pPr>
    </w:p>
    <w:p w:rsidR="00DE280D" w:rsidRPr="0096374E" w:rsidRDefault="00960CC0" w:rsidP="00DE68E5">
      <w:pPr>
        <w:rPr>
          <w:szCs w:val="24"/>
        </w:rPr>
      </w:pPr>
      <w:r w:rsidRPr="0096374E">
        <w:rPr>
          <w:b/>
          <w:szCs w:val="24"/>
        </w:rPr>
        <w:t>THROUGH:</w:t>
      </w:r>
      <w:r w:rsidRPr="0096374E">
        <w:rPr>
          <w:b/>
          <w:szCs w:val="24"/>
        </w:rPr>
        <w:tab/>
      </w:r>
      <w:r w:rsidR="000C3783" w:rsidRPr="0096374E">
        <w:rPr>
          <w:szCs w:val="24"/>
        </w:rPr>
        <w:t>Kenneth Albert, R.N.</w:t>
      </w:r>
      <w:r w:rsidR="00957803" w:rsidRPr="0096374E">
        <w:rPr>
          <w:szCs w:val="24"/>
        </w:rPr>
        <w:t>,</w:t>
      </w:r>
      <w:r w:rsidR="000C3783" w:rsidRPr="0096374E">
        <w:rPr>
          <w:szCs w:val="24"/>
        </w:rPr>
        <w:t xml:space="preserve"> Esq</w:t>
      </w:r>
      <w:r w:rsidR="00957803" w:rsidRPr="0096374E">
        <w:rPr>
          <w:szCs w:val="24"/>
        </w:rPr>
        <w:t>.</w:t>
      </w:r>
      <w:r w:rsidR="000C3783" w:rsidRPr="0096374E">
        <w:rPr>
          <w:szCs w:val="24"/>
        </w:rPr>
        <w:t xml:space="preserve">, </w:t>
      </w:r>
      <w:r w:rsidR="00DE280D" w:rsidRPr="0096374E">
        <w:rPr>
          <w:szCs w:val="24"/>
        </w:rPr>
        <w:t xml:space="preserve">Director, </w:t>
      </w:r>
      <w:r w:rsidR="00957803" w:rsidRPr="0096374E">
        <w:rPr>
          <w:szCs w:val="24"/>
        </w:rPr>
        <w:t>DLRS</w:t>
      </w:r>
    </w:p>
    <w:p w:rsidR="00960CC0" w:rsidRPr="0096374E" w:rsidRDefault="00960CC0" w:rsidP="00DE68E5">
      <w:pPr>
        <w:pStyle w:val="Cover"/>
        <w:tabs>
          <w:tab w:val="clear" w:pos="720"/>
          <w:tab w:val="clear" w:pos="1440"/>
          <w:tab w:val="clear" w:pos="2160"/>
          <w:tab w:val="clear" w:pos="4464"/>
          <w:tab w:val="clear" w:pos="8496"/>
        </w:tabs>
        <w:spacing w:line="240" w:lineRule="auto"/>
        <w:ind w:left="0" w:firstLine="0"/>
        <w:rPr>
          <w:szCs w:val="24"/>
        </w:rPr>
      </w:pPr>
    </w:p>
    <w:p w:rsidR="00960CC0" w:rsidRPr="0096374E" w:rsidRDefault="00960CC0" w:rsidP="00DE68E5">
      <w:pPr>
        <w:pStyle w:val="Cover"/>
        <w:tabs>
          <w:tab w:val="clear" w:pos="720"/>
          <w:tab w:val="clear" w:pos="1440"/>
          <w:tab w:val="clear" w:pos="2160"/>
          <w:tab w:val="clear" w:pos="4464"/>
          <w:tab w:val="clear" w:pos="8496"/>
        </w:tabs>
        <w:spacing w:line="240" w:lineRule="auto"/>
        <w:ind w:left="0" w:firstLine="0"/>
        <w:rPr>
          <w:szCs w:val="24"/>
        </w:rPr>
      </w:pPr>
      <w:r w:rsidRPr="0096374E">
        <w:rPr>
          <w:b/>
          <w:szCs w:val="24"/>
        </w:rPr>
        <w:t>FROM:</w:t>
      </w:r>
      <w:r w:rsidRPr="0096374E">
        <w:rPr>
          <w:szCs w:val="24"/>
        </w:rPr>
        <w:tab/>
        <w:t xml:space="preserve">Larry </w:t>
      </w:r>
      <w:r w:rsidR="00BD2124" w:rsidRPr="0096374E">
        <w:rPr>
          <w:szCs w:val="24"/>
        </w:rPr>
        <w:t xml:space="preserve">D. </w:t>
      </w:r>
      <w:r w:rsidRPr="0096374E">
        <w:rPr>
          <w:szCs w:val="24"/>
        </w:rPr>
        <w:t xml:space="preserve">Carbonneau, </w:t>
      </w:r>
      <w:r w:rsidR="000A2C6D" w:rsidRPr="0096374E">
        <w:rPr>
          <w:szCs w:val="24"/>
        </w:rPr>
        <w:t>Manager</w:t>
      </w:r>
      <w:r w:rsidR="001A0038" w:rsidRPr="0096374E">
        <w:rPr>
          <w:szCs w:val="24"/>
        </w:rPr>
        <w:t>,</w:t>
      </w:r>
      <w:r w:rsidR="00A44A1A" w:rsidRPr="0096374E">
        <w:rPr>
          <w:szCs w:val="24"/>
        </w:rPr>
        <w:t xml:space="preserve"> </w:t>
      </w:r>
      <w:r w:rsidRPr="0096374E">
        <w:rPr>
          <w:szCs w:val="24"/>
        </w:rPr>
        <w:t xml:space="preserve">Health Care </w:t>
      </w:r>
      <w:r w:rsidR="00C75673" w:rsidRPr="0096374E">
        <w:rPr>
          <w:szCs w:val="24"/>
        </w:rPr>
        <w:t>Oversight</w:t>
      </w:r>
      <w:r w:rsidR="00957803" w:rsidRPr="0096374E">
        <w:rPr>
          <w:szCs w:val="24"/>
        </w:rPr>
        <w:t>, DLRS</w:t>
      </w:r>
    </w:p>
    <w:p w:rsidR="00D9752F" w:rsidRPr="0096374E" w:rsidRDefault="00D9752F" w:rsidP="00DE68E5">
      <w:pPr>
        <w:rPr>
          <w:szCs w:val="24"/>
        </w:rPr>
      </w:pPr>
      <w:r w:rsidRPr="0096374E">
        <w:rPr>
          <w:szCs w:val="24"/>
        </w:rPr>
        <w:tab/>
      </w:r>
      <w:r w:rsidRPr="0096374E">
        <w:rPr>
          <w:szCs w:val="24"/>
        </w:rPr>
        <w:tab/>
        <w:t>Richard S. Lawrence, Senior Health Care Financial Analyst</w:t>
      </w:r>
      <w:r w:rsidR="00452A39" w:rsidRPr="0096374E">
        <w:rPr>
          <w:szCs w:val="24"/>
        </w:rPr>
        <w:t>, DLRS</w:t>
      </w:r>
    </w:p>
    <w:p w:rsidR="00A70970" w:rsidRPr="0096374E" w:rsidRDefault="00A70970" w:rsidP="00DE68E5">
      <w:pPr>
        <w:rPr>
          <w:szCs w:val="24"/>
        </w:rPr>
      </w:pPr>
      <w:r w:rsidRPr="0096374E">
        <w:rPr>
          <w:szCs w:val="24"/>
        </w:rPr>
        <w:tab/>
      </w:r>
      <w:r w:rsidRPr="0096374E">
        <w:rPr>
          <w:szCs w:val="24"/>
        </w:rPr>
        <w:tab/>
      </w:r>
    </w:p>
    <w:p w:rsidR="00F62932" w:rsidRPr="0096374E" w:rsidRDefault="00A771AE" w:rsidP="00DE68E5">
      <w:pPr>
        <w:ind w:left="1440" w:hanging="1440"/>
        <w:rPr>
          <w:szCs w:val="24"/>
        </w:rPr>
      </w:pPr>
      <w:r w:rsidRPr="0096374E">
        <w:rPr>
          <w:b/>
          <w:szCs w:val="24"/>
        </w:rPr>
        <w:t>SUBJECT:</w:t>
      </w:r>
      <w:r w:rsidRPr="0096374E">
        <w:rPr>
          <w:szCs w:val="24"/>
        </w:rPr>
        <w:tab/>
        <w:t>Addition of 1</w:t>
      </w:r>
      <w:r w:rsidR="005B4B96">
        <w:rPr>
          <w:szCs w:val="24"/>
        </w:rPr>
        <w:t>3</w:t>
      </w:r>
      <w:r w:rsidRPr="0096374E">
        <w:rPr>
          <w:szCs w:val="24"/>
        </w:rPr>
        <w:t xml:space="preserve"> </w:t>
      </w:r>
      <w:r w:rsidR="005B4B96">
        <w:rPr>
          <w:szCs w:val="24"/>
        </w:rPr>
        <w:t>S</w:t>
      </w:r>
      <w:r w:rsidRPr="0096374E">
        <w:rPr>
          <w:szCs w:val="24"/>
        </w:rPr>
        <w:t>NF</w:t>
      </w:r>
      <w:r>
        <w:rPr>
          <w:szCs w:val="24"/>
        </w:rPr>
        <w:t>/NF Beds</w:t>
      </w:r>
    </w:p>
    <w:p w:rsidR="00960CC0" w:rsidRPr="0096374E" w:rsidRDefault="00960CC0" w:rsidP="004466EC">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9D1BFC" w:rsidRPr="0096374E" w:rsidRDefault="009D1BFC" w:rsidP="009D1BFC">
      <w:pPr>
        <w:pStyle w:val="Intro"/>
        <w:spacing w:before="0" w:line="240" w:lineRule="auto"/>
        <w:ind w:left="0" w:firstLine="0"/>
        <w:jc w:val="both"/>
        <w:rPr>
          <w:szCs w:val="24"/>
        </w:rPr>
      </w:pPr>
    </w:p>
    <w:p w:rsidR="00960CC0" w:rsidRPr="009B6478" w:rsidRDefault="00960CC0" w:rsidP="009D1BFC">
      <w:pPr>
        <w:pStyle w:val="Intro"/>
        <w:spacing w:before="0" w:line="240" w:lineRule="auto"/>
        <w:ind w:left="0" w:firstLine="0"/>
        <w:jc w:val="both"/>
        <w:rPr>
          <w:szCs w:val="24"/>
        </w:rPr>
      </w:pPr>
      <w:r w:rsidRPr="009B6478">
        <w:rPr>
          <w:b/>
          <w:szCs w:val="24"/>
        </w:rPr>
        <w:t>ISSUE ACTIVATED BY:</w:t>
      </w:r>
      <w:r w:rsidR="005E2E11" w:rsidRPr="009B6478">
        <w:rPr>
          <w:szCs w:val="24"/>
        </w:rPr>
        <w:t xml:space="preserve"> </w:t>
      </w:r>
      <w:r w:rsidRPr="009B6478">
        <w:rPr>
          <w:szCs w:val="24"/>
        </w:rPr>
        <w:t xml:space="preserve">The referenced proposal requires Certificate of Need (CON) approval as defined in "The Maine Certificate of Need Act of 2002," 22 MRSA </w:t>
      </w:r>
      <w:r w:rsidR="00A44A1A" w:rsidRPr="009B6478">
        <w:rPr>
          <w:szCs w:val="24"/>
        </w:rPr>
        <w:t>§</w:t>
      </w:r>
      <w:r w:rsidRPr="009B6478">
        <w:rPr>
          <w:szCs w:val="24"/>
        </w:rPr>
        <w:t xml:space="preserve"> 326 et seq., as amended.</w:t>
      </w:r>
    </w:p>
    <w:p w:rsidR="009D1BFC" w:rsidRPr="009B6478" w:rsidRDefault="009D1BFC" w:rsidP="009D1BFC">
      <w:pPr>
        <w:pStyle w:val="Intro"/>
        <w:spacing w:before="0" w:line="240" w:lineRule="auto"/>
        <w:ind w:left="0" w:firstLine="0"/>
        <w:jc w:val="both"/>
        <w:rPr>
          <w:szCs w:val="24"/>
        </w:rPr>
      </w:pPr>
    </w:p>
    <w:p w:rsidR="00960CC0" w:rsidRPr="009B6478" w:rsidRDefault="00960CC0" w:rsidP="009D1BFC">
      <w:pPr>
        <w:pStyle w:val="Intro"/>
        <w:tabs>
          <w:tab w:val="left" w:pos="90"/>
        </w:tabs>
        <w:spacing w:before="0" w:line="240" w:lineRule="auto"/>
        <w:ind w:left="0" w:firstLine="0"/>
        <w:rPr>
          <w:szCs w:val="24"/>
        </w:rPr>
      </w:pPr>
      <w:r w:rsidRPr="009B6478">
        <w:rPr>
          <w:b/>
          <w:szCs w:val="24"/>
        </w:rPr>
        <w:t xml:space="preserve">REGISTERED AFFECTED PARTIES: </w:t>
      </w:r>
      <w:r w:rsidR="00BA3538" w:rsidRPr="009B6478">
        <w:rPr>
          <w:szCs w:val="24"/>
        </w:rPr>
        <w:t>No applicants</w:t>
      </w:r>
    </w:p>
    <w:p w:rsidR="009D1BFC" w:rsidRPr="009B6478" w:rsidRDefault="009D1BFC" w:rsidP="009D1BFC">
      <w:pPr>
        <w:pStyle w:val="Intro"/>
        <w:tabs>
          <w:tab w:val="left" w:pos="90"/>
        </w:tabs>
        <w:spacing w:before="0" w:line="240" w:lineRule="auto"/>
        <w:ind w:left="0" w:firstLine="0"/>
        <w:rPr>
          <w:szCs w:val="24"/>
        </w:rPr>
      </w:pPr>
    </w:p>
    <w:p w:rsidR="00865B23" w:rsidRPr="009B6478" w:rsidRDefault="00F007C4" w:rsidP="00740959">
      <w:pPr>
        <w:pStyle w:val="Intro"/>
        <w:spacing w:before="0" w:line="240" w:lineRule="auto"/>
        <w:ind w:left="0" w:firstLine="0"/>
        <w:rPr>
          <w:b/>
          <w:szCs w:val="24"/>
        </w:rPr>
      </w:pPr>
      <w:r w:rsidRPr="009B6478">
        <w:rPr>
          <w:b/>
          <w:szCs w:val="24"/>
        </w:rPr>
        <w:t xml:space="preserve">I. </w:t>
      </w:r>
      <w:r w:rsidR="00960CC0" w:rsidRPr="009B6478">
        <w:rPr>
          <w:b/>
          <w:szCs w:val="24"/>
        </w:rPr>
        <w:t>BACKGROUND:</w:t>
      </w:r>
    </w:p>
    <w:p w:rsidR="00865B23" w:rsidRPr="009B6478" w:rsidRDefault="00865B23" w:rsidP="00790E0B">
      <w:pPr>
        <w:autoSpaceDE w:val="0"/>
        <w:autoSpaceDN w:val="0"/>
        <w:adjustRightInd w:val="0"/>
        <w:rPr>
          <w:b/>
          <w:szCs w:val="24"/>
        </w:rPr>
      </w:pPr>
    </w:p>
    <w:p w:rsidR="00B459EF" w:rsidRPr="009B6478" w:rsidRDefault="00865B23" w:rsidP="00B459EF">
      <w:pPr>
        <w:jc w:val="both"/>
        <w:rPr>
          <w:szCs w:val="24"/>
        </w:rPr>
      </w:pPr>
      <w:r w:rsidRPr="009B6478">
        <w:rPr>
          <w:szCs w:val="24"/>
        </w:rPr>
        <w:t>Seaside Healthcare, located on Baxter Boulevard in Portland, Maine, is a multi-level long term care facility offering SNF/NF and residential care services to the elderly of the greater Portland area. Seaside has been in operation since the 1970’s and has been part of the First Atlantic Healthcare group since 1997. Currently the facility is dually licensed for Medicare and MaineCare beneficiaries in its 124 nursing facility beds and operates another 30 RCF Privat</w:t>
      </w:r>
      <w:r w:rsidR="00931E3C">
        <w:rPr>
          <w:szCs w:val="24"/>
        </w:rPr>
        <w:t>e Non-Medical Institution</w:t>
      </w:r>
      <w:r w:rsidR="001B42E5">
        <w:rPr>
          <w:szCs w:val="24"/>
        </w:rPr>
        <w:t xml:space="preserve"> (PNMI)</w:t>
      </w:r>
      <w:r w:rsidR="00931E3C">
        <w:rPr>
          <w:szCs w:val="24"/>
        </w:rPr>
        <w:t xml:space="preserve"> beds.</w:t>
      </w:r>
    </w:p>
    <w:p w:rsidR="00B459EF" w:rsidRPr="009B6478" w:rsidRDefault="00B459EF" w:rsidP="00B459EF">
      <w:pPr>
        <w:jc w:val="both"/>
        <w:rPr>
          <w:szCs w:val="24"/>
        </w:rPr>
      </w:pPr>
    </w:p>
    <w:p w:rsidR="00960CC0" w:rsidRPr="009B6478" w:rsidRDefault="00F007C4" w:rsidP="00B459EF">
      <w:pPr>
        <w:jc w:val="both"/>
        <w:rPr>
          <w:b/>
          <w:szCs w:val="24"/>
        </w:rPr>
      </w:pPr>
      <w:r w:rsidRPr="009B6478">
        <w:rPr>
          <w:b/>
          <w:szCs w:val="24"/>
        </w:rPr>
        <w:t xml:space="preserve">II. </w:t>
      </w:r>
      <w:r w:rsidR="00960CC0" w:rsidRPr="009B6478">
        <w:rPr>
          <w:b/>
          <w:szCs w:val="24"/>
        </w:rPr>
        <w:t>PROJECT DESCRIPTION:</w:t>
      </w:r>
    </w:p>
    <w:p w:rsidR="00B459EF" w:rsidRPr="009B6478" w:rsidRDefault="00B459EF" w:rsidP="00B459EF">
      <w:pPr>
        <w:jc w:val="both"/>
        <w:rPr>
          <w:b/>
          <w:szCs w:val="24"/>
        </w:rPr>
      </w:pPr>
    </w:p>
    <w:p w:rsidR="00B459EF" w:rsidRPr="009B6478" w:rsidRDefault="00B459EF" w:rsidP="00B459EF">
      <w:pPr>
        <w:jc w:val="both"/>
        <w:rPr>
          <w:szCs w:val="24"/>
        </w:rPr>
      </w:pPr>
      <w:r w:rsidRPr="009B6478">
        <w:rPr>
          <w:szCs w:val="24"/>
        </w:rPr>
        <w:t>This proposed change would add 13 additional SNF/NF beds, increasing its current nursing facility capacity by 10% to a total of 137</w:t>
      </w:r>
      <w:r w:rsidR="00364626">
        <w:rPr>
          <w:szCs w:val="24"/>
        </w:rPr>
        <w:t xml:space="preserve"> beds</w:t>
      </w:r>
      <w:r w:rsidRPr="009B6478">
        <w:rPr>
          <w:szCs w:val="24"/>
        </w:rPr>
        <w:t>. The 30 RCF PNMI beds would remain as they are today. Seaside manages a short term rehab business with an excess of 45 admissions and discharges on a monthly basis. The additional beds will allow Seaside flexibility to accommodate a census that regularly fluctuates due to the admission cycles of its short-term patient population and serve an expanding need for nursing facility services in the greater Portland area.</w:t>
      </w:r>
    </w:p>
    <w:p w:rsidR="00B459EF" w:rsidRPr="009B6478" w:rsidRDefault="00B459EF" w:rsidP="00B459EF">
      <w:pPr>
        <w:ind w:left="-360"/>
        <w:jc w:val="both"/>
        <w:rPr>
          <w:szCs w:val="24"/>
        </w:rPr>
      </w:pPr>
    </w:p>
    <w:p w:rsidR="00B459EF" w:rsidRPr="009B6478" w:rsidRDefault="00B459EF" w:rsidP="00B459EF">
      <w:pPr>
        <w:jc w:val="both"/>
        <w:rPr>
          <w:szCs w:val="24"/>
        </w:rPr>
      </w:pPr>
      <w:r w:rsidRPr="009B6478">
        <w:rPr>
          <w:szCs w:val="24"/>
        </w:rPr>
        <w:t>This increase in licensed beds will be accomplished by converting private rooms to semi-private rooms. No new construction is required so this project will incur minimal cost. The applicant believes that all rooms meet the size standards of the Regulations Governing the Licensing and Functioning of Nursing Facilities to accommodate semi-private spaces. The changes requested in this application would commence within 30 days after receipt of CON approval.</w:t>
      </w:r>
    </w:p>
    <w:p w:rsidR="00790E0B" w:rsidRPr="009B6478" w:rsidRDefault="00790E0B" w:rsidP="00790E0B">
      <w:pPr>
        <w:autoSpaceDE w:val="0"/>
        <w:autoSpaceDN w:val="0"/>
        <w:adjustRightInd w:val="0"/>
        <w:jc w:val="both"/>
        <w:rPr>
          <w:szCs w:val="24"/>
        </w:rPr>
      </w:pPr>
    </w:p>
    <w:p w:rsidR="001A1A81" w:rsidRDefault="001A1A81" w:rsidP="00B81951">
      <w:pPr>
        <w:pStyle w:val="Intro"/>
        <w:spacing w:before="0" w:line="240" w:lineRule="auto"/>
        <w:ind w:left="0" w:firstLine="0"/>
        <w:rPr>
          <w:b/>
          <w:szCs w:val="24"/>
        </w:rPr>
        <w:sectPr w:rsidR="001A1A81" w:rsidSect="001A1A81">
          <w:headerReference w:type="default" r:id="rId9"/>
          <w:footerReference w:type="default" r:id="rId10"/>
          <w:headerReference w:type="first" r:id="rId11"/>
          <w:footnotePr>
            <w:numRestart w:val="eachSect"/>
          </w:footnotePr>
          <w:pgSz w:w="12240" w:h="15840" w:code="1"/>
          <w:pgMar w:top="900" w:right="1440" w:bottom="720" w:left="1440" w:header="720" w:footer="720" w:gutter="0"/>
          <w:pgNumType w:start="2"/>
          <w:cols w:space="720"/>
          <w:titlePg/>
          <w:docGrid w:linePitch="326"/>
        </w:sectPr>
      </w:pPr>
    </w:p>
    <w:p w:rsidR="00B81951" w:rsidRPr="009B6478" w:rsidRDefault="00B81951" w:rsidP="00B81951">
      <w:pPr>
        <w:pStyle w:val="Intro"/>
        <w:spacing w:before="0" w:line="240" w:lineRule="auto"/>
        <w:ind w:left="0" w:firstLine="0"/>
        <w:rPr>
          <w:szCs w:val="24"/>
        </w:rPr>
      </w:pPr>
      <w:r w:rsidRPr="009B6478">
        <w:rPr>
          <w:b/>
          <w:szCs w:val="24"/>
        </w:rPr>
        <w:lastRenderedPageBreak/>
        <w:t>III. HIGHLIGHTS:</w:t>
      </w:r>
    </w:p>
    <w:p w:rsidR="00B81951" w:rsidRPr="009B6478" w:rsidRDefault="005E2E11" w:rsidP="00424EAC">
      <w:pPr>
        <w:rPr>
          <w:szCs w:val="24"/>
        </w:rPr>
      </w:pPr>
      <w:r w:rsidRPr="009B6478">
        <w:rPr>
          <w:szCs w:val="24"/>
        </w:rPr>
        <w:t>Letter of Intent dated:</w:t>
      </w:r>
      <w:r w:rsidRPr="009B6478">
        <w:rPr>
          <w:szCs w:val="24"/>
        </w:rPr>
        <w:tab/>
      </w:r>
      <w:r w:rsidRPr="009B6478">
        <w:rPr>
          <w:szCs w:val="24"/>
        </w:rPr>
        <w:tab/>
      </w:r>
      <w:r w:rsidRPr="009B6478">
        <w:rPr>
          <w:szCs w:val="24"/>
        </w:rPr>
        <w:tab/>
      </w:r>
      <w:r w:rsidR="00666752">
        <w:rPr>
          <w:szCs w:val="24"/>
        </w:rPr>
        <w:tab/>
      </w:r>
      <w:r w:rsidR="001379B8" w:rsidRPr="009B6478">
        <w:rPr>
          <w:szCs w:val="24"/>
        </w:rPr>
        <w:t>March 19,</w:t>
      </w:r>
      <w:r w:rsidR="00345CCE" w:rsidRPr="009B6478">
        <w:rPr>
          <w:szCs w:val="24"/>
        </w:rPr>
        <w:t xml:space="preserve"> </w:t>
      </w:r>
      <w:r w:rsidR="001379B8" w:rsidRPr="009B6478">
        <w:rPr>
          <w:szCs w:val="24"/>
        </w:rPr>
        <w:t>2014</w:t>
      </w:r>
    </w:p>
    <w:p w:rsidR="00B81951" w:rsidRPr="009B6478" w:rsidRDefault="00B81951" w:rsidP="00424EAC">
      <w:pPr>
        <w:rPr>
          <w:szCs w:val="24"/>
        </w:rPr>
      </w:pPr>
      <w:r w:rsidRPr="009B6478">
        <w:rPr>
          <w:szCs w:val="24"/>
        </w:rPr>
        <w:t>Tec</w:t>
      </w:r>
      <w:r w:rsidR="005E2E11" w:rsidRPr="009B6478">
        <w:rPr>
          <w:szCs w:val="24"/>
        </w:rPr>
        <w:t>hnical Assistance meeting held:</w:t>
      </w:r>
      <w:r w:rsidR="005E2E11" w:rsidRPr="009B6478">
        <w:rPr>
          <w:szCs w:val="24"/>
        </w:rPr>
        <w:tab/>
      </w:r>
      <w:r w:rsidR="00666752">
        <w:rPr>
          <w:szCs w:val="24"/>
        </w:rPr>
        <w:tab/>
      </w:r>
      <w:r w:rsidR="001379B8" w:rsidRPr="009B6478">
        <w:rPr>
          <w:szCs w:val="24"/>
        </w:rPr>
        <w:t>March 27, 2014</w:t>
      </w:r>
    </w:p>
    <w:p w:rsidR="00B81951" w:rsidRPr="009B6478" w:rsidRDefault="005E2E11" w:rsidP="00424EAC">
      <w:pPr>
        <w:rPr>
          <w:szCs w:val="24"/>
        </w:rPr>
      </w:pPr>
      <w:r w:rsidRPr="009B6478">
        <w:rPr>
          <w:szCs w:val="24"/>
        </w:rPr>
        <w:t>CON application filed:</w:t>
      </w:r>
      <w:r w:rsidRPr="009B6478">
        <w:rPr>
          <w:szCs w:val="24"/>
        </w:rPr>
        <w:tab/>
      </w:r>
      <w:r w:rsidRPr="009B6478">
        <w:rPr>
          <w:szCs w:val="24"/>
        </w:rPr>
        <w:tab/>
      </w:r>
      <w:r w:rsidRPr="009B6478">
        <w:rPr>
          <w:szCs w:val="24"/>
        </w:rPr>
        <w:tab/>
      </w:r>
      <w:r w:rsidR="001379B8" w:rsidRPr="009B6478">
        <w:rPr>
          <w:szCs w:val="24"/>
        </w:rPr>
        <w:t>April 15, 2014</w:t>
      </w:r>
    </w:p>
    <w:p w:rsidR="001D7499" w:rsidRPr="009B6478" w:rsidRDefault="005E2E11" w:rsidP="00424EAC">
      <w:pPr>
        <w:rPr>
          <w:szCs w:val="24"/>
        </w:rPr>
      </w:pPr>
      <w:r w:rsidRPr="009B6478">
        <w:rPr>
          <w:szCs w:val="24"/>
        </w:rPr>
        <w:t>CON certified as complete:</w:t>
      </w:r>
      <w:r w:rsidRPr="009B6478">
        <w:rPr>
          <w:szCs w:val="24"/>
        </w:rPr>
        <w:tab/>
      </w:r>
      <w:r w:rsidRPr="009B6478">
        <w:rPr>
          <w:szCs w:val="24"/>
        </w:rPr>
        <w:tab/>
      </w:r>
      <w:r w:rsidR="00666752">
        <w:rPr>
          <w:szCs w:val="24"/>
        </w:rPr>
        <w:tab/>
      </w:r>
      <w:r w:rsidR="001379B8" w:rsidRPr="009B6478">
        <w:rPr>
          <w:szCs w:val="24"/>
        </w:rPr>
        <w:t>April 15, 2014</w:t>
      </w:r>
    </w:p>
    <w:p w:rsidR="001D7499" w:rsidRPr="009B6478" w:rsidRDefault="005E2E11" w:rsidP="00424EAC">
      <w:pPr>
        <w:rPr>
          <w:szCs w:val="24"/>
        </w:rPr>
      </w:pPr>
      <w:r w:rsidRPr="009B6478">
        <w:rPr>
          <w:szCs w:val="24"/>
        </w:rPr>
        <w:t>Public Hearing held:</w:t>
      </w:r>
      <w:r w:rsidRPr="009B6478">
        <w:rPr>
          <w:szCs w:val="24"/>
        </w:rPr>
        <w:tab/>
      </w:r>
      <w:r w:rsidRPr="009B6478">
        <w:rPr>
          <w:szCs w:val="24"/>
        </w:rPr>
        <w:tab/>
      </w:r>
      <w:r w:rsidRPr="009B6478">
        <w:rPr>
          <w:szCs w:val="24"/>
        </w:rPr>
        <w:tab/>
      </w:r>
      <w:r w:rsidR="00666752">
        <w:rPr>
          <w:szCs w:val="24"/>
        </w:rPr>
        <w:tab/>
      </w:r>
      <w:r w:rsidR="007870F6" w:rsidRPr="009B6478">
        <w:rPr>
          <w:szCs w:val="24"/>
        </w:rPr>
        <w:t>N/A</w:t>
      </w:r>
    </w:p>
    <w:p w:rsidR="00AC2985" w:rsidRPr="009B6478" w:rsidRDefault="005E2E11" w:rsidP="00424EAC">
      <w:pPr>
        <w:rPr>
          <w:szCs w:val="24"/>
        </w:rPr>
      </w:pPr>
      <w:r w:rsidRPr="009B6478">
        <w:rPr>
          <w:szCs w:val="24"/>
        </w:rPr>
        <w:t>Comment Period Ended:</w:t>
      </w:r>
      <w:r w:rsidRPr="009B6478">
        <w:rPr>
          <w:szCs w:val="24"/>
        </w:rPr>
        <w:tab/>
      </w:r>
      <w:r w:rsidRPr="009B6478">
        <w:rPr>
          <w:szCs w:val="24"/>
        </w:rPr>
        <w:tab/>
      </w:r>
      <w:r w:rsidRPr="009B6478">
        <w:rPr>
          <w:szCs w:val="24"/>
        </w:rPr>
        <w:tab/>
      </w:r>
      <w:r w:rsidR="007870F6" w:rsidRPr="009B6478">
        <w:rPr>
          <w:szCs w:val="24"/>
        </w:rPr>
        <w:t>May 15, 2014</w:t>
      </w:r>
    </w:p>
    <w:p w:rsidR="00960CC0" w:rsidRPr="009B6478" w:rsidRDefault="00960CC0" w:rsidP="00424EAC">
      <w:pPr>
        <w:rPr>
          <w:szCs w:val="24"/>
        </w:rPr>
      </w:pPr>
      <w:r w:rsidRPr="009B6478">
        <w:rPr>
          <w:szCs w:val="24"/>
        </w:rPr>
        <w:t>Prel</w:t>
      </w:r>
      <w:r w:rsidR="00050092" w:rsidRPr="009B6478">
        <w:rPr>
          <w:szCs w:val="24"/>
        </w:rPr>
        <w:t>imina</w:t>
      </w:r>
      <w:r w:rsidR="000A2C6D" w:rsidRPr="009B6478">
        <w:rPr>
          <w:szCs w:val="24"/>
        </w:rPr>
        <w:t>ry A</w:t>
      </w:r>
      <w:r w:rsidR="00E06F70" w:rsidRPr="009B6478">
        <w:rPr>
          <w:szCs w:val="24"/>
        </w:rPr>
        <w:t>nalysis released</w:t>
      </w:r>
      <w:r w:rsidR="005E2E11" w:rsidRPr="009B6478">
        <w:rPr>
          <w:szCs w:val="24"/>
        </w:rPr>
        <w:t>:</w:t>
      </w:r>
      <w:r w:rsidR="005E2E11" w:rsidRPr="009B6478">
        <w:rPr>
          <w:szCs w:val="24"/>
        </w:rPr>
        <w:tab/>
      </w:r>
      <w:r w:rsidR="005E2E11" w:rsidRPr="009B6478">
        <w:rPr>
          <w:szCs w:val="24"/>
        </w:rPr>
        <w:tab/>
      </w:r>
      <w:r w:rsidR="007870F6" w:rsidRPr="009B6478">
        <w:rPr>
          <w:szCs w:val="24"/>
        </w:rPr>
        <w:t>May 16, 2014</w:t>
      </w:r>
    </w:p>
    <w:p w:rsidR="008F1A53" w:rsidRPr="009B6478" w:rsidRDefault="008B3F91" w:rsidP="00424EAC">
      <w:pPr>
        <w:rPr>
          <w:szCs w:val="24"/>
        </w:rPr>
      </w:pPr>
      <w:r w:rsidRPr="009B6478">
        <w:rPr>
          <w:szCs w:val="24"/>
        </w:rPr>
        <w:t>Record Closed</w:t>
      </w:r>
      <w:r w:rsidR="005E2E11" w:rsidRPr="009B6478">
        <w:rPr>
          <w:szCs w:val="24"/>
        </w:rPr>
        <w:t>:</w:t>
      </w:r>
      <w:r w:rsidR="005E2E11" w:rsidRPr="009B6478">
        <w:rPr>
          <w:szCs w:val="24"/>
        </w:rPr>
        <w:tab/>
      </w:r>
      <w:r w:rsidR="005E2E11" w:rsidRPr="009B6478">
        <w:rPr>
          <w:szCs w:val="24"/>
        </w:rPr>
        <w:tab/>
      </w:r>
      <w:r w:rsidR="005E2E11" w:rsidRPr="009B6478">
        <w:rPr>
          <w:szCs w:val="24"/>
        </w:rPr>
        <w:tab/>
      </w:r>
      <w:r w:rsidR="005E2E11" w:rsidRPr="009B6478">
        <w:rPr>
          <w:szCs w:val="24"/>
        </w:rPr>
        <w:tab/>
      </w:r>
      <w:r w:rsidR="007870F6" w:rsidRPr="009B6478">
        <w:rPr>
          <w:szCs w:val="24"/>
        </w:rPr>
        <w:t xml:space="preserve">June 6, </w:t>
      </w:r>
      <w:r w:rsidR="009432E7" w:rsidRPr="009B6478">
        <w:rPr>
          <w:szCs w:val="24"/>
        </w:rPr>
        <w:t>2014</w:t>
      </w:r>
    </w:p>
    <w:p w:rsidR="00DE16F6" w:rsidRPr="00DC7669" w:rsidRDefault="00DE16F6" w:rsidP="004466EC">
      <w:pPr>
        <w:ind w:left="360"/>
        <w:rPr>
          <w:sz w:val="20"/>
        </w:rPr>
      </w:pPr>
    </w:p>
    <w:p w:rsidR="00960CC0" w:rsidRPr="009B6478" w:rsidRDefault="00F007C4" w:rsidP="00065CDD">
      <w:pPr>
        <w:pStyle w:val="Intro"/>
        <w:spacing w:before="0" w:line="240" w:lineRule="auto"/>
        <w:ind w:left="450" w:hanging="450"/>
        <w:rPr>
          <w:b/>
          <w:szCs w:val="24"/>
        </w:rPr>
      </w:pPr>
      <w:r w:rsidRPr="009B6478">
        <w:rPr>
          <w:b/>
          <w:szCs w:val="24"/>
        </w:rPr>
        <w:t xml:space="preserve">IV. </w:t>
      </w:r>
      <w:r w:rsidR="00960CC0" w:rsidRPr="009B6478">
        <w:rPr>
          <w:b/>
          <w:szCs w:val="24"/>
        </w:rPr>
        <w:t>PUBLIC COMMENTS RECEIVED IN RESPONSE TO THE PRELIMINARY</w:t>
      </w:r>
      <w:r w:rsidR="00065CDD" w:rsidRPr="009B6478">
        <w:rPr>
          <w:b/>
          <w:szCs w:val="24"/>
        </w:rPr>
        <w:t xml:space="preserve"> </w:t>
      </w:r>
      <w:r w:rsidR="00960CC0" w:rsidRPr="009B6478">
        <w:rPr>
          <w:b/>
          <w:szCs w:val="24"/>
        </w:rPr>
        <w:t>ANALYSIS:</w:t>
      </w:r>
    </w:p>
    <w:p w:rsidR="00960CC0" w:rsidRPr="00DC7669" w:rsidRDefault="00960CC0" w:rsidP="004466EC">
      <w:pPr>
        <w:rPr>
          <w:sz w:val="20"/>
        </w:rPr>
      </w:pPr>
    </w:p>
    <w:p w:rsidR="00960CC0" w:rsidRPr="009B6478" w:rsidRDefault="007870F6" w:rsidP="00424EAC">
      <w:pPr>
        <w:rPr>
          <w:szCs w:val="24"/>
        </w:rPr>
      </w:pPr>
      <w:r w:rsidRPr="009B6478">
        <w:rPr>
          <w:szCs w:val="24"/>
        </w:rPr>
        <w:t>No public comments were received f</w:t>
      </w:r>
      <w:r w:rsidR="00960CC0" w:rsidRPr="009B6478">
        <w:rPr>
          <w:szCs w:val="24"/>
        </w:rPr>
        <w:t>ollowing release of the Preliminary Analysis</w:t>
      </w:r>
      <w:r w:rsidRPr="009B6478">
        <w:rPr>
          <w:szCs w:val="24"/>
        </w:rPr>
        <w:t>.</w:t>
      </w:r>
    </w:p>
    <w:p w:rsidR="00E2087D" w:rsidRPr="00DC7669" w:rsidRDefault="00E2087D" w:rsidP="00E2087D">
      <w:pPr>
        <w:rPr>
          <w:sz w:val="20"/>
        </w:rPr>
      </w:pPr>
    </w:p>
    <w:p w:rsidR="00E2087D" w:rsidRPr="009B6478" w:rsidRDefault="00F007C4" w:rsidP="00065CDD">
      <w:pPr>
        <w:tabs>
          <w:tab w:val="left" w:pos="90"/>
          <w:tab w:val="left" w:pos="180"/>
        </w:tabs>
        <w:rPr>
          <w:b/>
          <w:szCs w:val="24"/>
        </w:rPr>
      </w:pPr>
      <w:r w:rsidRPr="009B6478">
        <w:rPr>
          <w:b/>
          <w:szCs w:val="24"/>
        </w:rPr>
        <w:t xml:space="preserve">V. </w:t>
      </w:r>
      <w:r w:rsidR="00960CC0" w:rsidRPr="009B6478">
        <w:rPr>
          <w:b/>
          <w:szCs w:val="24"/>
        </w:rPr>
        <w:t>CONU ANALYSIS/</w:t>
      </w:r>
      <w:r w:rsidR="00C5355C" w:rsidRPr="009B6478">
        <w:rPr>
          <w:b/>
          <w:szCs w:val="24"/>
        </w:rPr>
        <w:t xml:space="preserve">APPLICANTS </w:t>
      </w:r>
      <w:r w:rsidR="00960CC0" w:rsidRPr="009B6478">
        <w:rPr>
          <w:b/>
          <w:szCs w:val="24"/>
        </w:rPr>
        <w:t>COMMENTS:</w:t>
      </w:r>
    </w:p>
    <w:p w:rsidR="008B3F91" w:rsidRPr="00DC7669" w:rsidRDefault="008B3F91" w:rsidP="00065CDD">
      <w:pPr>
        <w:tabs>
          <w:tab w:val="left" w:pos="180"/>
        </w:tabs>
        <w:rPr>
          <w:sz w:val="20"/>
        </w:rPr>
      </w:pPr>
    </w:p>
    <w:p w:rsidR="00886E9A" w:rsidRPr="009B6478" w:rsidRDefault="00886E9A" w:rsidP="006C70B1">
      <w:pPr>
        <w:numPr>
          <w:ilvl w:val="0"/>
          <w:numId w:val="1"/>
        </w:numPr>
        <w:ind w:hanging="360"/>
        <w:rPr>
          <w:b/>
          <w:szCs w:val="24"/>
        </w:rPr>
      </w:pPr>
      <w:r w:rsidRPr="009B6478">
        <w:rPr>
          <w:b/>
          <w:szCs w:val="24"/>
        </w:rPr>
        <w:t>Fit, Willing and Able:</w:t>
      </w:r>
    </w:p>
    <w:p w:rsidR="007F066E" w:rsidRPr="00DC7669" w:rsidRDefault="007F066E" w:rsidP="007F066E">
      <w:pPr>
        <w:jc w:val="both"/>
        <w:rPr>
          <w:sz w:val="20"/>
        </w:rPr>
      </w:pPr>
    </w:p>
    <w:p w:rsidR="00F0051C" w:rsidRPr="009B6478" w:rsidRDefault="00F0051C" w:rsidP="00740959">
      <w:pPr>
        <w:jc w:val="both"/>
        <w:rPr>
          <w:szCs w:val="24"/>
        </w:rPr>
      </w:pPr>
      <w:r w:rsidRPr="009B6478">
        <w:rPr>
          <w:szCs w:val="24"/>
        </w:rPr>
        <w:t xml:space="preserve">Seaside Rehab &amp; Health Care Center (Seaside) is licensed for 124 NF/SNF beds and 30 Level IV Residential Care beds. The legal name of the facility is Seaside Healthcare, LLC. The facility is located at 850 Baxter Boulevard in Portland, Maine. The administrator is Jacob </w:t>
      </w:r>
      <w:r w:rsidR="00BD6EAD" w:rsidRPr="009B6478">
        <w:rPr>
          <w:szCs w:val="24"/>
        </w:rPr>
        <w:t>Anderson;</w:t>
      </w:r>
      <w:r w:rsidRPr="009B6478">
        <w:rPr>
          <w:szCs w:val="24"/>
        </w:rPr>
        <w:t xml:space="preserve"> he ha</w:t>
      </w:r>
      <w:r w:rsidR="0080721F">
        <w:rPr>
          <w:szCs w:val="24"/>
        </w:rPr>
        <w:t>s been the administrator since May</w:t>
      </w:r>
      <w:r w:rsidRPr="009B6478">
        <w:rPr>
          <w:szCs w:val="24"/>
        </w:rPr>
        <w:t>16</w:t>
      </w:r>
      <w:r w:rsidR="0080721F">
        <w:rPr>
          <w:szCs w:val="24"/>
        </w:rPr>
        <w:t xml:space="preserve">, </w:t>
      </w:r>
      <w:r w:rsidRPr="009B6478">
        <w:rPr>
          <w:szCs w:val="24"/>
        </w:rPr>
        <w:t>2012. The license was issued on January 28, 2014 and is valid from February 1, 2014 through January 31, 2015.</w:t>
      </w:r>
    </w:p>
    <w:p w:rsidR="001A1A81" w:rsidRPr="00DC7669" w:rsidRDefault="001A1A81" w:rsidP="00F0051C">
      <w:pPr>
        <w:jc w:val="both"/>
        <w:rPr>
          <w:sz w:val="20"/>
        </w:rPr>
      </w:pPr>
    </w:p>
    <w:p w:rsidR="00F0051C" w:rsidRPr="009B6478" w:rsidRDefault="00F0051C" w:rsidP="00F0051C">
      <w:pPr>
        <w:jc w:val="both"/>
        <w:rPr>
          <w:szCs w:val="24"/>
        </w:rPr>
      </w:pPr>
      <w:r w:rsidRPr="009B6478">
        <w:rPr>
          <w:szCs w:val="24"/>
        </w:rPr>
        <w:t>The applicant provided a summary of Seaside Rehab’s last completed survey data. CONU verified this survey data utilizing the Medicare.gov website and DLRS files. This survey revealed the following ratings:</w:t>
      </w:r>
    </w:p>
    <w:p w:rsidR="00F0051C" w:rsidRPr="009B6478" w:rsidRDefault="00F0051C" w:rsidP="00F0051C">
      <w:pPr>
        <w:jc w:val="both"/>
        <w:rPr>
          <w:szCs w:val="24"/>
        </w:rPr>
      </w:pPr>
    </w:p>
    <w:tbl>
      <w:tblPr>
        <w:tblW w:w="0" w:type="auto"/>
        <w:jc w:val="center"/>
        <w:tblInd w:w="110" w:type="dxa"/>
        <w:tblLayout w:type="fixed"/>
        <w:tblCellMar>
          <w:left w:w="30" w:type="dxa"/>
          <w:right w:w="30" w:type="dxa"/>
        </w:tblCellMar>
        <w:tblLook w:val="0000" w:firstRow="0" w:lastRow="0" w:firstColumn="0" w:lastColumn="0" w:noHBand="0" w:noVBand="0"/>
      </w:tblPr>
      <w:tblGrid>
        <w:gridCol w:w="3614"/>
        <w:gridCol w:w="2723"/>
      </w:tblGrid>
      <w:tr w:rsidR="00F0051C" w:rsidRPr="009B6478" w:rsidTr="00DC7669">
        <w:trPr>
          <w:trHeight w:val="290"/>
          <w:jc w:val="center"/>
        </w:trPr>
        <w:tc>
          <w:tcPr>
            <w:tcW w:w="6337" w:type="dxa"/>
            <w:gridSpan w:val="2"/>
            <w:tcBorders>
              <w:top w:val="single" w:sz="6" w:space="0" w:color="auto"/>
              <w:left w:val="single" w:sz="6" w:space="0" w:color="auto"/>
              <w:bottom w:val="nil"/>
              <w:right w:val="single" w:sz="6" w:space="0" w:color="auto"/>
            </w:tcBorders>
          </w:tcPr>
          <w:p w:rsidR="00F0051C" w:rsidRPr="009B6478" w:rsidRDefault="00C12B74" w:rsidP="00C12B74">
            <w:pPr>
              <w:autoSpaceDE w:val="0"/>
              <w:autoSpaceDN w:val="0"/>
              <w:adjustRightInd w:val="0"/>
              <w:jc w:val="center"/>
              <w:rPr>
                <w:b/>
                <w:bCs/>
                <w:color w:val="000000"/>
                <w:szCs w:val="24"/>
              </w:rPr>
            </w:pPr>
            <w:r>
              <w:rPr>
                <w:b/>
                <w:bCs/>
                <w:color w:val="000000"/>
                <w:szCs w:val="24"/>
              </w:rPr>
              <w:t>Seaside HealthCare, LLC</w:t>
            </w:r>
          </w:p>
        </w:tc>
      </w:tr>
      <w:tr w:rsidR="00F0051C" w:rsidRPr="009B6478" w:rsidTr="00DC7669">
        <w:trPr>
          <w:trHeight w:val="290"/>
          <w:jc w:val="center"/>
        </w:trPr>
        <w:tc>
          <w:tcPr>
            <w:tcW w:w="6337" w:type="dxa"/>
            <w:gridSpan w:val="2"/>
            <w:tcBorders>
              <w:top w:val="nil"/>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center"/>
              <w:rPr>
                <w:b/>
                <w:bCs/>
                <w:color w:val="000000"/>
                <w:szCs w:val="24"/>
              </w:rPr>
            </w:pPr>
            <w:r w:rsidRPr="009B6478">
              <w:rPr>
                <w:b/>
                <w:bCs/>
                <w:color w:val="000000"/>
                <w:szCs w:val="24"/>
              </w:rPr>
              <w:t>Nursing Home Compare Ratings</w:t>
            </w:r>
          </w:p>
        </w:tc>
      </w:tr>
      <w:tr w:rsidR="00F0051C" w:rsidRPr="009B6478" w:rsidTr="00DC7669">
        <w:trPr>
          <w:trHeight w:val="290"/>
          <w:jc w:val="center"/>
        </w:trPr>
        <w:tc>
          <w:tcPr>
            <w:tcW w:w="3614"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center"/>
              <w:rPr>
                <w:b/>
                <w:bCs/>
                <w:color w:val="000000"/>
                <w:szCs w:val="24"/>
              </w:rPr>
            </w:pPr>
            <w:r w:rsidRPr="009B6478">
              <w:rPr>
                <w:b/>
                <w:bCs/>
                <w:color w:val="000000"/>
                <w:szCs w:val="24"/>
              </w:rPr>
              <w:t>Category</w:t>
            </w:r>
          </w:p>
        </w:tc>
        <w:tc>
          <w:tcPr>
            <w:tcW w:w="2723"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center"/>
              <w:rPr>
                <w:b/>
                <w:bCs/>
                <w:color w:val="000000"/>
                <w:szCs w:val="24"/>
              </w:rPr>
            </w:pPr>
            <w:r w:rsidRPr="009B6478">
              <w:rPr>
                <w:b/>
                <w:bCs/>
                <w:color w:val="000000"/>
                <w:szCs w:val="24"/>
              </w:rPr>
              <w:t>Ratings</w:t>
            </w:r>
          </w:p>
        </w:tc>
      </w:tr>
      <w:tr w:rsidR="00F0051C" w:rsidRPr="009B6478" w:rsidTr="00DC7669">
        <w:trPr>
          <w:trHeight w:val="290"/>
          <w:jc w:val="center"/>
        </w:trPr>
        <w:tc>
          <w:tcPr>
            <w:tcW w:w="3614"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both"/>
              <w:rPr>
                <w:color w:val="000000"/>
                <w:szCs w:val="24"/>
              </w:rPr>
            </w:pPr>
            <w:r w:rsidRPr="009B6478">
              <w:rPr>
                <w:color w:val="000000"/>
                <w:szCs w:val="24"/>
              </w:rPr>
              <w:t>Overall</w:t>
            </w:r>
          </w:p>
        </w:tc>
        <w:tc>
          <w:tcPr>
            <w:tcW w:w="2723"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both"/>
              <w:rPr>
                <w:color w:val="000000"/>
                <w:szCs w:val="24"/>
              </w:rPr>
            </w:pPr>
            <w:r w:rsidRPr="009B6478">
              <w:rPr>
                <w:color w:val="000000"/>
                <w:szCs w:val="24"/>
              </w:rPr>
              <w:t>Below Average</w:t>
            </w:r>
          </w:p>
        </w:tc>
      </w:tr>
      <w:tr w:rsidR="00F0051C" w:rsidRPr="009B6478" w:rsidTr="00DC7669">
        <w:trPr>
          <w:trHeight w:val="290"/>
          <w:jc w:val="center"/>
        </w:trPr>
        <w:tc>
          <w:tcPr>
            <w:tcW w:w="3614"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both"/>
              <w:rPr>
                <w:color w:val="000000"/>
                <w:szCs w:val="24"/>
              </w:rPr>
            </w:pPr>
            <w:r w:rsidRPr="009B6478">
              <w:rPr>
                <w:color w:val="000000"/>
                <w:szCs w:val="24"/>
              </w:rPr>
              <w:t>Health Inspections</w:t>
            </w:r>
          </w:p>
        </w:tc>
        <w:tc>
          <w:tcPr>
            <w:tcW w:w="2723"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both"/>
              <w:rPr>
                <w:color w:val="000000"/>
                <w:szCs w:val="24"/>
              </w:rPr>
            </w:pPr>
            <w:r w:rsidRPr="009B6478">
              <w:rPr>
                <w:color w:val="000000"/>
                <w:szCs w:val="24"/>
              </w:rPr>
              <w:t>Much Below Average</w:t>
            </w:r>
          </w:p>
        </w:tc>
      </w:tr>
      <w:tr w:rsidR="00F0051C" w:rsidRPr="009B6478" w:rsidTr="00DC7669">
        <w:trPr>
          <w:trHeight w:val="290"/>
          <w:jc w:val="center"/>
        </w:trPr>
        <w:tc>
          <w:tcPr>
            <w:tcW w:w="3614"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both"/>
              <w:rPr>
                <w:color w:val="000000"/>
                <w:szCs w:val="24"/>
              </w:rPr>
            </w:pPr>
            <w:r w:rsidRPr="009B6478">
              <w:rPr>
                <w:color w:val="000000"/>
                <w:szCs w:val="24"/>
              </w:rPr>
              <w:t>Staffing</w:t>
            </w:r>
          </w:p>
        </w:tc>
        <w:tc>
          <w:tcPr>
            <w:tcW w:w="2723"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both"/>
              <w:rPr>
                <w:color w:val="000000"/>
                <w:szCs w:val="24"/>
              </w:rPr>
            </w:pPr>
            <w:r w:rsidRPr="009B6478">
              <w:rPr>
                <w:color w:val="000000"/>
                <w:szCs w:val="24"/>
              </w:rPr>
              <w:t>Above Average</w:t>
            </w:r>
          </w:p>
        </w:tc>
      </w:tr>
      <w:tr w:rsidR="00F0051C" w:rsidRPr="009B6478" w:rsidTr="00DC7669">
        <w:trPr>
          <w:trHeight w:val="290"/>
          <w:jc w:val="center"/>
        </w:trPr>
        <w:tc>
          <w:tcPr>
            <w:tcW w:w="3614"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both"/>
              <w:rPr>
                <w:color w:val="000000"/>
                <w:szCs w:val="24"/>
              </w:rPr>
            </w:pPr>
            <w:r w:rsidRPr="009B6478">
              <w:rPr>
                <w:color w:val="000000"/>
                <w:szCs w:val="24"/>
              </w:rPr>
              <w:t>Quality Ratings</w:t>
            </w:r>
          </w:p>
        </w:tc>
        <w:tc>
          <w:tcPr>
            <w:tcW w:w="2723" w:type="dxa"/>
            <w:tcBorders>
              <w:top w:val="single" w:sz="6" w:space="0" w:color="auto"/>
              <w:left w:val="single" w:sz="6" w:space="0" w:color="auto"/>
              <w:bottom w:val="single" w:sz="6" w:space="0" w:color="auto"/>
              <w:right w:val="single" w:sz="6" w:space="0" w:color="auto"/>
            </w:tcBorders>
          </w:tcPr>
          <w:p w:rsidR="00F0051C" w:rsidRPr="009B6478" w:rsidRDefault="00F0051C" w:rsidP="00F0051C">
            <w:pPr>
              <w:autoSpaceDE w:val="0"/>
              <w:autoSpaceDN w:val="0"/>
              <w:adjustRightInd w:val="0"/>
              <w:jc w:val="both"/>
              <w:rPr>
                <w:color w:val="000000"/>
                <w:szCs w:val="24"/>
              </w:rPr>
            </w:pPr>
            <w:r w:rsidRPr="009B6478">
              <w:rPr>
                <w:color w:val="000000"/>
                <w:szCs w:val="24"/>
              </w:rPr>
              <w:t>Average</w:t>
            </w:r>
          </w:p>
        </w:tc>
      </w:tr>
    </w:tbl>
    <w:p w:rsidR="00F0051C" w:rsidRPr="009B6478" w:rsidRDefault="00F0051C" w:rsidP="00F0051C">
      <w:pPr>
        <w:jc w:val="both"/>
        <w:rPr>
          <w:szCs w:val="24"/>
        </w:rPr>
      </w:pPr>
    </w:p>
    <w:p w:rsidR="00F0051C" w:rsidRPr="009B6478" w:rsidRDefault="00F0051C" w:rsidP="00F0051C">
      <w:pPr>
        <w:jc w:val="both"/>
        <w:rPr>
          <w:szCs w:val="24"/>
        </w:rPr>
      </w:pPr>
      <w:r w:rsidRPr="009B6478">
        <w:rPr>
          <w:szCs w:val="24"/>
        </w:rPr>
        <w:t>Seaside scored “Average” or above in only two of four categories rated by CMS with an overall rating of “Below Average”. The last recertification survey was con</w:t>
      </w:r>
      <w:r w:rsidR="0080721F">
        <w:rPr>
          <w:szCs w:val="24"/>
        </w:rPr>
        <w:t xml:space="preserve">ducted from March 24, 2014 through March 28, </w:t>
      </w:r>
      <w:r w:rsidRPr="009B6478">
        <w:rPr>
          <w:szCs w:val="24"/>
        </w:rPr>
        <w:t>2014. The on-site visit was conducted at Seaside Rehab and Healthcare for the purpose of completing the annual Quality Indicator Survey for Federal Recertification and for the purpose of investigating three complaints. The result of the survey was the identification of 7 deficiencies. Six deficiencies were Level A through E (minimal harm or potential for actual harm). One deficiency was level F and is considered a widespread issue. The average number of health deficiencies identified during a recertification survey in Maine is 4.3 and the average number of health deficiencies in the United States is 6.8. It was determined that Seaside Rehab a</w:t>
      </w:r>
      <w:r w:rsidR="00740959" w:rsidRPr="009B6478">
        <w:rPr>
          <w:szCs w:val="24"/>
        </w:rPr>
        <w:t>n</w:t>
      </w:r>
      <w:r w:rsidRPr="009B6478">
        <w:rPr>
          <w:szCs w:val="24"/>
        </w:rPr>
        <w:t>d Health Care was not in compliance with 41 CFR Part 483, Subpart B, Requirements for Long Term Care Facilities.</w:t>
      </w:r>
    </w:p>
    <w:p w:rsidR="00F0051C" w:rsidRPr="009B6478" w:rsidRDefault="00F0051C" w:rsidP="00F0051C">
      <w:pPr>
        <w:jc w:val="both"/>
        <w:rPr>
          <w:szCs w:val="24"/>
        </w:rPr>
      </w:pPr>
      <w:r w:rsidRPr="009B6478">
        <w:rPr>
          <w:szCs w:val="24"/>
        </w:rPr>
        <w:lastRenderedPageBreak/>
        <w:t>Inspectors determined that the nursing home failed to:</w:t>
      </w:r>
    </w:p>
    <w:p w:rsidR="00F0051C" w:rsidRPr="009B6478" w:rsidRDefault="00F0051C" w:rsidP="00F0051C">
      <w:pPr>
        <w:jc w:val="both"/>
        <w:rPr>
          <w:szCs w:val="24"/>
        </w:rPr>
      </w:pPr>
    </w:p>
    <w:p w:rsidR="00F0051C" w:rsidRPr="009B6478" w:rsidRDefault="00F0051C" w:rsidP="00F0051C">
      <w:pPr>
        <w:ind w:left="1440" w:hanging="720"/>
        <w:jc w:val="both"/>
        <w:rPr>
          <w:szCs w:val="24"/>
        </w:rPr>
      </w:pPr>
      <w:r w:rsidRPr="009B6478">
        <w:rPr>
          <w:b/>
          <w:szCs w:val="24"/>
        </w:rPr>
        <w:t>1)</w:t>
      </w:r>
      <w:r w:rsidR="009B6478">
        <w:rPr>
          <w:szCs w:val="24"/>
        </w:rPr>
        <w:tab/>
        <w:t>E</w:t>
      </w:r>
      <w:r w:rsidRPr="009B6478">
        <w:rPr>
          <w:szCs w:val="24"/>
        </w:rPr>
        <w:t>nsure a liability notice, which included appeal rights, was provided at least two day prior to a planned discharge whose Medicare services were discontinued.</w:t>
      </w:r>
    </w:p>
    <w:p w:rsidR="00F0051C" w:rsidRPr="009B6478" w:rsidRDefault="00F0051C" w:rsidP="00F0051C">
      <w:pPr>
        <w:jc w:val="both"/>
        <w:rPr>
          <w:szCs w:val="24"/>
        </w:rPr>
      </w:pPr>
    </w:p>
    <w:p w:rsidR="00F0051C" w:rsidRPr="009B6478" w:rsidRDefault="00F0051C" w:rsidP="00F0051C">
      <w:pPr>
        <w:ind w:left="1440" w:hanging="720"/>
        <w:jc w:val="both"/>
        <w:rPr>
          <w:szCs w:val="24"/>
        </w:rPr>
      </w:pPr>
      <w:r w:rsidRPr="009B6478">
        <w:rPr>
          <w:b/>
          <w:szCs w:val="24"/>
        </w:rPr>
        <w:t>2)</w:t>
      </w:r>
      <w:r w:rsidR="009B6478">
        <w:rPr>
          <w:szCs w:val="24"/>
        </w:rPr>
        <w:tab/>
        <w:t>A</w:t>
      </w:r>
      <w:r w:rsidRPr="009B6478">
        <w:rPr>
          <w:szCs w:val="24"/>
        </w:rPr>
        <w:t>ct upon food grievances regarding food quality that were expressed in 3 of 5 reviewed Resident Council Meetings.</w:t>
      </w:r>
    </w:p>
    <w:p w:rsidR="00F0051C" w:rsidRPr="009B6478" w:rsidRDefault="00F0051C" w:rsidP="00F0051C">
      <w:pPr>
        <w:jc w:val="both"/>
        <w:rPr>
          <w:szCs w:val="24"/>
        </w:rPr>
      </w:pPr>
    </w:p>
    <w:p w:rsidR="00F0051C" w:rsidRPr="009B6478" w:rsidRDefault="00F0051C" w:rsidP="00F0051C">
      <w:pPr>
        <w:ind w:left="1440" w:hanging="720"/>
        <w:jc w:val="both"/>
        <w:rPr>
          <w:szCs w:val="24"/>
        </w:rPr>
      </w:pPr>
      <w:r w:rsidRPr="009B6478">
        <w:rPr>
          <w:b/>
          <w:szCs w:val="24"/>
        </w:rPr>
        <w:t>3)</w:t>
      </w:r>
      <w:r w:rsidRPr="009B6478">
        <w:rPr>
          <w:szCs w:val="24"/>
        </w:rPr>
        <w:tab/>
        <w:t>Develop a comprehensive care plan for 1 of 2 residents reviewed for catheter use.</w:t>
      </w:r>
    </w:p>
    <w:p w:rsidR="00F0051C" w:rsidRPr="009B6478" w:rsidRDefault="00F0051C" w:rsidP="00F0051C">
      <w:pPr>
        <w:jc w:val="both"/>
        <w:rPr>
          <w:szCs w:val="24"/>
        </w:rPr>
      </w:pPr>
    </w:p>
    <w:p w:rsidR="00F0051C" w:rsidRPr="009B6478" w:rsidRDefault="00F0051C" w:rsidP="00F0051C">
      <w:pPr>
        <w:ind w:left="1440" w:hanging="720"/>
        <w:jc w:val="both"/>
        <w:rPr>
          <w:szCs w:val="24"/>
        </w:rPr>
      </w:pPr>
      <w:r w:rsidRPr="009B6478">
        <w:rPr>
          <w:b/>
          <w:szCs w:val="24"/>
        </w:rPr>
        <w:t>4)</w:t>
      </w:r>
      <w:r w:rsidRPr="009B6478">
        <w:rPr>
          <w:szCs w:val="24"/>
        </w:rPr>
        <w:tab/>
        <w:t>Ensure that water temperature did not exceed 120 degrees Fahrenheit in 1 of 5 wings.</w:t>
      </w:r>
    </w:p>
    <w:p w:rsidR="00F0051C" w:rsidRPr="009B6478" w:rsidRDefault="00F0051C" w:rsidP="00F0051C">
      <w:pPr>
        <w:jc w:val="both"/>
        <w:rPr>
          <w:szCs w:val="24"/>
        </w:rPr>
      </w:pPr>
    </w:p>
    <w:p w:rsidR="00F0051C" w:rsidRPr="009B6478" w:rsidRDefault="00F0051C" w:rsidP="00F0051C">
      <w:pPr>
        <w:ind w:left="1440" w:hanging="720"/>
        <w:jc w:val="both"/>
        <w:rPr>
          <w:szCs w:val="24"/>
        </w:rPr>
      </w:pPr>
      <w:r w:rsidRPr="009B6478">
        <w:rPr>
          <w:b/>
          <w:szCs w:val="24"/>
        </w:rPr>
        <w:t>5)</w:t>
      </w:r>
      <w:r w:rsidR="001E0292">
        <w:rPr>
          <w:szCs w:val="24"/>
        </w:rPr>
        <w:tab/>
        <w:t>P</w:t>
      </w:r>
      <w:r w:rsidRPr="009B6478">
        <w:rPr>
          <w:szCs w:val="24"/>
        </w:rPr>
        <w:t>rovide food that conserved flavor and palatability for 14 of 26 sampled residents,</w:t>
      </w:r>
    </w:p>
    <w:p w:rsidR="00F0051C" w:rsidRPr="009B6478" w:rsidRDefault="00F0051C" w:rsidP="00F0051C">
      <w:pPr>
        <w:jc w:val="both"/>
        <w:rPr>
          <w:szCs w:val="24"/>
        </w:rPr>
      </w:pPr>
    </w:p>
    <w:p w:rsidR="00F0051C" w:rsidRPr="009B6478" w:rsidRDefault="00F0051C" w:rsidP="00F0051C">
      <w:pPr>
        <w:ind w:left="1440" w:hanging="720"/>
        <w:jc w:val="both"/>
        <w:rPr>
          <w:szCs w:val="24"/>
        </w:rPr>
      </w:pPr>
      <w:r w:rsidRPr="009B6478">
        <w:rPr>
          <w:b/>
          <w:szCs w:val="24"/>
        </w:rPr>
        <w:t>6)</w:t>
      </w:r>
      <w:r w:rsidRPr="009B6478">
        <w:rPr>
          <w:szCs w:val="24"/>
        </w:rPr>
        <w:tab/>
        <w:t>Ensure food was labeled and dated when opened, cooked or removed from the original packaging and failed to remove expired liquids from unit and main refrigerators. (Level F).</w:t>
      </w:r>
    </w:p>
    <w:p w:rsidR="00F0051C" w:rsidRPr="009B6478" w:rsidRDefault="00F0051C" w:rsidP="00F0051C">
      <w:pPr>
        <w:jc w:val="both"/>
        <w:rPr>
          <w:szCs w:val="24"/>
        </w:rPr>
      </w:pPr>
    </w:p>
    <w:p w:rsidR="00F0051C" w:rsidRPr="009B6478" w:rsidRDefault="00F0051C" w:rsidP="00F0051C">
      <w:pPr>
        <w:ind w:left="1440" w:hanging="720"/>
        <w:jc w:val="both"/>
        <w:rPr>
          <w:szCs w:val="24"/>
        </w:rPr>
      </w:pPr>
      <w:r w:rsidRPr="009B6478">
        <w:rPr>
          <w:b/>
          <w:szCs w:val="24"/>
        </w:rPr>
        <w:t>7)</w:t>
      </w:r>
      <w:r w:rsidRPr="009B6478">
        <w:rPr>
          <w:szCs w:val="24"/>
        </w:rPr>
        <w:tab/>
        <w:t>Ensure that all expired medications were removed from resident use for 2 of 5 wings.</w:t>
      </w:r>
    </w:p>
    <w:p w:rsidR="00F0051C" w:rsidRPr="009B6478" w:rsidRDefault="00F0051C" w:rsidP="00F0051C">
      <w:pPr>
        <w:jc w:val="both"/>
        <w:rPr>
          <w:szCs w:val="24"/>
        </w:rPr>
      </w:pPr>
    </w:p>
    <w:p w:rsidR="00F0051C" w:rsidRPr="009B6478" w:rsidRDefault="00F0051C" w:rsidP="00F0051C">
      <w:pPr>
        <w:jc w:val="both"/>
        <w:rPr>
          <w:szCs w:val="24"/>
        </w:rPr>
      </w:pPr>
      <w:r w:rsidRPr="009B6478">
        <w:rPr>
          <w:szCs w:val="24"/>
        </w:rPr>
        <w:t>All d</w:t>
      </w:r>
      <w:r w:rsidR="0080721F">
        <w:rPr>
          <w:szCs w:val="24"/>
        </w:rPr>
        <w:t xml:space="preserve">eficiencies were corrected by May 12, </w:t>
      </w:r>
      <w:r w:rsidRPr="009B6478">
        <w:rPr>
          <w:szCs w:val="24"/>
        </w:rPr>
        <w:t>2014.</w:t>
      </w:r>
      <w:r w:rsidR="00420102">
        <w:rPr>
          <w:szCs w:val="24"/>
        </w:rPr>
        <w:t xml:space="preserve"> </w:t>
      </w:r>
      <w:r w:rsidRPr="009B6478">
        <w:rPr>
          <w:szCs w:val="24"/>
        </w:rPr>
        <w:t>During the same period three complaint surveys were conducted and inspectors determined that two complaints were unsubstantiated but one was substantiated for the items regarding food palatability and freshness as previously indicated.</w:t>
      </w:r>
    </w:p>
    <w:p w:rsidR="00F0051C" w:rsidRPr="009B6478" w:rsidRDefault="00F0051C" w:rsidP="00F0051C">
      <w:pPr>
        <w:jc w:val="both"/>
        <w:rPr>
          <w:szCs w:val="24"/>
        </w:rPr>
      </w:pPr>
    </w:p>
    <w:p w:rsidR="00F0051C" w:rsidRPr="009B6478" w:rsidRDefault="00F0051C" w:rsidP="00F0051C">
      <w:pPr>
        <w:jc w:val="both"/>
        <w:rPr>
          <w:szCs w:val="24"/>
        </w:rPr>
      </w:pPr>
      <w:r w:rsidRPr="009B6478">
        <w:rPr>
          <w:szCs w:val="24"/>
        </w:rPr>
        <w:t>Survey data for this facility can be accessed at Medicare.gov or at DHHS DLRS and is on file at CONU.</w:t>
      </w:r>
    </w:p>
    <w:p w:rsidR="00F0051C" w:rsidRPr="009B6478" w:rsidRDefault="00F0051C" w:rsidP="00F0051C">
      <w:pPr>
        <w:jc w:val="both"/>
        <w:rPr>
          <w:szCs w:val="24"/>
        </w:rPr>
      </w:pPr>
    </w:p>
    <w:p w:rsidR="00F0051C" w:rsidRPr="009B6478" w:rsidRDefault="00F0051C" w:rsidP="00F0051C">
      <w:pPr>
        <w:jc w:val="both"/>
        <w:rPr>
          <w:szCs w:val="24"/>
        </w:rPr>
      </w:pPr>
      <w:r w:rsidRPr="009B6478">
        <w:rPr>
          <w:szCs w:val="24"/>
        </w:rPr>
        <w:t xml:space="preserve">The </w:t>
      </w:r>
      <w:r w:rsidR="00740959" w:rsidRPr="009B6478">
        <w:rPr>
          <w:szCs w:val="24"/>
        </w:rPr>
        <w:t>C</w:t>
      </w:r>
      <w:r w:rsidRPr="009B6478">
        <w:rPr>
          <w:szCs w:val="24"/>
        </w:rPr>
        <w:t>ommissioner can rely on data available to the department regarding the quality of health care provided by the applicant as allowed at M.R.S. 22 §337(3).</w:t>
      </w:r>
    </w:p>
    <w:p w:rsidR="00F0051C" w:rsidRPr="009B6478" w:rsidRDefault="00F0051C" w:rsidP="00F0051C">
      <w:pPr>
        <w:jc w:val="both"/>
        <w:rPr>
          <w:b/>
          <w:szCs w:val="24"/>
        </w:rPr>
      </w:pPr>
    </w:p>
    <w:p w:rsidR="00F0051C" w:rsidRPr="009B6478" w:rsidRDefault="00F0051C" w:rsidP="00F0051C">
      <w:pPr>
        <w:rPr>
          <w:b/>
          <w:szCs w:val="24"/>
        </w:rPr>
      </w:pPr>
      <w:r w:rsidRPr="009B6478">
        <w:rPr>
          <w:b/>
          <w:szCs w:val="24"/>
        </w:rPr>
        <w:t>Deeming of Standard</w:t>
      </w:r>
    </w:p>
    <w:p w:rsidR="00F0051C" w:rsidRPr="009B6478" w:rsidRDefault="00F0051C" w:rsidP="00F0051C">
      <w:pPr>
        <w:rPr>
          <w:szCs w:val="24"/>
        </w:rPr>
      </w:pPr>
    </w:p>
    <w:p w:rsidR="00F0051C" w:rsidRPr="009B6478" w:rsidRDefault="00F0051C" w:rsidP="00F0051C">
      <w:pPr>
        <w:jc w:val="both"/>
        <w:rPr>
          <w:szCs w:val="24"/>
        </w:rPr>
      </w:pPr>
      <w:r w:rsidRPr="009B6478">
        <w:rPr>
          <w:szCs w:val="24"/>
        </w:rPr>
        <w:t xml:space="preserve">As </w:t>
      </w:r>
      <w:r w:rsidR="001E0292">
        <w:rPr>
          <w:szCs w:val="24"/>
        </w:rPr>
        <w:t>provided for at 22 M.R.S. § 335</w:t>
      </w:r>
      <w:r w:rsidRPr="009B6478">
        <w:rPr>
          <w:szCs w:val="24"/>
        </w:rPr>
        <w:t>(7</w:t>
      </w:r>
      <w:proofErr w:type="gramStart"/>
      <w:r w:rsidRPr="009B6478">
        <w:rPr>
          <w:szCs w:val="24"/>
        </w:rPr>
        <w:t>)(</w:t>
      </w:r>
      <w:proofErr w:type="gramEnd"/>
      <w:r w:rsidRPr="009B6478">
        <w:rPr>
          <w:szCs w:val="24"/>
        </w:rPr>
        <w:t>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F0051C" w:rsidRPr="009B6478" w:rsidRDefault="00F0051C" w:rsidP="00F0051C">
      <w:pPr>
        <w:rPr>
          <w:szCs w:val="24"/>
        </w:rPr>
      </w:pPr>
    </w:p>
    <w:p w:rsidR="00F0051C" w:rsidRPr="009B6478" w:rsidRDefault="00F0051C" w:rsidP="00F0051C">
      <w:pPr>
        <w:jc w:val="both"/>
        <w:rPr>
          <w:szCs w:val="24"/>
        </w:rPr>
      </w:pPr>
      <w:r w:rsidRPr="009B6478">
        <w:rPr>
          <w:szCs w:val="24"/>
        </w:rPr>
        <w:t>Seaside LLC has been under the ownership of First Atlantic for no less than 16 years and has been a provider of both SNF/NF beds and Level IV Residential Care beds. The services provided by the applicant are consistent with applicable licensing and certification standards.</w:t>
      </w:r>
    </w:p>
    <w:p w:rsidR="0096374E" w:rsidRPr="009B6478" w:rsidRDefault="0096374E" w:rsidP="007F066E">
      <w:pPr>
        <w:jc w:val="both"/>
        <w:rPr>
          <w:szCs w:val="24"/>
        </w:rPr>
      </w:pPr>
    </w:p>
    <w:p w:rsidR="001A1A81" w:rsidRDefault="001A1A81" w:rsidP="006C70B1">
      <w:pPr>
        <w:numPr>
          <w:ilvl w:val="0"/>
          <w:numId w:val="1"/>
        </w:numPr>
        <w:ind w:hanging="360"/>
        <w:rPr>
          <w:b/>
          <w:szCs w:val="24"/>
        </w:rPr>
        <w:sectPr w:rsidR="001A1A81" w:rsidSect="00A70970">
          <w:footerReference w:type="default" r:id="rId12"/>
          <w:headerReference w:type="first" r:id="rId13"/>
          <w:footerReference w:type="first" r:id="rId14"/>
          <w:footnotePr>
            <w:numRestart w:val="eachSect"/>
          </w:footnotePr>
          <w:pgSz w:w="12240" w:h="15840" w:code="1"/>
          <w:pgMar w:top="900" w:right="1440" w:bottom="720" w:left="1440" w:header="720" w:footer="720" w:gutter="0"/>
          <w:pgNumType w:start="2"/>
          <w:cols w:space="720"/>
          <w:titlePg/>
          <w:docGrid w:linePitch="326"/>
        </w:sectPr>
      </w:pPr>
    </w:p>
    <w:p w:rsidR="00EC5B1E" w:rsidRPr="009B6478" w:rsidRDefault="00EC5B1E" w:rsidP="006C70B1">
      <w:pPr>
        <w:numPr>
          <w:ilvl w:val="0"/>
          <w:numId w:val="1"/>
        </w:numPr>
        <w:ind w:hanging="360"/>
        <w:rPr>
          <w:szCs w:val="24"/>
        </w:rPr>
      </w:pPr>
      <w:r w:rsidRPr="009B6478">
        <w:rPr>
          <w:b/>
          <w:szCs w:val="24"/>
        </w:rPr>
        <w:t>Economic Feasibility</w:t>
      </w:r>
      <w:r w:rsidRPr="009B6478">
        <w:rPr>
          <w:szCs w:val="24"/>
        </w:rPr>
        <w:t>:</w:t>
      </w:r>
    </w:p>
    <w:p w:rsidR="00C2101E" w:rsidRPr="009B6478" w:rsidRDefault="00C2101E" w:rsidP="00C2101E">
      <w:pPr>
        <w:ind w:left="-360"/>
        <w:rPr>
          <w:szCs w:val="24"/>
          <w:u w:val="single"/>
        </w:rPr>
      </w:pPr>
    </w:p>
    <w:p w:rsidR="00C2101E" w:rsidRDefault="00C2101E" w:rsidP="00364626">
      <w:pPr>
        <w:jc w:val="both"/>
        <w:rPr>
          <w:szCs w:val="24"/>
        </w:rPr>
      </w:pPr>
      <w:r w:rsidRPr="009B6478">
        <w:rPr>
          <w:szCs w:val="24"/>
        </w:rPr>
        <w:t>The applicant provided a pro-forma cost report that represented the change in the provided service level for the a</w:t>
      </w:r>
      <w:r w:rsidR="00420102">
        <w:rPr>
          <w:szCs w:val="24"/>
        </w:rPr>
        <w:t>dditional thirteen SNF/NF beds.</w:t>
      </w:r>
      <w:r w:rsidRPr="009B6478">
        <w:rPr>
          <w:szCs w:val="24"/>
        </w:rPr>
        <w:t xml:space="preserve"> The pro-forma demonstrated the applicants proposed staffing levels, routine costs and fixed costs associated with the increased licensed capacity. The pro-forma cost report supports the applicant’s assertion that the additional 13 SNF/NF beds are financially feasible. The applicant’s goal is to increase the capacity of the facility to accommodate more short-term rehab patients while incurring minimal additional costs.</w:t>
      </w:r>
    </w:p>
    <w:p w:rsidR="0080721F" w:rsidRPr="009B6478" w:rsidRDefault="0080721F" w:rsidP="00364626">
      <w:pPr>
        <w:jc w:val="both"/>
        <w:rPr>
          <w:b/>
          <w:szCs w:val="24"/>
          <w:u w:val="single"/>
        </w:rPr>
      </w:pPr>
    </w:p>
    <w:p w:rsidR="00C2101E" w:rsidRPr="009B6478" w:rsidRDefault="00C2101E" w:rsidP="00B26B47">
      <w:pPr>
        <w:jc w:val="both"/>
        <w:rPr>
          <w:szCs w:val="24"/>
        </w:rPr>
      </w:pPr>
      <w:r w:rsidRPr="009B6478">
        <w:rPr>
          <w:szCs w:val="24"/>
        </w:rPr>
        <w:t>Certificate of Need Unit staff is not aware of any imminent or proposed changes in laws and regulations that would impact the project, except for federal health care reform as part of the Affordable Care act (ACA). The impact of health reform as part of t</w:t>
      </w:r>
      <w:r w:rsidR="0080721F">
        <w:rPr>
          <w:szCs w:val="24"/>
        </w:rPr>
        <w:t>he ACA has not been determined.</w:t>
      </w:r>
    </w:p>
    <w:p w:rsidR="00C2101E" w:rsidRPr="009B6478" w:rsidRDefault="00C2101E" w:rsidP="00C2101E">
      <w:pPr>
        <w:pStyle w:val="ListParagraph"/>
        <w:ind w:left="-360"/>
        <w:jc w:val="both"/>
        <w:rPr>
          <w:b/>
          <w:szCs w:val="24"/>
        </w:rPr>
      </w:pPr>
    </w:p>
    <w:p w:rsidR="007660E9" w:rsidRPr="009B6478" w:rsidRDefault="00B92D52" w:rsidP="006C70B1">
      <w:pPr>
        <w:numPr>
          <w:ilvl w:val="0"/>
          <w:numId w:val="1"/>
        </w:numPr>
        <w:ind w:hanging="360"/>
        <w:rPr>
          <w:b/>
          <w:szCs w:val="24"/>
        </w:rPr>
      </w:pPr>
      <w:r w:rsidRPr="009B6478">
        <w:rPr>
          <w:b/>
          <w:szCs w:val="24"/>
        </w:rPr>
        <w:t>Public Need:</w:t>
      </w:r>
    </w:p>
    <w:p w:rsidR="004951B4" w:rsidRPr="009B6478" w:rsidRDefault="004951B4" w:rsidP="00717AE4">
      <w:pPr>
        <w:ind w:left="1080" w:hanging="720"/>
        <w:rPr>
          <w:b/>
          <w:szCs w:val="24"/>
        </w:rPr>
      </w:pPr>
    </w:p>
    <w:p w:rsidR="00C2101E" w:rsidRPr="009B6478" w:rsidRDefault="00C2101E" w:rsidP="00B26B47">
      <w:pPr>
        <w:tabs>
          <w:tab w:val="left" w:pos="-180"/>
        </w:tabs>
        <w:jc w:val="both"/>
        <w:rPr>
          <w:szCs w:val="24"/>
        </w:rPr>
      </w:pPr>
      <w:r w:rsidRPr="009B6478">
        <w:rPr>
          <w:szCs w:val="24"/>
        </w:rPr>
        <w:t xml:space="preserve">In order to determine public need, CONU analyzed demographic and service use trends in Seaside’s service area (Cumberland County, Maine). CONU utilized the </w:t>
      </w:r>
      <w:r w:rsidRPr="009B6478">
        <w:rPr>
          <w:szCs w:val="24"/>
          <w:u w:val="single"/>
        </w:rPr>
        <w:t>Older Adults with Physical Disabilities: population and Service Use Trends in Maine, 2012 Edition</w:t>
      </w:r>
      <w:r w:rsidRPr="009B6478">
        <w:rPr>
          <w:szCs w:val="24"/>
        </w:rPr>
        <w:t xml:space="preserve">, prepared by the Muskie School of Public Service and the U.S. Census Bureau’s website located at </w:t>
      </w:r>
      <w:hyperlink r:id="rId15" w:history="1">
        <w:r w:rsidRPr="009B6478">
          <w:rPr>
            <w:color w:val="0000FF"/>
            <w:szCs w:val="24"/>
            <w:u w:val="single"/>
          </w:rPr>
          <w:t>http://quickfacts.census.gov</w:t>
        </w:r>
      </w:hyperlink>
      <w:r w:rsidRPr="009B6478">
        <w:rPr>
          <w:szCs w:val="24"/>
        </w:rPr>
        <w:t>.</w:t>
      </w:r>
    </w:p>
    <w:p w:rsidR="00C2101E" w:rsidRPr="009B6478" w:rsidRDefault="00C2101E" w:rsidP="00C2101E">
      <w:pPr>
        <w:tabs>
          <w:tab w:val="left" w:pos="-180"/>
        </w:tabs>
        <w:ind w:left="-180"/>
        <w:jc w:val="both"/>
        <w:rPr>
          <w:szCs w:val="24"/>
        </w:rPr>
      </w:pPr>
    </w:p>
    <w:p w:rsidR="00C2101E" w:rsidRPr="009B6478" w:rsidRDefault="00C2101E" w:rsidP="00B26B47">
      <w:pPr>
        <w:tabs>
          <w:tab w:val="left" w:pos="-180"/>
        </w:tabs>
        <w:jc w:val="both"/>
        <w:rPr>
          <w:szCs w:val="24"/>
        </w:rPr>
      </w:pPr>
      <w:r w:rsidRPr="009B6478">
        <w:rPr>
          <w:szCs w:val="24"/>
        </w:rPr>
        <w:t>Cumberland County has a land area of approximately 835 square miles. It is comprised of three cities: Portland, South Portland, and Westbrook and twenty-five towns. The estimated 2012 population is 283,840, consisting of 40,689 persons (or 15%) in the 65 or older age group. This population is the primary consumer of nursing home services. The breakdown of this population by age group and projected growth is contained in the following table:</w:t>
      </w:r>
    </w:p>
    <w:p w:rsidR="00C2101E" w:rsidRPr="009B6478" w:rsidRDefault="00C2101E" w:rsidP="00C2101E">
      <w:pPr>
        <w:tabs>
          <w:tab w:val="left" w:pos="-180"/>
        </w:tabs>
        <w:ind w:left="-180"/>
        <w:rPr>
          <w:szCs w:val="24"/>
        </w:rPr>
      </w:pPr>
    </w:p>
    <w:tbl>
      <w:tblPr>
        <w:tblW w:w="7904" w:type="dxa"/>
        <w:jc w:val="center"/>
        <w:tblLook w:val="04A0" w:firstRow="1" w:lastRow="0" w:firstColumn="1" w:lastColumn="0" w:noHBand="0" w:noVBand="1"/>
      </w:tblPr>
      <w:tblGrid>
        <w:gridCol w:w="3232"/>
        <w:gridCol w:w="1620"/>
        <w:gridCol w:w="996"/>
        <w:gridCol w:w="2056"/>
      </w:tblGrid>
      <w:tr w:rsidR="00C2101E" w:rsidRPr="009B6478" w:rsidTr="00420102">
        <w:trPr>
          <w:trHeight w:val="300"/>
          <w:jc w:val="center"/>
        </w:trPr>
        <w:tc>
          <w:tcPr>
            <w:tcW w:w="3232" w:type="dxa"/>
            <w:tcBorders>
              <w:top w:val="single" w:sz="4" w:space="0" w:color="auto"/>
              <w:left w:val="single" w:sz="4" w:space="0" w:color="auto"/>
              <w:bottom w:val="nil"/>
              <w:right w:val="single" w:sz="4" w:space="0" w:color="auto"/>
            </w:tcBorders>
            <w:shd w:val="clear" w:color="auto" w:fill="auto"/>
            <w:noWrap/>
            <w:vAlign w:val="bottom"/>
            <w:hideMark/>
          </w:tcPr>
          <w:p w:rsidR="00C2101E" w:rsidRPr="009B6478" w:rsidRDefault="00C2101E" w:rsidP="00C2101E">
            <w:pPr>
              <w:tabs>
                <w:tab w:val="left" w:pos="-180"/>
              </w:tabs>
              <w:ind w:left="-180"/>
              <w:jc w:val="center"/>
              <w:rPr>
                <w:b/>
                <w:bCs/>
                <w:color w:val="000000"/>
                <w:szCs w:val="24"/>
              </w:rPr>
            </w:pPr>
            <w:r w:rsidRPr="009B6478">
              <w:rPr>
                <w:b/>
                <w:bCs/>
                <w:color w:val="000000"/>
                <w:szCs w:val="24"/>
              </w:rPr>
              <w:t>Cumberland County Age</w:t>
            </w:r>
          </w:p>
        </w:tc>
        <w:tc>
          <w:tcPr>
            <w:tcW w:w="1620" w:type="dxa"/>
            <w:tcBorders>
              <w:top w:val="single" w:sz="4" w:space="0" w:color="auto"/>
              <w:left w:val="nil"/>
              <w:bottom w:val="nil"/>
              <w:right w:val="single" w:sz="4" w:space="0" w:color="auto"/>
            </w:tcBorders>
            <w:shd w:val="clear" w:color="auto" w:fill="auto"/>
            <w:noWrap/>
            <w:vAlign w:val="bottom"/>
            <w:hideMark/>
          </w:tcPr>
          <w:p w:rsidR="00C2101E" w:rsidRPr="009B6478" w:rsidRDefault="00C2101E" w:rsidP="00C2101E">
            <w:pPr>
              <w:tabs>
                <w:tab w:val="left" w:pos="-180"/>
              </w:tabs>
              <w:ind w:left="-180"/>
              <w:jc w:val="center"/>
              <w:rPr>
                <w:b/>
                <w:bCs/>
                <w:color w:val="000000"/>
                <w:szCs w:val="24"/>
              </w:rPr>
            </w:pPr>
            <w:r w:rsidRPr="009B6478">
              <w:rPr>
                <w:b/>
                <w:bCs/>
                <w:color w:val="000000"/>
                <w:szCs w:val="24"/>
              </w:rPr>
              <w:t>2012 Current</w:t>
            </w:r>
          </w:p>
        </w:tc>
        <w:tc>
          <w:tcPr>
            <w:tcW w:w="996" w:type="dxa"/>
            <w:tcBorders>
              <w:top w:val="single" w:sz="4" w:space="0" w:color="auto"/>
              <w:left w:val="nil"/>
              <w:bottom w:val="nil"/>
              <w:right w:val="single" w:sz="4" w:space="0" w:color="auto"/>
            </w:tcBorders>
            <w:shd w:val="clear" w:color="auto" w:fill="auto"/>
            <w:noWrap/>
            <w:vAlign w:val="bottom"/>
            <w:hideMark/>
          </w:tcPr>
          <w:p w:rsidR="00C2101E" w:rsidRPr="009B6478" w:rsidRDefault="00C2101E" w:rsidP="00C2101E">
            <w:pPr>
              <w:tabs>
                <w:tab w:val="left" w:pos="-180"/>
              </w:tabs>
              <w:ind w:left="-180"/>
              <w:jc w:val="center"/>
              <w:rPr>
                <w:b/>
                <w:bCs/>
                <w:color w:val="000000"/>
                <w:szCs w:val="24"/>
              </w:rPr>
            </w:pPr>
            <w:r w:rsidRPr="009B6478">
              <w:rPr>
                <w:b/>
                <w:bCs/>
                <w:color w:val="000000"/>
                <w:szCs w:val="24"/>
              </w:rPr>
              <w:t>Rate of</w:t>
            </w:r>
          </w:p>
        </w:tc>
        <w:tc>
          <w:tcPr>
            <w:tcW w:w="2056" w:type="dxa"/>
            <w:tcBorders>
              <w:top w:val="single" w:sz="4" w:space="0" w:color="auto"/>
              <w:left w:val="nil"/>
              <w:bottom w:val="nil"/>
              <w:right w:val="single" w:sz="4" w:space="0" w:color="auto"/>
            </w:tcBorders>
            <w:shd w:val="clear" w:color="auto" w:fill="auto"/>
            <w:noWrap/>
            <w:vAlign w:val="bottom"/>
            <w:hideMark/>
          </w:tcPr>
          <w:p w:rsidR="00C2101E" w:rsidRPr="009B6478" w:rsidRDefault="00C2101E" w:rsidP="00C2101E">
            <w:pPr>
              <w:tabs>
                <w:tab w:val="left" w:pos="-180"/>
              </w:tabs>
              <w:ind w:left="-180"/>
              <w:jc w:val="center"/>
              <w:rPr>
                <w:b/>
                <w:bCs/>
                <w:color w:val="000000"/>
                <w:szCs w:val="24"/>
              </w:rPr>
            </w:pPr>
            <w:r w:rsidRPr="009B6478">
              <w:rPr>
                <w:b/>
                <w:bCs/>
                <w:color w:val="000000"/>
                <w:szCs w:val="24"/>
              </w:rPr>
              <w:t xml:space="preserve">   2022 Projected</w:t>
            </w:r>
          </w:p>
        </w:tc>
      </w:tr>
      <w:tr w:rsidR="00C2101E" w:rsidRPr="009B6478" w:rsidTr="00420102">
        <w:trPr>
          <w:trHeight w:val="300"/>
          <w:jc w:val="center"/>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center"/>
              <w:rPr>
                <w:b/>
                <w:bCs/>
                <w:color w:val="000000"/>
                <w:szCs w:val="24"/>
              </w:rPr>
            </w:pPr>
            <w:r w:rsidRPr="009B6478">
              <w:rPr>
                <w:b/>
                <w:bCs/>
                <w:color w:val="000000"/>
                <w:szCs w:val="24"/>
              </w:rPr>
              <w:t>Group</w:t>
            </w:r>
          </w:p>
        </w:tc>
        <w:tc>
          <w:tcPr>
            <w:tcW w:w="1620"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center"/>
              <w:rPr>
                <w:b/>
                <w:bCs/>
                <w:color w:val="000000"/>
                <w:szCs w:val="24"/>
              </w:rPr>
            </w:pPr>
            <w:r w:rsidRPr="009B6478">
              <w:rPr>
                <w:b/>
                <w:bCs/>
                <w:color w:val="000000"/>
                <w:szCs w:val="24"/>
              </w:rPr>
              <w:t>Population</w:t>
            </w:r>
          </w:p>
        </w:tc>
        <w:tc>
          <w:tcPr>
            <w:tcW w:w="996"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center"/>
              <w:rPr>
                <w:b/>
                <w:bCs/>
                <w:color w:val="000000"/>
                <w:szCs w:val="24"/>
              </w:rPr>
            </w:pPr>
            <w:r w:rsidRPr="009B6478">
              <w:rPr>
                <w:b/>
                <w:bCs/>
                <w:color w:val="000000"/>
                <w:szCs w:val="24"/>
              </w:rPr>
              <w:t>Growth</w:t>
            </w:r>
          </w:p>
        </w:tc>
        <w:tc>
          <w:tcPr>
            <w:tcW w:w="2056"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center"/>
              <w:rPr>
                <w:b/>
                <w:bCs/>
                <w:color w:val="000000"/>
                <w:szCs w:val="24"/>
              </w:rPr>
            </w:pPr>
            <w:r w:rsidRPr="009B6478">
              <w:rPr>
                <w:b/>
                <w:bCs/>
                <w:color w:val="000000"/>
                <w:szCs w:val="24"/>
              </w:rPr>
              <w:t>Population</w:t>
            </w:r>
          </w:p>
        </w:tc>
      </w:tr>
      <w:tr w:rsidR="00C2101E" w:rsidRPr="009B6478" w:rsidTr="00420102">
        <w:trPr>
          <w:trHeight w:val="300"/>
          <w:jc w:val="center"/>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rPr>
                <w:color w:val="000000"/>
                <w:szCs w:val="24"/>
              </w:rPr>
            </w:pPr>
            <w:r w:rsidRPr="009B6478">
              <w:rPr>
                <w:color w:val="000000"/>
                <w:szCs w:val="24"/>
              </w:rPr>
              <w:t xml:space="preserve">  Age 85+</w:t>
            </w:r>
          </w:p>
        </w:tc>
        <w:tc>
          <w:tcPr>
            <w:tcW w:w="1620"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6,141</w:t>
            </w:r>
          </w:p>
        </w:tc>
        <w:tc>
          <w:tcPr>
            <w:tcW w:w="996"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13%</w:t>
            </w:r>
          </w:p>
        </w:tc>
        <w:tc>
          <w:tcPr>
            <w:tcW w:w="2056"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6,939</w:t>
            </w:r>
          </w:p>
        </w:tc>
      </w:tr>
      <w:tr w:rsidR="00C2101E" w:rsidRPr="009B6478" w:rsidTr="00420102">
        <w:trPr>
          <w:trHeight w:val="300"/>
          <w:jc w:val="center"/>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rPr>
                <w:color w:val="000000"/>
                <w:szCs w:val="24"/>
              </w:rPr>
            </w:pPr>
            <w:r w:rsidRPr="009B6478">
              <w:rPr>
                <w:color w:val="000000"/>
                <w:szCs w:val="24"/>
              </w:rPr>
              <w:t xml:space="preserve">  Age 75-84</w:t>
            </w:r>
          </w:p>
        </w:tc>
        <w:tc>
          <w:tcPr>
            <w:tcW w:w="1620"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13,494</w:t>
            </w:r>
          </w:p>
        </w:tc>
        <w:tc>
          <w:tcPr>
            <w:tcW w:w="996"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46%</w:t>
            </w:r>
          </w:p>
        </w:tc>
        <w:tc>
          <w:tcPr>
            <w:tcW w:w="2056"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19,701</w:t>
            </w:r>
          </w:p>
        </w:tc>
      </w:tr>
      <w:tr w:rsidR="00C2101E" w:rsidRPr="009B6478" w:rsidTr="00420102">
        <w:trPr>
          <w:trHeight w:val="300"/>
          <w:jc w:val="center"/>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rPr>
                <w:color w:val="000000"/>
                <w:szCs w:val="24"/>
              </w:rPr>
            </w:pPr>
            <w:r w:rsidRPr="009B6478">
              <w:rPr>
                <w:color w:val="000000"/>
                <w:szCs w:val="24"/>
              </w:rPr>
              <w:t xml:space="preserve">  Age 65-74</w:t>
            </w:r>
          </w:p>
        </w:tc>
        <w:tc>
          <w:tcPr>
            <w:tcW w:w="1620"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21,054</w:t>
            </w:r>
          </w:p>
        </w:tc>
        <w:tc>
          <w:tcPr>
            <w:tcW w:w="996"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66%</w:t>
            </w:r>
          </w:p>
        </w:tc>
        <w:tc>
          <w:tcPr>
            <w:tcW w:w="2056"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C2101E">
            <w:pPr>
              <w:tabs>
                <w:tab w:val="left" w:pos="-180"/>
              </w:tabs>
              <w:ind w:left="-180"/>
              <w:jc w:val="right"/>
              <w:rPr>
                <w:color w:val="000000"/>
                <w:szCs w:val="24"/>
              </w:rPr>
            </w:pPr>
            <w:r w:rsidRPr="009B6478">
              <w:rPr>
                <w:color w:val="000000"/>
                <w:szCs w:val="24"/>
              </w:rPr>
              <w:t>34,950</w:t>
            </w:r>
          </w:p>
        </w:tc>
      </w:tr>
    </w:tbl>
    <w:p w:rsidR="00C2101E" w:rsidRPr="009B6478" w:rsidRDefault="00C2101E" w:rsidP="00C2101E">
      <w:pPr>
        <w:tabs>
          <w:tab w:val="left" w:pos="-180"/>
        </w:tabs>
        <w:ind w:left="-180"/>
        <w:jc w:val="both"/>
        <w:rPr>
          <w:szCs w:val="24"/>
        </w:rPr>
      </w:pPr>
    </w:p>
    <w:p w:rsidR="00C2101E" w:rsidRDefault="00C2101E" w:rsidP="00B26B47">
      <w:pPr>
        <w:tabs>
          <w:tab w:val="left" w:pos="-180"/>
        </w:tabs>
        <w:jc w:val="both"/>
        <w:rPr>
          <w:szCs w:val="24"/>
        </w:rPr>
      </w:pPr>
      <w:r w:rsidRPr="009B6478">
        <w:rPr>
          <w:szCs w:val="24"/>
        </w:rPr>
        <w:t>This rate of growth coincides with the State of Maine as a whole where the 65 and over population continues to grow at a rate faster than New England and</w:t>
      </w:r>
      <w:r w:rsidR="009B6478">
        <w:rPr>
          <w:szCs w:val="24"/>
        </w:rPr>
        <w:t xml:space="preserve"> the United States as a whole. </w:t>
      </w:r>
      <w:r w:rsidRPr="009B6478">
        <w:rPr>
          <w:szCs w:val="24"/>
        </w:rPr>
        <w:t>Statewide nursing home utilization declined between 2000 and</w:t>
      </w:r>
      <w:r w:rsidR="009B6478">
        <w:rPr>
          <w:szCs w:val="24"/>
        </w:rPr>
        <w:t xml:space="preserve"> 2008 but leveled off in 2010. </w:t>
      </w:r>
      <w:r w:rsidRPr="009B6478">
        <w:rPr>
          <w:szCs w:val="24"/>
        </w:rPr>
        <w:t>The average statewide percentages of the 65+ population utilizing SNF/NF services are as follows:</w:t>
      </w:r>
    </w:p>
    <w:p w:rsidR="00DC7669" w:rsidRPr="00DC7669" w:rsidRDefault="00DC7669" w:rsidP="00B26B47">
      <w:pPr>
        <w:tabs>
          <w:tab w:val="left" w:pos="-180"/>
        </w:tabs>
        <w:jc w:val="both"/>
        <w:rPr>
          <w:sz w:val="10"/>
          <w:szCs w:val="10"/>
        </w:rPr>
      </w:pPr>
    </w:p>
    <w:p w:rsidR="00C2101E" w:rsidRPr="001A1A81" w:rsidRDefault="00C2101E" w:rsidP="00C2101E">
      <w:pPr>
        <w:tabs>
          <w:tab w:val="left" w:pos="-180"/>
        </w:tabs>
        <w:ind w:left="-180"/>
        <w:rPr>
          <w:sz w:val="10"/>
          <w:szCs w:val="10"/>
        </w:rPr>
      </w:pPr>
    </w:p>
    <w:tbl>
      <w:tblPr>
        <w:tblStyle w:val="TableGrid"/>
        <w:tblW w:w="0" w:type="auto"/>
        <w:jc w:val="center"/>
        <w:tblInd w:w="1368" w:type="dxa"/>
        <w:tblLook w:val="04A0" w:firstRow="1" w:lastRow="0" w:firstColumn="1" w:lastColumn="0" w:noHBand="0" w:noVBand="1"/>
      </w:tblPr>
      <w:tblGrid>
        <w:gridCol w:w="2880"/>
        <w:gridCol w:w="4230"/>
      </w:tblGrid>
      <w:tr w:rsidR="00C2101E" w:rsidRPr="009B6478" w:rsidTr="009B6478">
        <w:trPr>
          <w:jc w:val="center"/>
        </w:trPr>
        <w:tc>
          <w:tcPr>
            <w:tcW w:w="2880" w:type="dxa"/>
          </w:tcPr>
          <w:p w:rsidR="00C2101E" w:rsidRPr="009B6478" w:rsidRDefault="00C2101E" w:rsidP="00C2101E">
            <w:pPr>
              <w:tabs>
                <w:tab w:val="left" w:pos="-180"/>
              </w:tabs>
              <w:rPr>
                <w:b/>
                <w:szCs w:val="24"/>
              </w:rPr>
            </w:pPr>
            <w:r w:rsidRPr="009B6478">
              <w:rPr>
                <w:b/>
                <w:szCs w:val="24"/>
              </w:rPr>
              <w:t>Age Group</w:t>
            </w:r>
          </w:p>
        </w:tc>
        <w:tc>
          <w:tcPr>
            <w:tcW w:w="4230" w:type="dxa"/>
          </w:tcPr>
          <w:p w:rsidR="00C2101E" w:rsidRPr="009B6478" w:rsidRDefault="00C2101E" w:rsidP="00C2101E">
            <w:pPr>
              <w:tabs>
                <w:tab w:val="left" w:pos="-180"/>
              </w:tabs>
              <w:rPr>
                <w:b/>
                <w:szCs w:val="24"/>
              </w:rPr>
            </w:pPr>
            <w:r w:rsidRPr="009B6478">
              <w:rPr>
                <w:b/>
                <w:szCs w:val="24"/>
              </w:rPr>
              <w:t>% of age group needing SNF/NF care</w:t>
            </w:r>
          </w:p>
        </w:tc>
      </w:tr>
      <w:tr w:rsidR="00C2101E" w:rsidRPr="009B6478" w:rsidTr="009B6478">
        <w:trPr>
          <w:jc w:val="center"/>
        </w:trPr>
        <w:tc>
          <w:tcPr>
            <w:tcW w:w="2880" w:type="dxa"/>
          </w:tcPr>
          <w:p w:rsidR="00C2101E" w:rsidRPr="009B6478" w:rsidRDefault="00C2101E" w:rsidP="00C2101E">
            <w:pPr>
              <w:tabs>
                <w:tab w:val="left" w:pos="-180"/>
              </w:tabs>
              <w:rPr>
                <w:szCs w:val="24"/>
              </w:rPr>
            </w:pPr>
            <w:r w:rsidRPr="009B6478">
              <w:rPr>
                <w:szCs w:val="24"/>
              </w:rPr>
              <w:t>Age 85+</w:t>
            </w:r>
          </w:p>
        </w:tc>
        <w:tc>
          <w:tcPr>
            <w:tcW w:w="4230" w:type="dxa"/>
          </w:tcPr>
          <w:p w:rsidR="00C2101E" w:rsidRPr="009B6478" w:rsidRDefault="00C2101E" w:rsidP="009B6478">
            <w:pPr>
              <w:tabs>
                <w:tab w:val="left" w:pos="-180"/>
              </w:tabs>
              <w:jc w:val="center"/>
              <w:rPr>
                <w:szCs w:val="24"/>
              </w:rPr>
            </w:pPr>
            <w:r w:rsidRPr="009B6478">
              <w:rPr>
                <w:szCs w:val="24"/>
              </w:rPr>
              <w:t>11.50%</w:t>
            </w:r>
          </w:p>
        </w:tc>
      </w:tr>
      <w:tr w:rsidR="00C2101E" w:rsidRPr="009B6478" w:rsidTr="009B6478">
        <w:trPr>
          <w:jc w:val="center"/>
        </w:trPr>
        <w:tc>
          <w:tcPr>
            <w:tcW w:w="2880" w:type="dxa"/>
          </w:tcPr>
          <w:p w:rsidR="00C2101E" w:rsidRPr="009B6478" w:rsidRDefault="00C2101E" w:rsidP="00C2101E">
            <w:pPr>
              <w:tabs>
                <w:tab w:val="left" w:pos="-180"/>
              </w:tabs>
              <w:rPr>
                <w:szCs w:val="24"/>
              </w:rPr>
            </w:pPr>
            <w:r w:rsidRPr="009B6478">
              <w:rPr>
                <w:szCs w:val="24"/>
              </w:rPr>
              <w:t>Age 75-84</w:t>
            </w:r>
          </w:p>
        </w:tc>
        <w:tc>
          <w:tcPr>
            <w:tcW w:w="4230" w:type="dxa"/>
          </w:tcPr>
          <w:p w:rsidR="00C2101E" w:rsidRPr="009B6478" w:rsidRDefault="00C2101E" w:rsidP="009B6478">
            <w:pPr>
              <w:tabs>
                <w:tab w:val="left" w:pos="-180"/>
              </w:tabs>
              <w:jc w:val="center"/>
              <w:rPr>
                <w:szCs w:val="24"/>
              </w:rPr>
            </w:pPr>
            <w:r w:rsidRPr="009B6478">
              <w:rPr>
                <w:szCs w:val="24"/>
              </w:rPr>
              <w:t>3.60%</w:t>
            </w:r>
          </w:p>
        </w:tc>
      </w:tr>
      <w:tr w:rsidR="00C2101E" w:rsidRPr="009B6478" w:rsidTr="009B6478">
        <w:trPr>
          <w:jc w:val="center"/>
        </w:trPr>
        <w:tc>
          <w:tcPr>
            <w:tcW w:w="2880" w:type="dxa"/>
          </w:tcPr>
          <w:p w:rsidR="00C2101E" w:rsidRPr="009B6478" w:rsidRDefault="00C2101E" w:rsidP="00C2101E">
            <w:pPr>
              <w:tabs>
                <w:tab w:val="left" w:pos="-180"/>
              </w:tabs>
              <w:rPr>
                <w:szCs w:val="24"/>
              </w:rPr>
            </w:pPr>
            <w:r w:rsidRPr="009B6478">
              <w:rPr>
                <w:szCs w:val="24"/>
              </w:rPr>
              <w:t>Age 64-74</w:t>
            </w:r>
          </w:p>
        </w:tc>
        <w:tc>
          <w:tcPr>
            <w:tcW w:w="4230" w:type="dxa"/>
          </w:tcPr>
          <w:p w:rsidR="00C2101E" w:rsidRPr="009B6478" w:rsidRDefault="00C2101E" w:rsidP="009B6478">
            <w:pPr>
              <w:tabs>
                <w:tab w:val="left" w:pos="-180"/>
              </w:tabs>
              <w:jc w:val="center"/>
              <w:rPr>
                <w:szCs w:val="24"/>
              </w:rPr>
            </w:pPr>
            <w:r w:rsidRPr="009B6478">
              <w:rPr>
                <w:szCs w:val="24"/>
              </w:rPr>
              <w:t>0.80%</w:t>
            </w:r>
          </w:p>
        </w:tc>
      </w:tr>
    </w:tbl>
    <w:p w:rsidR="00C2101E" w:rsidRDefault="00C2101E" w:rsidP="00C2101E">
      <w:pPr>
        <w:tabs>
          <w:tab w:val="left" w:pos="-180"/>
        </w:tabs>
        <w:ind w:left="-180"/>
        <w:rPr>
          <w:sz w:val="10"/>
          <w:szCs w:val="10"/>
        </w:rPr>
      </w:pPr>
    </w:p>
    <w:p w:rsidR="00DC7669" w:rsidRPr="001A1A81" w:rsidRDefault="00DC7669" w:rsidP="00C2101E">
      <w:pPr>
        <w:tabs>
          <w:tab w:val="left" w:pos="-180"/>
        </w:tabs>
        <w:ind w:left="-180"/>
        <w:rPr>
          <w:sz w:val="10"/>
          <w:szCs w:val="10"/>
        </w:rPr>
      </w:pPr>
    </w:p>
    <w:p w:rsidR="000A7EA4" w:rsidRDefault="000A7EA4" w:rsidP="00B26B47">
      <w:pPr>
        <w:tabs>
          <w:tab w:val="left" w:pos="-180"/>
        </w:tabs>
        <w:jc w:val="both"/>
        <w:rPr>
          <w:szCs w:val="24"/>
        </w:rPr>
        <w:sectPr w:rsidR="000A7EA4" w:rsidSect="00A70970">
          <w:footerReference w:type="default" r:id="rId16"/>
          <w:footerReference w:type="first" r:id="rId17"/>
          <w:footnotePr>
            <w:numRestart w:val="eachSect"/>
          </w:footnotePr>
          <w:pgSz w:w="12240" w:h="15840" w:code="1"/>
          <w:pgMar w:top="900" w:right="1440" w:bottom="720" w:left="1440" w:header="720" w:footer="720" w:gutter="0"/>
          <w:pgNumType w:start="2"/>
          <w:cols w:space="720"/>
          <w:titlePg/>
          <w:docGrid w:linePitch="326"/>
        </w:sectPr>
      </w:pPr>
    </w:p>
    <w:p w:rsidR="00C2101E" w:rsidRPr="009B6478" w:rsidRDefault="00C2101E" w:rsidP="00B26B47">
      <w:pPr>
        <w:tabs>
          <w:tab w:val="left" w:pos="-180"/>
        </w:tabs>
        <w:jc w:val="both"/>
        <w:rPr>
          <w:szCs w:val="24"/>
        </w:rPr>
      </w:pPr>
      <w:r w:rsidRPr="009B6478">
        <w:rPr>
          <w:szCs w:val="24"/>
        </w:rPr>
        <w:t>It is likely that additional SNF/NF services will be required over the next ten years given the projected increase in the 65+ population. Over the past two decades many new services have been added which allow persons to stay at home or receive services within the community</w:t>
      </w:r>
      <w:r w:rsidR="001B42E5">
        <w:rPr>
          <w:szCs w:val="24"/>
        </w:rPr>
        <w:t>.</w:t>
      </w:r>
      <w:r w:rsidRPr="009B6478">
        <w:rPr>
          <w:szCs w:val="24"/>
        </w:rPr>
        <w:t xml:space="preserve"> </w:t>
      </w:r>
      <w:r w:rsidR="001B42E5">
        <w:rPr>
          <w:szCs w:val="24"/>
        </w:rPr>
        <w:t>H</w:t>
      </w:r>
      <w:r w:rsidRPr="009B6478">
        <w:rPr>
          <w:szCs w:val="24"/>
        </w:rPr>
        <w:t>owever, when an individual does enter a nursing home they are usually older and require more care. Adding additional SNF/NF beds would substantially address specific health problems associated with an aging population requiring more intensive care. Cumberland County had 41 nursing home beds per 1,000 person’s age</w:t>
      </w:r>
      <w:r w:rsidR="001B42E5">
        <w:rPr>
          <w:szCs w:val="24"/>
        </w:rPr>
        <w:t>d</w:t>
      </w:r>
      <w:r w:rsidRPr="009B6478">
        <w:rPr>
          <w:szCs w:val="24"/>
        </w:rPr>
        <w:t xml:space="preserve"> 65 and above in 2010 as compared to the State-wide average of 33 nursing home beds per 1,000 person’s aged 65 and above. The available </w:t>
      </w:r>
      <w:r w:rsidR="00BD6EAD" w:rsidRPr="009B6478">
        <w:rPr>
          <w:szCs w:val="24"/>
        </w:rPr>
        <w:t>beds in Cumberland County exceed</w:t>
      </w:r>
      <w:r w:rsidRPr="009B6478">
        <w:rPr>
          <w:szCs w:val="24"/>
        </w:rPr>
        <w:t xml:space="preserve"> the </w:t>
      </w:r>
      <w:r w:rsidR="00BD6EAD" w:rsidRPr="009B6478">
        <w:rPr>
          <w:szCs w:val="24"/>
        </w:rPr>
        <w:t>statewide</w:t>
      </w:r>
      <w:r w:rsidRPr="009B6478">
        <w:rPr>
          <w:szCs w:val="24"/>
        </w:rPr>
        <w:t xml:space="preserve"> average</w:t>
      </w:r>
      <w:r w:rsidR="001B42E5">
        <w:rPr>
          <w:szCs w:val="24"/>
        </w:rPr>
        <w:t>;</w:t>
      </w:r>
      <w:r w:rsidRPr="009B6478">
        <w:rPr>
          <w:szCs w:val="24"/>
        </w:rPr>
        <w:t xml:space="preserve"> however the average </w:t>
      </w:r>
      <w:r w:rsidR="004367F1">
        <w:rPr>
          <w:szCs w:val="24"/>
        </w:rPr>
        <w:t xml:space="preserve">occupancy is greater than 93%. </w:t>
      </w:r>
      <w:r w:rsidRPr="009B6478">
        <w:rPr>
          <w:szCs w:val="24"/>
        </w:rPr>
        <w:t>CONU compiled occupancy data for all Cu</w:t>
      </w:r>
      <w:r w:rsidR="00420102">
        <w:rPr>
          <w:szCs w:val="24"/>
        </w:rPr>
        <w:t xml:space="preserve">mberland County nursing homes. </w:t>
      </w:r>
      <w:r w:rsidRPr="009B6478">
        <w:rPr>
          <w:szCs w:val="24"/>
        </w:rPr>
        <w:t>Please see table below.</w:t>
      </w:r>
    </w:p>
    <w:p w:rsidR="001A1A81" w:rsidRPr="001A1A81" w:rsidRDefault="001A1A81" w:rsidP="00507DCA">
      <w:pPr>
        <w:tabs>
          <w:tab w:val="left" w:pos="0"/>
        </w:tabs>
        <w:rPr>
          <w:sz w:val="10"/>
          <w:szCs w:val="10"/>
        </w:rPr>
      </w:pPr>
    </w:p>
    <w:p w:rsidR="00C2101E" w:rsidRPr="009B6478" w:rsidRDefault="00C2101E" w:rsidP="00507DCA">
      <w:pPr>
        <w:tabs>
          <w:tab w:val="left" w:pos="0"/>
        </w:tabs>
        <w:rPr>
          <w:szCs w:val="24"/>
        </w:rPr>
      </w:pPr>
      <w:r w:rsidRPr="009B6478">
        <w:rPr>
          <w:szCs w:val="24"/>
        </w:rPr>
        <w:t>Table 1: Cumberland County Nursing Homes Occupancy Data</w:t>
      </w:r>
    </w:p>
    <w:p w:rsidR="00C2101E" w:rsidRPr="001A1A81" w:rsidRDefault="00C2101E" w:rsidP="00507DCA">
      <w:pPr>
        <w:tabs>
          <w:tab w:val="left" w:pos="0"/>
        </w:tabs>
        <w:rPr>
          <w:sz w:val="10"/>
          <w:szCs w:val="10"/>
        </w:rPr>
      </w:pPr>
    </w:p>
    <w:tbl>
      <w:tblPr>
        <w:tblW w:w="9442" w:type="dxa"/>
        <w:jc w:val="center"/>
        <w:tblInd w:w="-1106" w:type="dxa"/>
        <w:tblLook w:val="04A0" w:firstRow="1" w:lastRow="0" w:firstColumn="1" w:lastColumn="0" w:noHBand="0" w:noVBand="1"/>
      </w:tblPr>
      <w:tblGrid>
        <w:gridCol w:w="2610"/>
        <w:gridCol w:w="1511"/>
        <w:gridCol w:w="1527"/>
        <w:gridCol w:w="1142"/>
        <w:gridCol w:w="1363"/>
        <w:gridCol w:w="1363"/>
      </w:tblGrid>
      <w:tr w:rsidR="00C2101E" w:rsidRPr="009B6478" w:rsidTr="00BE5D81">
        <w:trPr>
          <w:trHeight w:val="300"/>
          <w:jc w:val="center"/>
        </w:trPr>
        <w:tc>
          <w:tcPr>
            <w:tcW w:w="2610" w:type="dxa"/>
            <w:tcBorders>
              <w:top w:val="single" w:sz="4" w:space="0" w:color="auto"/>
              <w:left w:val="single" w:sz="4" w:space="0" w:color="auto"/>
              <w:bottom w:val="nil"/>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p>
        </w:tc>
        <w:tc>
          <w:tcPr>
            <w:tcW w:w="1511" w:type="dxa"/>
            <w:tcBorders>
              <w:top w:val="single" w:sz="4" w:space="0" w:color="auto"/>
              <w:left w:val="nil"/>
              <w:bottom w:val="nil"/>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p>
        </w:tc>
        <w:tc>
          <w:tcPr>
            <w:tcW w:w="1527" w:type="dxa"/>
            <w:tcBorders>
              <w:top w:val="single" w:sz="4" w:space="0" w:color="auto"/>
              <w:left w:val="nil"/>
              <w:bottom w:val="nil"/>
              <w:right w:val="single" w:sz="4" w:space="0" w:color="auto"/>
            </w:tcBorders>
            <w:shd w:val="clear" w:color="auto" w:fill="auto"/>
            <w:noWrap/>
            <w:vAlign w:val="bottom"/>
            <w:hideMark/>
          </w:tcPr>
          <w:p w:rsidR="00C2101E" w:rsidRPr="009B6478" w:rsidRDefault="00364626" w:rsidP="00364626">
            <w:pPr>
              <w:tabs>
                <w:tab w:val="left" w:pos="0"/>
              </w:tabs>
              <w:jc w:val="center"/>
              <w:rPr>
                <w:b/>
                <w:bCs/>
                <w:color w:val="000000"/>
                <w:szCs w:val="24"/>
              </w:rPr>
            </w:pPr>
            <w:r>
              <w:rPr>
                <w:b/>
                <w:bCs/>
                <w:color w:val="000000"/>
                <w:szCs w:val="24"/>
              </w:rPr>
              <w:t>Distance</w:t>
            </w:r>
          </w:p>
        </w:tc>
        <w:tc>
          <w:tcPr>
            <w:tcW w:w="1142" w:type="dxa"/>
            <w:tcBorders>
              <w:top w:val="single" w:sz="4" w:space="0" w:color="auto"/>
              <w:left w:val="nil"/>
              <w:bottom w:val="nil"/>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Licensed</w:t>
            </w:r>
          </w:p>
        </w:tc>
        <w:tc>
          <w:tcPr>
            <w:tcW w:w="1363" w:type="dxa"/>
            <w:tcBorders>
              <w:top w:val="single" w:sz="4" w:space="0" w:color="auto"/>
              <w:left w:val="nil"/>
              <w:bottom w:val="nil"/>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p>
        </w:tc>
        <w:tc>
          <w:tcPr>
            <w:tcW w:w="1289" w:type="dxa"/>
            <w:tcBorders>
              <w:top w:val="single" w:sz="4" w:space="0" w:color="auto"/>
              <w:left w:val="nil"/>
              <w:bottom w:val="nil"/>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w:t>
            </w:r>
          </w:p>
        </w:tc>
      </w:tr>
      <w:tr w:rsidR="00C2101E" w:rsidRPr="009B6478" w:rsidTr="00BE5D81">
        <w:trPr>
          <w:trHeight w:val="19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Facility</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Location</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From Applicant</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Beds</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Occupancy</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Occupancy</w:t>
            </w:r>
          </w:p>
        </w:tc>
      </w:tr>
      <w:tr w:rsidR="00C2101E" w:rsidRPr="009B6478" w:rsidTr="00BE5D81">
        <w:trPr>
          <w:trHeight w:val="27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1A1A81" w:rsidP="001A1A81">
            <w:pPr>
              <w:tabs>
                <w:tab w:val="left" w:pos="0"/>
                <w:tab w:val="left" w:pos="465"/>
              </w:tabs>
              <w:ind w:hanging="270"/>
              <w:rPr>
                <w:color w:val="000000"/>
                <w:szCs w:val="24"/>
              </w:rPr>
            </w:pPr>
            <w:r>
              <w:rPr>
                <w:color w:val="000000"/>
                <w:szCs w:val="24"/>
              </w:rPr>
              <w:t xml:space="preserve">    </w:t>
            </w:r>
            <w:r w:rsidR="00C2101E" w:rsidRPr="009B6478">
              <w:rPr>
                <w:color w:val="000000"/>
                <w:szCs w:val="24"/>
              </w:rPr>
              <w:t>Barron Center</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Portland</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0</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219</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213</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97.26%</w:t>
            </w:r>
          </w:p>
        </w:tc>
      </w:tr>
      <w:tr w:rsidR="00C2101E" w:rsidRPr="009B6478" w:rsidTr="00BE5D81">
        <w:trPr>
          <w:trHeight w:val="26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Brentwood</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Yarmouth</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12</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78</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68</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87.18%</w:t>
            </w:r>
          </w:p>
        </w:tc>
      </w:tr>
      <w:tr w:rsidR="00C2101E" w:rsidRPr="009B6478" w:rsidTr="00BE5D81">
        <w:trPr>
          <w:trHeight w:val="242"/>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Bridgton</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Bridgton</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38</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43</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39</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90.70%</w:t>
            </w:r>
          </w:p>
        </w:tc>
      </w:tr>
      <w:tr w:rsidR="00C2101E" w:rsidRPr="009B6478" w:rsidTr="00BE5D81">
        <w:trPr>
          <w:trHeight w:val="242"/>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Cedars</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Portland</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0</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102</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86</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84.31%</w:t>
            </w:r>
          </w:p>
        </w:tc>
      </w:tr>
      <w:tr w:rsidR="00C2101E" w:rsidRPr="009B6478" w:rsidTr="00BE5D81">
        <w:trPr>
          <w:trHeight w:val="233"/>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Coastal Manor</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Yarmouth</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12</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39</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37</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94.87%</w:t>
            </w:r>
          </w:p>
        </w:tc>
      </w:tr>
      <w:tr w:rsidR="00C2101E" w:rsidRPr="009B6478" w:rsidTr="00BE5D81">
        <w:trPr>
          <w:trHeight w:val="233"/>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Falmouth by the Sea</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Falmouth</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65</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60</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92.31%</w:t>
            </w:r>
          </w:p>
        </w:tc>
      </w:tr>
      <w:tr w:rsidR="00C2101E" w:rsidRPr="009B6478" w:rsidTr="00BE5D81">
        <w:trPr>
          <w:trHeight w:val="215"/>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Freeport Nursing</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Freeport</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17</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61</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56</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91.80%</w:t>
            </w:r>
          </w:p>
        </w:tc>
      </w:tr>
      <w:tr w:rsidR="00C2101E" w:rsidRPr="009B6478" w:rsidTr="00BE5D81">
        <w:trPr>
          <w:trHeight w:val="197"/>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Gorham House</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Gorham</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11</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69</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65</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94.20%</w:t>
            </w:r>
          </w:p>
        </w:tc>
      </w:tr>
      <w:tr w:rsidR="00C2101E" w:rsidRPr="009B6478" w:rsidTr="00BE5D81">
        <w:trPr>
          <w:trHeight w:val="197"/>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Hawthorne House</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Freeport</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17</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81</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79</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97.53%</w:t>
            </w:r>
          </w:p>
        </w:tc>
      </w:tr>
      <w:tr w:rsidR="00C2101E" w:rsidRPr="009B6478" w:rsidTr="00BE5D81">
        <w:trPr>
          <w:trHeight w:val="1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Horizons</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Brunswick</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26</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65</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65</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100.00%</w:t>
            </w:r>
          </w:p>
        </w:tc>
      </w:tr>
      <w:tr w:rsidR="00C2101E" w:rsidRPr="009B6478" w:rsidTr="00BE5D81">
        <w:trPr>
          <w:trHeight w:val="1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Ledgewood Manor</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Windham</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14</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60</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58</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96.67%</w:t>
            </w:r>
          </w:p>
        </w:tc>
      </w:tr>
      <w:tr w:rsidR="00C2101E" w:rsidRPr="009B6478" w:rsidTr="00BE5D81">
        <w:trPr>
          <w:trHeight w:val="17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MVH-Scarborough</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Scarborough</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120</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114</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95.00%</w:t>
            </w:r>
          </w:p>
        </w:tc>
      </w:tr>
      <w:tr w:rsidR="00C2101E" w:rsidRPr="009B6478" w:rsidTr="00BE5D81">
        <w:trPr>
          <w:trHeight w:val="17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 xml:space="preserve">Mid Coast Senior </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Brunswick</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26</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42</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34</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80.95%</w:t>
            </w:r>
          </w:p>
        </w:tc>
      </w:tr>
      <w:tr w:rsidR="00C2101E" w:rsidRPr="009B6478" w:rsidTr="00BE5D81">
        <w:trPr>
          <w:trHeight w:val="152"/>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Pine Point</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Scarborough</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58</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57</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98.28%</w:t>
            </w:r>
          </w:p>
        </w:tc>
      </w:tr>
      <w:tr w:rsidR="00C2101E" w:rsidRPr="009B6478" w:rsidTr="00BE5D81">
        <w:trPr>
          <w:trHeight w:val="143"/>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Piper Shores</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Scarborough</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40</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37</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92.50%</w:t>
            </w:r>
          </w:p>
        </w:tc>
      </w:tr>
      <w:tr w:rsidR="00C2101E" w:rsidRPr="009B6478" w:rsidTr="00BE5D81">
        <w:trPr>
          <w:trHeight w:val="143"/>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Seaside</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Scarborough</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124</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117</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94.35%</w:t>
            </w:r>
          </w:p>
        </w:tc>
      </w:tr>
      <w:tr w:rsidR="00C2101E" w:rsidRPr="009B6478" w:rsidTr="00BE5D81">
        <w:trPr>
          <w:trHeight w:val="125"/>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Sedgewood</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Portland</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0</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65</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64</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98.46%</w:t>
            </w:r>
          </w:p>
        </w:tc>
      </w:tr>
      <w:tr w:rsidR="00C2101E" w:rsidRPr="009B6478" w:rsidTr="00BE5D81">
        <w:trPr>
          <w:trHeight w:val="215"/>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South Portland</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So. Portland</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3</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73</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73</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100.00%</w:t>
            </w:r>
          </w:p>
        </w:tc>
      </w:tr>
      <w:tr w:rsidR="00C2101E" w:rsidRPr="009B6478" w:rsidTr="00BE5D81">
        <w:trPr>
          <w:trHeight w:val="197"/>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Springbrook</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468"/>
                <w:tab w:val="left" w:pos="0"/>
              </w:tabs>
              <w:rPr>
                <w:color w:val="000000"/>
                <w:szCs w:val="24"/>
              </w:rPr>
            </w:pPr>
            <w:r w:rsidRPr="009B6478">
              <w:rPr>
                <w:color w:val="000000"/>
                <w:szCs w:val="24"/>
              </w:rPr>
              <w:t>Westbrook</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8</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123</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118</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95.93%</w:t>
            </w:r>
          </w:p>
        </w:tc>
      </w:tr>
      <w:tr w:rsidR="00C2101E" w:rsidRPr="009B6478" w:rsidTr="00BE5D81">
        <w:trPr>
          <w:trHeight w:val="197"/>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 w:val="left" w:pos="170"/>
              </w:tabs>
              <w:rPr>
                <w:color w:val="000000"/>
                <w:szCs w:val="24"/>
              </w:rPr>
            </w:pPr>
            <w:r w:rsidRPr="009B6478">
              <w:rPr>
                <w:color w:val="000000"/>
                <w:szCs w:val="24"/>
              </w:rPr>
              <w:t>St. Josephs Rehab.</w:t>
            </w:r>
          </w:p>
        </w:tc>
        <w:tc>
          <w:tcPr>
            <w:tcW w:w="1511"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color w:val="000000"/>
                <w:szCs w:val="24"/>
              </w:rPr>
            </w:pPr>
            <w:r w:rsidRPr="009B6478">
              <w:rPr>
                <w:color w:val="000000"/>
                <w:szCs w:val="24"/>
              </w:rPr>
              <w:t>Portland</w:t>
            </w:r>
          </w:p>
        </w:tc>
        <w:tc>
          <w:tcPr>
            <w:tcW w:w="1527"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0</w:t>
            </w:r>
          </w:p>
        </w:tc>
        <w:tc>
          <w:tcPr>
            <w:tcW w:w="1142"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121</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106</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color w:val="000000"/>
                <w:szCs w:val="24"/>
              </w:rPr>
            </w:pPr>
            <w:r w:rsidRPr="009B6478">
              <w:rPr>
                <w:color w:val="000000"/>
                <w:szCs w:val="24"/>
              </w:rPr>
              <w:t>87.60%</w:t>
            </w:r>
          </w:p>
        </w:tc>
      </w:tr>
      <w:tr w:rsidR="00C2101E" w:rsidRPr="009B6478" w:rsidTr="00BE5D81">
        <w:trPr>
          <w:trHeight w:val="300"/>
          <w:jc w:val="center"/>
        </w:trPr>
        <w:tc>
          <w:tcPr>
            <w:tcW w:w="2610" w:type="dxa"/>
            <w:tcBorders>
              <w:top w:val="nil"/>
              <w:left w:val="single" w:sz="4" w:space="0" w:color="auto"/>
              <w:bottom w:val="single" w:sz="4" w:space="0" w:color="auto"/>
              <w:right w:val="nil"/>
            </w:tcBorders>
            <w:shd w:val="clear" w:color="auto" w:fill="auto"/>
            <w:noWrap/>
            <w:vAlign w:val="bottom"/>
            <w:hideMark/>
          </w:tcPr>
          <w:p w:rsidR="00C2101E" w:rsidRPr="009B6478" w:rsidRDefault="00C2101E" w:rsidP="00507DCA">
            <w:pPr>
              <w:tabs>
                <w:tab w:val="left" w:pos="0"/>
                <w:tab w:val="left" w:pos="170"/>
              </w:tabs>
              <w:rPr>
                <w:b/>
                <w:bCs/>
                <w:color w:val="000000"/>
                <w:szCs w:val="24"/>
              </w:rPr>
            </w:pPr>
            <w:r w:rsidRPr="009B6478">
              <w:rPr>
                <w:b/>
                <w:bCs/>
                <w:color w:val="000000"/>
                <w:szCs w:val="24"/>
              </w:rPr>
              <w:t>TOTAL (Average)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rPr>
                <w:b/>
                <w:bCs/>
                <w:color w:val="000000"/>
                <w:szCs w:val="24"/>
              </w:rPr>
            </w:pPr>
            <w:r w:rsidRPr="009B6478">
              <w:rPr>
                <w:b/>
                <w:bCs/>
                <w:color w:val="000000"/>
                <w:szCs w:val="24"/>
              </w:rPr>
              <w:t>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1648</w:t>
            </w:r>
          </w:p>
        </w:tc>
        <w:tc>
          <w:tcPr>
            <w:tcW w:w="1363"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1546</w:t>
            </w:r>
          </w:p>
        </w:tc>
        <w:tc>
          <w:tcPr>
            <w:tcW w:w="1289" w:type="dxa"/>
            <w:tcBorders>
              <w:top w:val="nil"/>
              <w:left w:val="nil"/>
              <w:bottom w:val="single" w:sz="4" w:space="0" w:color="auto"/>
              <w:right w:val="single" w:sz="4" w:space="0" w:color="auto"/>
            </w:tcBorders>
            <w:shd w:val="clear" w:color="auto" w:fill="auto"/>
            <w:noWrap/>
            <w:vAlign w:val="bottom"/>
            <w:hideMark/>
          </w:tcPr>
          <w:p w:rsidR="00C2101E" w:rsidRPr="009B6478" w:rsidRDefault="00C2101E" w:rsidP="00507DCA">
            <w:pPr>
              <w:tabs>
                <w:tab w:val="left" w:pos="0"/>
              </w:tabs>
              <w:jc w:val="center"/>
              <w:rPr>
                <w:b/>
                <w:bCs/>
                <w:color w:val="000000"/>
                <w:szCs w:val="24"/>
              </w:rPr>
            </w:pPr>
            <w:r w:rsidRPr="009B6478">
              <w:rPr>
                <w:b/>
                <w:bCs/>
                <w:color w:val="000000"/>
                <w:szCs w:val="24"/>
              </w:rPr>
              <w:t>93.50%</w:t>
            </w:r>
          </w:p>
        </w:tc>
      </w:tr>
    </w:tbl>
    <w:p w:rsidR="000A7EA4" w:rsidRDefault="000A7EA4" w:rsidP="00507DCA">
      <w:pPr>
        <w:tabs>
          <w:tab w:val="left" w:pos="0"/>
        </w:tabs>
        <w:jc w:val="both"/>
        <w:rPr>
          <w:szCs w:val="24"/>
        </w:rPr>
      </w:pPr>
    </w:p>
    <w:p w:rsidR="00C2101E" w:rsidRPr="009B6478" w:rsidRDefault="00C2101E" w:rsidP="00507DCA">
      <w:pPr>
        <w:tabs>
          <w:tab w:val="left" w:pos="0"/>
        </w:tabs>
        <w:jc w:val="both"/>
        <w:rPr>
          <w:szCs w:val="24"/>
        </w:rPr>
      </w:pPr>
      <w:r w:rsidRPr="009B6478">
        <w:rPr>
          <w:szCs w:val="24"/>
        </w:rPr>
        <w:t>The above table shows that Cumberland County has an average occupancy rate of 93.5%. Only two facilities</w:t>
      </w:r>
      <w:r w:rsidR="001B42E5">
        <w:rPr>
          <w:szCs w:val="24"/>
        </w:rPr>
        <w:t>,</w:t>
      </w:r>
      <w:r w:rsidRPr="009B6478">
        <w:rPr>
          <w:szCs w:val="24"/>
        </w:rPr>
        <w:t xml:space="preserve"> Cedars and Mid Coast Senior</w:t>
      </w:r>
      <w:r w:rsidR="001B42E5">
        <w:rPr>
          <w:szCs w:val="24"/>
        </w:rPr>
        <w:t>,</w:t>
      </w:r>
      <w:r w:rsidRPr="009B6478">
        <w:rPr>
          <w:szCs w:val="24"/>
        </w:rPr>
        <w:t xml:space="preserve"> fall below an occupancy level of 85%. CONU expanded its analysis to review a full year of occupancy data for these facilities. Cedars had a 2013 average of 88.17% occupancy and Mid Coast Senior had a 2013 average occupancy of 87%. This analysis confirms that occupancy levels are high in Cumberland County nursing homes and that there is a demand for nursing services.</w:t>
      </w:r>
    </w:p>
    <w:p w:rsidR="00C2101E" w:rsidRPr="009B6478" w:rsidRDefault="00C2101E" w:rsidP="00507DCA">
      <w:pPr>
        <w:tabs>
          <w:tab w:val="left" w:pos="0"/>
        </w:tabs>
        <w:jc w:val="both"/>
        <w:rPr>
          <w:szCs w:val="24"/>
        </w:rPr>
      </w:pPr>
    </w:p>
    <w:p w:rsidR="000A7EA4" w:rsidRDefault="000A7EA4" w:rsidP="00507DCA">
      <w:pPr>
        <w:tabs>
          <w:tab w:val="left" w:pos="0"/>
        </w:tabs>
        <w:jc w:val="both"/>
        <w:rPr>
          <w:szCs w:val="24"/>
        </w:rPr>
        <w:sectPr w:rsidR="000A7EA4" w:rsidSect="00A70970">
          <w:footerReference w:type="first" r:id="rId18"/>
          <w:footnotePr>
            <w:numRestart w:val="eachSect"/>
          </w:footnotePr>
          <w:pgSz w:w="12240" w:h="15840" w:code="1"/>
          <w:pgMar w:top="900" w:right="1440" w:bottom="720" w:left="1440" w:header="720" w:footer="720" w:gutter="0"/>
          <w:pgNumType w:start="2"/>
          <w:cols w:space="720"/>
          <w:titlePg/>
          <w:docGrid w:linePitch="326"/>
        </w:sectPr>
      </w:pPr>
    </w:p>
    <w:p w:rsidR="00C2101E" w:rsidRPr="009B6478" w:rsidRDefault="00C2101E" w:rsidP="00507DCA">
      <w:pPr>
        <w:tabs>
          <w:tab w:val="left" w:pos="0"/>
        </w:tabs>
        <w:jc w:val="both"/>
        <w:rPr>
          <w:szCs w:val="24"/>
        </w:rPr>
      </w:pPr>
      <w:r w:rsidRPr="009B6478">
        <w:rPr>
          <w:szCs w:val="24"/>
        </w:rPr>
        <w:t>Maintaining and enhancing needed SNF/NF services in this area will have a positive impact on the health status indicators of the population to be served. This facility will enable residents to remain close to home and family while receiving services. According to the applicant</w:t>
      </w:r>
      <w:r w:rsidR="001B42E5">
        <w:rPr>
          <w:szCs w:val="24"/>
        </w:rPr>
        <w:t>,</w:t>
      </w:r>
      <w:r w:rsidRPr="009B6478">
        <w:rPr>
          <w:szCs w:val="24"/>
        </w:rPr>
        <w:t xml:space="preserve"> a recent survey of residents and families indicated that 82% of respondents would recommend this facility to others.</w:t>
      </w:r>
    </w:p>
    <w:p w:rsidR="00C2101E" w:rsidRPr="009B6478" w:rsidRDefault="00C2101E" w:rsidP="00507DCA">
      <w:pPr>
        <w:tabs>
          <w:tab w:val="left" w:pos="0"/>
        </w:tabs>
        <w:jc w:val="both"/>
        <w:rPr>
          <w:szCs w:val="24"/>
        </w:rPr>
      </w:pPr>
    </w:p>
    <w:p w:rsidR="00C2101E" w:rsidRPr="009B6478" w:rsidRDefault="00C2101E" w:rsidP="00507DCA">
      <w:pPr>
        <w:tabs>
          <w:tab w:val="left" w:pos="0"/>
        </w:tabs>
        <w:jc w:val="both"/>
        <w:rPr>
          <w:szCs w:val="24"/>
        </w:rPr>
      </w:pPr>
      <w:r w:rsidRPr="009B6478">
        <w:rPr>
          <w:szCs w:val="24"/>
        </w:rPr>
        <w:t>The services affected by the project will be accessible to all residents in the area based on clinical and financial eligibility criteria.</w:t>
      </w:r>
    </w:p>
    <w:p w:rsidR="00C2101E" w:rsidRPr="009B6478" w:rsidRDefault="00C2101E" w:rsidP="00507DCA">
      <w:pPr>
        <w:tabs>
          <w:tab w:val="left" w:pos="0"/>
        </w:tabs>
        <w:jc w:val="both"/>
        <w:rPr>
          <w:szCs w:val="24"/>
        </w:rPr>
      </w:pPr>
    </w:p>
    <w:p w:rsidR="00C2101E" w:rsidRPr="009B6478" w:rsidRDefault="00C2101E" w:rsidP="00507DCA">
      <w:pPr>
        <w:tabs>
          <w:tab w:val="left" w:pos="0"/>
        </w:tabs>
        <w:jc w:val="both"/>
        <w:rPr>
          <w:szCs w:val="24"/>
        </w:rPr>
      </w:pPr>
      <w:r w:rsidRPr="009B6478">
        <w:rPr>
          <w:szCs w:val="24"/>
        </w:rPr>
        <w:t>Seaside focuses its efforts on short-term rehabilitation with most residents returning home or to a lower cost community</w:t>
      </w:r>
      <w:r w:rsidR="001B42E5">
        <w:rPr>
          <w:szCs w:val="24"/>
        </w:rPr>
        <w:t>-</w:t>
      </w:r>
      <w:r w:rsidRPr="009B6478">
        <w:rPr>
          <w:szCs w:val="24"/>
        </w:rPr>
        <w:t>based setting which is in line with the goals of the State of Maine. This emphasis on returning residents to their homes and families as quickly as possible improves the quality of life for residents and improves outcomes.</w:t>
      </w:r>
    </w:p>
    <w:p w:rsidR="00E53BD1" w:rsidRPr="009B6478" w:rsidRDefault="00E53BD1" w:rsidP="00717AE4">
      <w:pPr>
        <w:jc w:val="both"/>
        <w:rPr>
          <w:szCs w:val="24"/>
        </w:rPr>
      </w:pPr>
    </w:p>
    <w:p w:rsidR="00B92D52" w:rsidRDefault="00B92D52" w:rsidP="006C70B1">
      <w:pPr>
        <w:numPr>
          <w:ilvl w:val="0"/>
          <w:numId w:val="1"/>
        </w:numPr>
        <w:ind w:hanging="360"/>
        <w:rPr>
          <w:b/>
          <w:szCs w:val="24"/>
        </w:rPr>
      </w:pPr>
      <w:r w:rsidRPr="009B6478">
        <w:rPr>
          <w:b/>
          <w:szCs w:val="24"/>
        </w:rPr>
        <w:t>Orderly and Economic Development:</w:t>
      </w:r>
    </w:p>
    <w:p w:rsidR="00420102" w:rsidRPr="009B6478" w:rsidRDefault="00420102" w:rsidP="00420102">
      <w:pPr>
        <w:ind w:left="1080"/>
        <w:rPr>
          <w:b/>
          <w:szCs w:val="24"/>
        </w:rPr>
      </w:pPr>
    </w:p>
    <w:p w:rsidR="00C2101E" w:rsidRPr="009B6478" w:rsidRDefault="00C2101E" w:rsidP="00C2101E">
      <w:pPr>
        <w:jc w:val="both"/>
        <w:rPr>
          <w:szCs w:val="24"/>
        </w:rPr>
      </w:pPr>
      <w:r w:rsidRPr="009B6478">
        <w:rPr>
          <w:szCs w:val="24"/>
        </w:rPr>
        <w:t>The decision to increase the Seaside facility SNF/NF capacity from 124 to 137 beds would address a demonstrated need for additional SNF/NF beds in the Portland area. This benefit would not be offset by a reduction in RCF beds in the area because of construction Seaside conducted last year to redistribute beds at this facility.</w:t>
      </w:r>
    </w:p>
    <w:p w:rsidR="00C2101E" w:rsidRPr="009B6478" w:rsidRDefault="00C2101E" w:rsidP="00C2101E">
      <w:pPr>
        <w:ind w:left="-360"/>
        <w:jc w:val="both"/>
        <w:rPr>
          <w:szCs w:val="24"/>
        </w:rPr>
      </w:pPr>
    </w:p>
    <w:p w:rsidR="00C2101E" w:rsidRPr="009B6478" w:rsidRDefault="00C2101E" w:rsidP="00C2101E">
      <w:pPr>
        <w:jc w:val="both"/>
        <w:rPr>
          <w:szCs w:val="24"/>
        </w:rPr>
      </w:pPr>
      <w:r w:rsidRPr="009B6478">
        <w:rPr>
          <w:szCs w:val="24"/>
        </w:rPr>
        <w:t>The increased operating costs associated with the 13 additional SNF/NF beds would be offset by utilization of the MaineCare revenue stream described in the Economic Feasibility section of this analysis.</w:t>
      </w:r>
    </w:p>
    <w:p w:rsidR="00C2101E" w:rsidRPr="009B6478" w:rsidRDefault="00C2101E" w:rsidP="00C2101E">
      <w:pPr>
        <w:ind w:left="-360"/>
        <w:jc w:val="both"/>
        <w:rPr>
          <w:szCs w:val="24"/>
        </w:rPr>
      </w:pPr>
    </w:p>
    <w:p w:rsidR="00C2101E" w:rsidRPr="009B6478" w:rsidRDefault="00C2101E" w:rsidP="00C2101E">
      <w:pPr>
        <w:jc w:val="both"/>
        <w:rPr>
          <w:szCs w:val="24"/>
        </w:rPr>
      </w:pPr>
      <w:r w:rsidRPr="009B6478">
        <w:rPr>
          <w:szCs w:val="24"/>
        </w:rPr>
        <w:t>No additional State funding is required for this project because MaineCare neutrality needs ha</w:t>
      </w:r>
      <w:r w:rsidR="001B42E5">
        <w:rPr>
          <w:szCs w:val="24"/>
        </w:rPr>
        <w:t>ve</w:t>
      </w:r>
      <w:r w:rsidRPr="009B6478">
        <w:rPr>
          <w:szCs w:val="24"/>
        </w:rPr>
        <w:t xml:space="preserve"> been achieved.</w:t>
      </w:r>
    </w:p>
    <w:p w:rsidR="00C2101E" w:rsidRPr="009B6478" w:rsidRDefault="00C2101E" w:rsidP="00C2101E">
      <w:pPr>
        <w:ind w:left="-360"/>
        <w:jc w:val="both"/>
        <w:rPr>
          <w:szCs w:val="24"/>
        </w:rPr>
      </w:pPr>
    </w:p>
    <w:p w:rsidR="00C2101E" w:rsidRPr="009B6478" w:rsidRDefault="00C2101E" w:rsidP="00C2101E">
      <w:pPr>
        <w:jc w:val="both"/>
        <w:rPr>
          <w:b/>
          <w:szCs w:val="24"/>
          <w:u w:val="single"/>
        </w:rPr>
      </w:pPr>
      <w:r w:rsidRPr="009B6478">
        <w:rPr>
          <w:szCs w:val="24"/>
        </w:rPr>
        <w:t>Seaside is an existing facility and the incremental costs associated with adding an additional 13 SNF/NF beds are relatively low. It is unlikely that a less expensive alternative to these services is available.</w:t>
      </w:r>
    </w:p>
    <w:p w:rsidR="007F066E" w:rsidRPr="009B6478" w:rsidRDefault="007F066E" w:rsidP="005E2E11">
      <w:pPr>
        <w:rPr>
          <w:szCs w:val="24"/>
        </w:rPr>
      </w:pPr>
    </w:p>
    <w:p w:rsidR="00605C80" w:rsidRPr="009B6478" w:rsidRDefault="00605C80" w:rsidP="006C70B1">
      <w:pPr>
        <w:numPr>
          <w:ilvl w:val="0"/>
          <w:numId w:val="1"/>
        </w:numPr>
        <w:ind w:hanging="360"/>
        <w:rPr>
          <w:b/>
          <w:szCs w:val="24"/>
        </w:rPr>
      </w:pPr>
      <w:r w:rsidRPr="009B6478">
        <w:rPr>
          <w:b/>
          <w:szCs w:val="24"/>
        </w:rPr>
        <w:t>Outcomes and Community Impact:</w:t>
      </w:r>
    </w:p>
    <w:p w:rsidR="00C2101E" w:rsidRPr="009B6478" w:rsidRDefault="00C2101E" w:rsidP="00C2101E">
      <w:pPr>
        <w:ind w:left="1080"/>
        <w:rPr>
          <w:b/>
          <w:szCs w:val="24"/>
        </w:rPr>
      </w:pPr>
    </w:p>
    <w:p w:rsidR="00C2101E" w:rsidRPr="009B6478" w:rsidRDefault="00C2101E" w:rsidP="00C2101E">
      <w:pPr>
        <w:jc w:val="both"/>
        <w:rPr>
          <w:szCs w:val="24"/>
        </w:rPr>
      </w:pPr>
      <w:r w:rsidRPr="009B6478">
        <w:rPr>
          <w:szCs w:val="24"/>
        </w:rPr>
        <w:t>The addition of 13 nursing home beds in Cumberland County will have a minimal effect on the quality of care delivered by existing service providers. Seniors needing SNF/NF care will have a greater likelihood of finding the services offered in the area where they reside.</w:t>
      </w:r>
    </w:p>
    <w:p w:rsidR="00C2101E" w:rsidRPr="009B6478" w:rsidRDefault="00C2101E" w:rsidP="00C2101E">
      <w:pPr>
        <w:rPr>
          <w:szCs w:val="24"/>
        </w:rPr>
      </w:pPr>
    </w:p>
    <w:p w:rsidR="00A104BB" w:rsidRPr="009B6478" w:rsidRDefault="00C2101E" w:rsidP="00C2101E">
      <w:pPr>
        <w:jc w:val="both"/>
        <w:rPr>
          <w:szCs w:val="24"/>
        </w:rPr>
      </w:pPr>
      <w:r w:rsidRPr="009B6478">
        <w:rPr>
          <w:szCs w:val="24"/>
        </w:rPr>
        <w:t>This proposal addresses the lack of available nursing home beds in the area. Seaside Healthcare’s focus will be on rehabilitation</w:t>
      </w:r>
      <w:r w:rsidR="001B42E5">
        <w:rPr>
          <w:szCs w:val="24"/>
        </w:rPr>
        <w:t>,</w:t>
      </w:r>
      <w:r w:rsidRPr="009B6478">
        <w:rPr>
          <w:szCs w:val="24"/>
        </w:rPr>
        <w:t xml:space="preserve"> with the goal of returning the patient</w:t>
      </w:r>
      <w:r w:rsidR="001B42E5">
        <w:rPr>
          <w:szCs w:val="24"/>
        </w:rPr>
        <w:t>s</w:t>
      </w:r>
      <w:r w:rsidRPr="009B6478">
        <w:rPr>
          <w:szCs w:val="24"/>
        </w:rPr>
        <w:t xml:space="preserve"> to their homes and/or to community-based services rather than placing residents permanently in a more costly long term care nursing bed. This reintroduction of a patient into the at-large community is consistent with the goals of the department and national trends of extending home-based service.</w:t>
      </w:r>
    </w:p>
    <w:p w:rsidR="0096374E" w:rsidRPr="009B6478" w:rsidRDefault="0096374E" w:rsidP="0096374E">
      <w:pPr>
        <w:ind w:left="-360"/>
        <w:rPr>
          <w:szCs w:val="24"/>
        </w:rPr>
      </w:pPr>
    </w:p>
    <w:p w:rsidR="00544CAB" w:rsidRPr="009B6478" w:rsidRDefault="00274279" w:rsidP="00274279">
      <w:pPr>
        <w:widowControl w:val="0"/>
        <w:tabs>
          <w:tab w:val="left" w:pos="1080"/>
        </w:tabs>
        <w:autoSpaceDE w:val="0"/>
        <w:autoSpaceDN w:val="0"/>
        <w:adjustRightInd w:val="0"/>
        <w:ind w:left="1080" w:hanging="360"/>
        <w:jc w:val="both"/>
        <w:rPr>
          <w:b/>
          <w:szCs w:val="24"/>
        </w:rPr>
      </w:pPr>
      <w:r w:rsidRPr="009B6478">
        <w:rPr>
          <w:b/>
          <w:szCs w:val="24"/>
        </w:rPr>
        <w:t>f)</w:t>
      </w:r>
      <w:r w:rsidR="007D4799" w:rsidRPr="009B6478">
        <w:rPr>
          <w:szCs w:val="24"/>
        </w:rPr>
        <w:tab/>
      </w:r>
      <w:r w:rsidR="00544CAB" w:rsidRPr="009B6478">
        <w:rPr>
          <w:b/>
          <w:szCs w:val="24"/>
        </w:rPr>
        <w:t>Service Utilization:</w:t>
      </w:r>
    </w:p>
    <w:p w:rsidR="00A104BB" w:rsidRPr="009B6478" w:rsidRDefault="00A104BB" w:rsidP="00B308C5">
      <w:pPr>
        <w:rPr>
          <w:b/>
          <w:szCs w:val="24"/>
        </w:rPr>
      </w:pPr>
    </w:p>
    <w:p w:rsidR="00A56B6E" w:rsidRPr="009B6478" w:rsidRDefault="00A56B6E" w:rsidP="00A56B6E">
      <w:pPr>
        <w:jc w:val="both"/>
        <w:rPr>
          <w:szCs w:val="24"/>
        </w:rPr>
      </w:pPr>
      <w:r w:rsidRPr="009B6478">
        <w:rPr>
          <w:szCs w:val="24"/>
        </w:rPr>
        <w:t>The Maine Quality Forum has not adopted any principles of evidence-based medicine directly applicable to the application; therefore this application meets the standard for this determination.</w:t>
      </w:r>
    </w:p>
    <w:p w:rsidR="00A56B6E" w:rsidRPr="009B6478" w:rsidRDefault="00A56B6E" w:rsidP="006C70B1">
      <w:pPr>
        <w:pStyle w:val="ListParagraph"/>
        <w:numPr>
          <w:ilvl w:val="0"/>
          <w:numId w:val="2"/>
        </w:numPr>
        <w:tabs>
          <w:tab w:val="left" w:pos="1170"/>
        </w:tabs>
        <w:rPr>
          <w:b/>
          <w:szCs w:val="24"/>
        </w:rPr>
      </w:pPr>
      <w:r w:rsidRPr="009B6478">
        <w:rPr>
          <w:b/>
          <w:szCs w:val="24"/>
        </w:rPr>
        <w:t>Consistency with MaineCare F</w:t>
      </w:r>
      <w:r w:rsidR="002A3A0B">
        <w:rPr>
          <w:b/>
          <w:szCs w:val="24"/>
        </w:rPr>
        <w:t>unding Pool and 333-A and 334-A:</w:t>
      </w:r>
    </w:p>
    <w:p w:rsidR="00A56B6E" w:rsidRPr="009B6478" w:rsidRDefault="00A56B6E" w:rsidP="00A56B6E">
      <w:pPr>
        <w:pStyle w:val="ListParagraph"/>
        <w:ind w:left="1080"/>
        <w:rPr>
          <w:b/>
          <w:szCs w:val="24"/>
        </w:rPr>
      </w:pPr>
    </w:p>
    <w:p w:rsidR="00A56B6E" w:rsidRDefault="00C2101E" w:rsidP="00B26B47">
      <w:pPr>
        <w:jc w:val="both"/>
        <w:rPr>
          <w:szCs w:val="24"/>
        </w:rPr>
      </w:pPr>
      <w:r w:rsidRPr="009B6478">
        <w:rPr>
          <w:szCs w:val="24"/>
        </w:rPr>
        <w:t>This facility achieved MaineCare neutrality by utilizing MaineCare resources from other projects. No funding from the MaineCare funding pool is required.</w:t>
      </w:r>
    </w:p>
    <w:p w:rsidR="00364626" w:rsidRDefault="00364626" w:rsidP="00B26B47">
      <w:pPr>
        <w:jc w:val="both"/>
        <w:rPr>
          <w:szCs w:val="24"/>
        </w:rPr>
      </w:pPr>
    </w:p>
    <w:p w:rsidR="00364626" w:rsidRPr="009B6478" w:rsidRDefault="00364626" w:rsidP="00364626">
      <w:pPr>
        <w:ind w:left="-360" w:firstLine="360"/>
        <w:rPr>
          <w:szCs w:val="24"/>
          <w:u w:val="single"/>
        </w:rPr>
      </w:pPr>
      <w:r w:rsidRPr="009B6478">
        <w:rPr>
          <w:szCs w:val="24"/>
          <w:u w:val="single"/>
        </w:rPr>
        <w:t>MaineCare Neutrality</w:t>
      </w:r>
    </w:p>
    <w:p w:rsidR="00364626" w:rsidRPr="009B6478" w:rsidRDefault="00364626" w:rsidP="00364626">
      <w:pPr>
        <w:ind w:left="-360"/>
        <w:rPr>
          <w:szCs w:val="24"/>
          <w:u w:val="single"/>
        </w:rPr>
      </w:pPr>
    </w:p>
    <w:p w:rsidR="00364626" w:rsidRPr="009B6478" w:rsidRDefault="00364626" w:rsidP="00364626">
      <w:pPr>
        <w:jc w:val="both"/>
        <w:rPr>
          <w:szCs w:val="24"/>
        </w:rPr>
      </w:pPr>
      <w:r w:rsidRPr="009B6478">
        <w:rPr>
          <w:szCs w:val="24"/>
        </w:rPr>
        <w:t>This project is su</w:t>
      </w:r>
      <w:r>
        <w:rPr>
          <w:szCs w:val="24"/>
        </w:rPr>
        <w:t xml:space="preserve">bject to MaineCare neutrality. </w:t>
      </w:r>
      <w:r w:rsidRPr="009B6478">
        <w:rPr>
          <w:szCs w:val="24"/>
        </w:rPr>
        <w:t xml:space="preserve">MaineCare neutrality is computed by comparing the current utilization of MaineCare resources at the current 124 bed SNF/NF and 30 bed RCF </w:t>
      </w:r>
      <w:proofErr w:type="gramStart"/>
      <w:r w:rsidRPr="009B6478">
        <w:rPr>
          <w:szCs w:val="24"/>
        </w:rPr>
        <w:t>capacity</w:t>
      </w:r>
      <w:proofErr w:type="gramEnd"/>
      <w:r w:rsidRPr="009B6478">
        <w:rPr>
          <w:szCs w:val="24"/>
        </w:rPr>
        <w:t xml:space="preserve"> with the proposed 137 beds SNF/NF and 30 bed RCF capacity. The current utilization is $9,237,482.</w:t>
      </w:r>
    </w:p>
    <w:p w:rsidR="00364626" w:rsidRPr="009B6478" w:rsidRDefault="00364626" w:rsidP="00364626">
      <w:pPr>
        <w:jc w:val="both"/>
        <w:rPr>
          <w:szCs w:val="24"/>
        </w:rPr>
      </w:pPr>
    </w:p>
    <w:p w:rsidR="00364626" w:rsidRDefault="00364626" w:rsidP="00364626">
      <w:pPr>
        <w:jc w:val="both"/>
        <w:rPr>
          <w:szCs w:val="24"/>
        </w:rPr>
      </w:pPr>
      <w:r w:rsidRPr="009B6478">
        <w:rPr>
          <w:szCs w:val="24"/>
        </w:rPr>
        <w:t>The expected costs to the MaineCare program are calculated to be $10,019,399. The increase in MaineCare ut</w:t>
      </w:r>
      <w:r w:rsidR="00D33EB9">
        <w:rPr>
          <w:szCs w:val="24"/>
        </w:rPr>
        <w:t>ilization is $781,916 based on</w:t>
      </w:r>
      <w:r w:rsidRPr="009B6478">
        <w:rPr>
          <w:szCs w:val="24"/>
        </w:rPr>
        <w:t xml:space="preserve"> 95% occupancy.</w:t>
      </w:r>
    </w:p>
    <w:p w:rsidR="00364626" w:rsidRDefault="00364626" w:rsidP="00364626">
      <w:pPr>
        <w:jc w:val="both"/>
        <w:rPr>
          <w:szCs w:val="24"/>
        </w:rPr>
      </w:pPr>
    </w:p>
    <w:p w:rsidR="00364626" w:rsidRPr="009B6478" w:rsidRDefault="00364626" w:rsidP="00364626">
      <w:pPr>
        <w:jc w:val="both"/>
        <w:rPr>
          <w:szCs w:val="24"/>
        </w:rPr>
      </w:pPr>
      <w:r w:rsidRPr="009B6478">
        <w:rPr>
          <w:szCs w:val="24"/>
        </w:rPr>
        <w:t>The resources available for the project are listed below in CONU Sources and Uses of MaineCare Funding. The applicant identified sources of revenue for offsetting the project’s annual expenses.</w:t>
      </w:r>
    </w:p>
    <w:p w:rsidR="00364626" w:rsidRPr="009B6478" w:rsidRDefault="00364626" w:rsidP="00364626">
      <w:pPr>
        <w:ind w:left="-360"/>
        <w:rPr>
          <w:szCs w:val="24"/>
        </w:rPr>
      </w:pPr>
    </w:p>
    <w:tbl>
      <w:tblPr>
        <w:tblW w:w="6901" w:type="dxa"/>
        <w:jc w:val="center"/>
        <w:tblInd w:w="93" w:type="dxa"/>
        <w:tblLook w:val="04A0" w:firstRow="1" w:lastRow="0" w:firstColumn="1" w:lastColumn="0" w:noHBand="0" w:noVBand="1"/>
      </w:tblPr>
      <w:tblGrid>
        <w:gridCol w:w="1815"/>
        <w:gridCol w:w="1070"/>
        <w:gridCol w:w="818"/>
        <w:gridCol w:w="1116"/>
        <w:gridCol w:w="1386"/>
        <w:gridCol w:w="1116"/>
      </w:tblGrid>
      <w:tr w:rsidR="00364626" w:rsidRPr="009B6478" w:rsidTr="002172D6">
        <w:trPr>
          <w:trHeight w:val="300"/>
          <w:jc w:val="center"/>
        </w:trPr>
        <w:tc>
          <w:tcPr>
            <w:tcW w:w="5847" w:type="dxa"/>
            <w:gridSpan w:val="5"/>
            <w:tcBorders>
              <w:top w:val="nil"/>
              <w:left w:val="nil"/>
              <w:bottom w:val="nil"/>
              <w:right w:val="nil"/>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CONU Sources and Uses of MaineCare Funding:</w:t>
            </w:r>
          </w:p>
        </w:tc>
        <w:tc>
          <w:tcPr>
            <w:tcW w:w="1054" w:type="dxa"/>
            <w:tcBorders>
              <w:top w:val="nil"/>
              <w:left w:val="nil"/>
              <w:bottom w:val="nil"/>
              <w:right w:val="nil"/>
            </w:tcBorders>
            <w:shd w:val="clear" w:color="auto" w:fill="auto"/>
            <w:noWrap/>
            <w:vAlign w:val="bottom"/>
            <w:hideMark/>
          </w:tcPr>
          <w:p w:rsidR="00364626" w:rsidRPr="009B6478" w:rsidRDefault="00364626" w:rsidP="002172D6">
            <w:pPr>
              <w:rPr>
                <w:color w:val="000000"/>
                <w:szCs w:val="24"/>
              </w:rPr>
            </w:pPr>
          </w:p>
        </w:tc>
      </w:tr>
      <w:tr w:rsidR="00364626" w:rsidRPr="009B6478" w:rsidTr="002172D6">
        <w:trPr>
          <w:trHeight w:val="300"/>
          <w:jc w:val="center"/>
        </w:trPr>
        <w:tc>
          <w:tcPr>
            <w:tcW w:w="1815" w:type="dxa"/>
            <w:tcBorders>
              <w:top w:val="nil"/>
              <w:left w:val="nil"/>
              <w:bottom w:val="nil"/>
              <w:right w:val="nil"/>
            </w:tcBorders>
            <w:shd w:val="clear" w:color="auto" w:fill="auto"/>
            <w:noWrap/>
            <w:vAlign w:val="bottom"/>
            <w:hideMark/>
          </w:tcPr>
          <w:p w:rsidR="00364626" w:rsidRPr="009B6478" w:rsidRDefault="00364626" w:rsidP="002172D6">
            <w:pPr>
              <w:rPr>
                <w:color w:val="000000"/>
                <w:szCs w:val="24"/>
              </w:rPr>
            </w:pPr>
          </w:p>
        </w:tc>
        <w:tc>
          <w:tcPr>
            <w:tcW w:w="774" w:type="dxa"/>
            <w:tcBorders>
              <w:top w:val="nil"/>
              <w:left w:val="nil"/>
              <w:bottom w:val="nil"/>
              <w:right w:val="nil"/>
            </w:tcBorders>
            <w:shd w:val="clear" w:color="auto" w:fill="auto"/>
            <w:noWrap/>
            <w:vAlign w:val="bottom"/>
            <w:hideMark/>
          </w:tcPr>
          <w:p w:rsidR="00364626" w:rsidRPr="009B6478" w:rsidRDefault="00364626" w:rsidP="002172D6">
            <w:pPr>
              <w:rPr>
                <w:color w:val="000000"/>
                <w:szCs w:val="24"/>
              </w:rPr>
            </w:pPr>
          </w:p>
        </w:tc>
        <w:tc>
          <w:tcPr>
            <w:tcW w:w="818" w:type="dxa"/>
            <w:tcBorders>
              <w:top w:val="nil"/>
              <w:left w:val="nil"/>
              <w:bottom w:val="nil"/>
              <w:right w:val="nil"/>
            </w:tcBorders>
            <w:shd w:val="clear" w:color="auto" w:fill="auto"/>
            <w:noWrap/>
            <w:vAlign w:val="bottom"/>
            <w:hideMark/>
          </w:tcPr>
          <w:p w:rsidR="00364626" w:rsidRPr="009B6478" w:rsidRDefault="00364626" w:rsidP="002172D6">
            <w:pPr>
              <w:rPr>
                <w:color w:val="000000"/>
                <w:szCs w:val="24"/>
              </w:rPr>
            </w:pPr>
          </w:p>
        </w:tc>
        <w:tc>
          <w:tcPr>
            <w:tcW w:w="1054" w:type="dxa"/>
            <w:tcBorders>
              <w:top w:val="nil"/>
              <w:left w:val="nil"/>
              <w:bottom w:val="nil"/>
              <w:right w:val="nil"/>
            </w:tcBorders>
            <w:shd w:val="clear" w:color="auto" w:fill="auto"/>
            <w:noWrap/>
            <w:vAlign w:val="bottom"/>
            <w:hideMark/>
          </w:tcPr>
          <w:p w:rsidR="00364626" w:rsidRPr="009B6478" w:rsidRDefault="00364626" w:rsidP="002172D6">
            <w:pPr>
              <w:rPr>
                <w:color w:val="000000"/>
                <w:szCs w:val="24"/>
              </w:rPr>
            </w:pPr>
          </w:p>
        </w:tc>
        <w:tc>
          <w:tcPr>
            <w:tcW w:w="1386" w:type="dxa"/>
            <w:tcBorders>
              <w:top w:val="nil"/>
              <w:left w:val="nil"/>
              <w:bottom w:val="nil"/>
              <w:right w:val="nil"/>
            </w:tcBorders>
            <w:shd w:val="clear" w:color="auto" w:fill="auto"/>
            <w:noWrap/>
            <w:vAlign w:val="bottom"/>
            <w:hideMark/>
          </w:tcPr>
          <w:p w:rsidR="00364626" w:rsidRPr="009B6478" w:rsidRDefault="00364626" w:rsidP="002172D6">
            <w:pPr>
              <w:rPr>
                <w:color w:val="000000"/>
                <w:szCs w:val="24"/>
              </w:rPr>
            </w:pPr>
          </w:p>
        </w:tc>
        <w:tc>
          <w:tcPr>
            <w:tcW w:w="1054" w:type="dxa"/>
            <w:tcBorders>
              <w:top w:val="nil"/>
              <w:left w:val="nil"/>
              <w:bottom w:val="nil"/>
              <w:right w:val="nil"/>
            </w:tcBorders>
            <w:shd w:val="clear" w:color="auto" w:fill="auto"/>
            <w:noWrap/>
            <w:vAlign w:val="bottom"/>
            <w:hideMark/>
          </w:tcPr>
          <w:p w:rsidR="00364626" w:rsidRPr="009B6478" w:rsidRDefault="00364626" w:rsidP="002172D6">
            <w:pPr>
              <w:rPr>
                <w:color w:val="000000"/>
                <w:szCs w:val="24"/>
              </w:rPr>
            </w:pPr>
          </w:p>
        </w:tc>
      </w:tr>
      <w:tr w:rsidR="00364626" w:rsidRPr="009B6478" w:rsidTr="002172D6">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Source:</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Facility</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#of Beds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 Value</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Allocated Beds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 Value</w:t>
            </w:r>
          </w:p>
        </w:tc>
      </w:tr>
      <w:tr w:rsidR="00364626" w:rsidRPr="009B6478" w:rsidTr="002172D6">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77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1386"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r>
      <w:tr w:rsidR="00364626" w:rsidRPr="009B6478" w:rsidTr="002172D6">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77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Colliers</w:t>
            </w:r>
          </w:p>
        </w:tc>
        <w:tc>
          <w:tcPr>
            <w:tcW w:w="818"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9</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 xml:space="preserve">$645,221 </w:t>
            </w:r>
          </w:p>
        </w:tc>
        <w:tc>
          <w:tcPr>
            <w:tcW w:w="1386"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9</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 xml:space="preserve">$645,221 </w:t>
            </w:r>
          </w:p>
        </w:tc>
      </w:tr>
      <w:tr w:rsidR="00364626" w:rsidRPr="009B6478" w:rsidTr="002172D6">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77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Marshall</w:t>
            </w:r>
          </w:p>
        </w:tc>
        <w:tc>
          <w:tcPr>
            <w:tcW w:w="818"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4</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 xml:space="preserve">$136,695 </w:t>
            </w:r>
          </w:p>
        </w:tc>
        <w:tc>
          <w:tcPr>
            <w:tcW w:w="1386"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4</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 xml:space="preserve">$136,695 </w:t>
            </w:r>
          </w:p>
        </w:tc>
      </w:tr>
      <w:tr w:rsidR="00364626" w:rsidRPr="009B6478" w:rsidTr="002172D6">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77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Total</w:t>
            </w:r>
          </w:p>
        </w:tc>
        <w:tc>
          <w:tcPr>
            <w:tcW w:w="818"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 </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b/>
                <w:bCs/>
                <w:color w:val="000000"/>
                <w:szCs w:val="24"/>
              </w:rPr>
            </w:pPr>
            <w:r w:rsidRPr="009B6478">
              <w:rPr>
                <w:b/>
                <w:bCs/>
                <w:color w:val="000000"/>
                <w:szCs w:val="24"/>
              </w:rPr>
              <w:t xml:space="preserve">$781,916 </w:t>
            </w:r>
          </w:p>
        </w:tc>
        <w:tc>
          <w:tcPr>
            <w:tcW w:w="1386"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 </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b/>
                <w:bCs/>
                <w:color w:val="000000"/>
                <w:szCs w:val="24"/>
              </w:rPr>
            </w:pPr>
            <w:r w:rsidRPr="009B6478">
              <w:rPr>
                <w:b/>
                <w:bCs/>
                <w:color w:val="000000"/>
                <w:szCs w:val="24"/>
              </w:rPr>
              <w:t xml:space="preserve">$781,916 </w:t>
            </w:r>
          </w:p>
        </w:tc>
      </w:tr>
      <w:tr w:rsidR="00364626" w:rsidRPr="009B6478" w:rsidTr="002172D6">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77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1386"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r>
      <w:tr w:rsidR="00364626" w:rsidRPr="009B6478" w:rsidTr="002172D6">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Uses:</w:t>
            </w:r>
          </w:p>
        </w:tc>
        <w:tc>
          <w:tcPr>
            <w:tcW w:w="77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Seaside</w:t>
            </w:r>
          </w:p>
        </w:tc>
        <w:tc>
          <w:tcPr>
            <w:tcW w:w="818"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13</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 xml:space="preserve">$781,916 </w:t>
            </w:r>
          </w:p>
        </w:tc>
        <w:tc>
          <w:tcPr>
            <w:tcW w:w="1386"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13</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 xml:space="preserve">$781,916 </w:t>
            </w:r>
          </w:p>
        </w:tc>
      </w:tr>
      <w:tr w:rsidR="00364626" w:rsidRPr="009B6478" w:rsidTr="002172D6">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364626" w:rsidRPr="009B6478" w:rsidRDefault="00364626" w:rsidP="002172D6">
            <w:pPr>
              <w:rPr>
                <w:b/>
                <w:bCs/>
                <w:color w:val="000000"/>
                <w:szCs w:val="24"/>
              </w:rPr>
            </w:pPr>
            <w:r w:rsidRPr="009B6478">
              <w:rPr>
                <w:b/>
                <w:bCs/>
                <w:color w:val="000000"/>
                <w:szCs w:val="24"/>
              </w:rPr>
              <w:t>Excess Resources</w:t>
            </w:r>
          </w:p>
        </w:tc>
        <w:tc>
          <w:tcPr>
            <w:tcW w:w="77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 xml:space="preserve">$0 </w:t>
            </w:r>
          </w:p>
        </w:tc>
        <w:tc>
          <w:tcPr>
            <w:tcW w:w="1386"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rPr>
                <w:color w:val="000000"/>
                <w:szCs w:val="24"/>
              </w:rPr>
            </w:pPr>
            <w:r w:rsidRPr="009B6478">
              <w:rPr>
                <w:color w:val="000000"/>
                <w:szCs w:val="24"/>
              </w:rPr>
              <w:t> </w:t>
            </w:r>
          </w:p>
        </w:tc>
        <w:tc>
          <w:tcPr>
            <w:tcW w:w="1054" w:type="dxa"/>
            <w:tcBorders>
              <w:top w:val="nil"/>
              <w:left w:val="nil"/>
              <w:bottom w:val="single" w:sz="4" w:space="0" w:color="auto"/>
              <w:right w:val="single" w:sz="4" w:space="0" w:color="auto"/>
            </w:tcBorders>
            <w:shd w:val="clear" w:color="auto" w:fill="auto"/>
            <w:noWrap/>
            <w:vAlign w:val="bottom"/>
            <w:hideMark/>
          </w:tcPr>
          <w:p w:rsidR="00364626" w:rsidRPr="009B6478" w:rsidRDefault="00364626" w:rsidP="002172D6">
            <w:pPr>
              <w:jc w:val="right"/>
              <w:rPr>
                <w:color w:val="000000"/>
                <w:szCs w:val="24"/>
              </w:rPr>
            </w:pPr>
            <w:r w:rsidRPr="009B6478">
              <w:rPr>
                <w:color w:val="000000"/>
                <w:szCs w:val="24"/>
              </w:rPr>
              <w:t xml:space="preserve">$0 </w:t>
            </w:r>
          </w:p>
        </w:tc>
      </w:tr>
    </w:tbl>
    <w:p w:rsidR="00364626" w:rsidRPr="009B6478" w:rsidRDefault="00364626" w:rsidP="00364626">
      <w:pPr>
        <w:ind w:left="-360"/>
        <w:rPr>
          <w:szCs w:val="24"/>
        </w:rPr>
      </w:pPr>
    </w:p>
    <w:p w:rsidR="00364626" w:rsidRPr="009B6478" w:rsidRDefault="00364626" w:rsidP="004367F1">
      <w:pPr>
        <w:jc w:val="both"/>
        <w:rPr>
          <w:b/>
          <w:szCs w:val="24"/>
        </w:rPr>
      </w:pPr>
      <w:r w:rsidRPr="009B6478">
        <w:rPr>
          <w:szCs w:val="24"/>
        </w:rPr>
        <w:t>The chart indicates that the revenue stream from 9 Colliers NF beds and 4 Marshall’s beds is sufficient to offset the potential costs of</w:t>
      </w:r>
      <w:r>
        <w:rPr>
          <w:szCs w:val="24"/>
        </w:rPr>
        <w:t xml:space="preserve"> the thirteen new SNF/NF beds. </w:t>
      </w:r>
      <w:r w:rsidRPr="009B6478">
        <w:rPr>
          <w:szCs w:val="24"/>
        </w:rPr>
        <w:t>The value of t</w:t>
      </w:r>
      <w:r>
        <w:rPr>
          <w:szCs w:val="24"/>
        </w:rPr>
        <w:t xml:space="preserve">he revenue stream is $781,916. </w:t>
      </w:r>
      <w:r w:rsidRPr="009B6478">
        <w:rPr>
          <w:szCs w:val="24"/>
        </w:rPr>
        <w:t xml:space="preserve">The expected costs to the MaineCare program </w:t>
      </w:r>
      <w:r>
        <w:rPr>
          <w:szCs w:val="24"/>
        </w:rPr>
        <w:t xml:space="preserve">are calculated to be $781,916. </w:t>
      </w:r>
      <w:r w:rsidRPr="009B6478">
        <w:rPr>
          <w:szCs w:val="24"/>
        </w:rPr>
        <w:t>Sufficient resources exist to achieve MaineCare neutrality.</w:t>
      </w:r>
    </w:p>
    <w:p w:rsidR="00E231F6" w:rsidRDefault="00E231F6" w:rsidP="00E2087D">
      <w:pPr>
        <w:rPr>
          <w:b/>
          <w:szCs w:val="24"/>
        </w:rPr>
      </w:pPr>
    </w:p>
    <w:p w:rsidR="00960CC0" w:rsidRPr="009B6478" w:rsidRDefault="00AF28BB" w:rsidP="00E2087D">
      <w:pPr>
        <w:rPr>
          <w:szCs w:val="24"/>
        </w:rPr>
      </w:pPr>
      <w:r w:rsidRPr="009B6478">
        <w:rPr>
          <w:b/>
          <w:szCs w:val="24"/>
        </w:rPr>
        <w:t>V</w:t>
      </w:r>
      <w:r w:rsidR="00F007C4" w:rsidRPr="009B6478">
        <w:rPr>
          <w:b/>
          <w:szCs w:val="24"/>
        </w:rPr>
        <w:t xml:space="preserve">I. </w:t>
      </w:r>
      <w:r w:rsidR="00960CC0" w:rsidRPr="009B6478">
        <w:rPr>
          <w:b/>
          <w:szCs w:val="24"/>
        </w:rPr>
        <w:t>CONCLUSION:</w:t>
      </w:r>
    </w:p>
    <w:p w:rsidR="00960CC0" w:rsidRPr="009B6478" w:rsidRDefault="00960CC0" w:rsidP="004466EC">
      <w:pPr>
        <w:rPr>
          <w:b/>
          <w:szCs w:val="24"/>
        </w:rPr>
      </w:pPr>
    </w:p>
    <w:p w:rsidR="0083726D" w:rsidRPr="009B6478" w:rsidRDefault="0083726D" w:rsidP="003F18C5">
      <w:pPr>
        <w:jc w:val="both"/>
        <w:rPr>
          <w:szCs w:val="24"/>
        </w:rPr>
      </w:pPr>
      <w:r w:rsidRPr="009B6478">
        <w:rPr>
          <w:szCs w:val="24"/>
        </w:rPr>
        <w:t>For all the reasons set forth in the Preliminary Analysis</w:t>
      </w:r>
      <w:r w:rsidR="008035E8" w:rsidRPr="009B6478">
        <w:rPr>
          <w:szCs w:val="24"/>
        </w:rPr>
        <w:t xml:space="preserve"> and in the record, CONU concludes</w:t>
      </w:r>
      <w:r w:rsidRPr="009B6478">
        <w:rPr>
          <w:szCs w:val="24"/>
        </w:rPr>
        <w:t xml:space="preserve"> that the review criteria have been satisfied. </w:t>
      </w:r>
      <w:r w:rsidR="004F78B9" w:rsidRPr="009B6478">
        <w:rPr>
          <w:szCs w:val="24"/>
        </w:rPr>
        <w:t>CONU recommends</w:t>
      </w:r>
      <w:r w:rsidRPr="009B6478">
        <w:rPr>
          <w:szCs w:val="24"/>
        </w:rPr>
        <w:t xml:space="preserve"> </w:t>
      </w:r>
      <w:r w:rsidR="008035E8" w:rsidRPr="009B6478">
        <w:rPr>
          <w:szCs w:val="24"/>
        </w:rPr>
        <w:t>the approval of the CON</w:t>
      </w:r>
      <w:r w:rsidR="004951B4" w:rsidRPr="009B6478">
        <w:rPr>
          <w:szCs w:val="24"/>
        </w:rPr>
        <w:t>.</w:t>
      </w:r>
    </w:p>
    <w:p w:rsidR="0083726D" w:rsidRPr="009B6478" w:rsidRDefault="0083726D" w:rsidP="004466EC">
      <w:pPr>
        <w:rPr>
          <w:b/>
          <w:szCs w:val="24"/>
        </w:rPr>
      </w:pPr>
    </w:p>
    <w:p w:rsidR="00960CC0" w:rsidRDefault="00F007C4" w:rsidP="00AA3CE2">
      <w:pPr>
        <w:pStyle w:val="Intro"/>
        <w:spacing w:before="0" w:line="240" w:lineRule="auto"/>
        <w:ind w:left="0" w:firstLine="0"/>
        <w:rPr>
          <w:b/>
          <w:szCs w:val="24"/>
        </w:rPr>
      </w:pPr>
      <w:r w:rsidRPr="009B6478">
        <w:rPr>
          <w:b/>
          <w:szCs w:val="24"/>
        </w:rPr>
        <w:t xml:space="preserve">VII. </w:t>
      </w:r>
      <w:r w:rsidR="00960CC0" w:rsidRPr="009B6478">
        <w:rPr>
          <w:b/>
          <w:szCs w:val="24"/>
        </w:rPr>
        <w:t>RECOMMENDATION:</w:t>
      </w:r>
    </w:p>
    <w:p w:rsidR="00420102" w:rsidRDefault="00420102" w:rsidP="00AA3CE2">
      <w:pPr>
        <w:pStyle w:val="Intro"/>
        <w:spacing w:before="0" w:line="240" w:lineRule="auto"/>
        <w:ind w:left="0" w:firstLine="0"/>
        <w:rPr>
          <w:b/>
          <w:szCs w:val="24"/>
        </w:rPr>
      </w:pPr>
    </w:p>
    <w:p w:rsidR="00357C08" w:rsidRPr="009B6478" w:rsidRDefault="00357C08" w:rsidP="00357C08">
      <w:pPr>
        <w:jc w:val="both"/>
        <w:rPr>
          <w:szCs w:val="24"/>
        </w:rPr>
      </w:pPr>
      <w:r w:rsidRPr="009B6478">
        <w:rPr>
          <w:szCs w:val="24"/>
        </w:rPr>
        <w:t xml:space="preserve">Certificate of Need Unit recommends that the Commissioner determine that this project should be </w:t>
      </w:r>
      <w:r w:rsidRPr="009B6478">
        <w:rPr>
          <w:b/>
          <w:szCs w:val="24"/>
        </w:rPr>
        <w:t>approved.</w:t>
      </w:r>
    </w:p>
    <w:p w:rsidR="00357C08" w:rsidRPr="009B6478" w:rsidRDefault="00357C08" w:rsidP="00AA3CE2">
      <w:pPr>
        <w:pStyle w:val="Intro"/>
        <w:spacing w:before="0" w:line="240" w:lineRule="auto"/>
        <w:ind w:left="0" w:firstLine="0"/>
        <w:rPr>
          <w:b/>
          <w:szCs w:val="24"/>
        </w:rPr>
      </w:pPr>
    </w:p>
    <w:sectPr w:rsidR="00357C08" w:rsidRPr="009B6478" w:rsidSect="00A62FE8">
      <w:footerReference w:type="default" r:id="rId19"/>
      <w:footerReference w:type="first" r:id="rId20"/>
      <w:footnotePr>
        <w:numRestart w:val="eachSect"/>
      </w:footnotePr>
      <w:pgSz w:w="12240" w:h="15840" w:code="1"/>
      <w:pgMar w:top="900" w:right="1440" w:bottom="720" w:left="1440" w:header="720" w:footer="576"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78" w:rsidRDefault="009B6478">
      <w:r>
        <w:separator/>
      </w:r>
    </w:p>
  </w:endnote>
  <w:endnote w:type="continuationSeparator" w:id="0">
    <w:p w:rsidR="009B6478" w:rsidRDefault="009B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478180"/>
      <w:docPartObj>
        <w:docPartGallery w:val="Page Numbers (Bottom of Page)"/>
      </w:docPartObj>
    </w:sdtPr>
    <w:sdtEndPr/>
    <w:sdtContent>
      <w:sdt>
        <w:sdtPr>
          <w:id w:val="1943416786"/>
          <w:docPartObj>
            <w:docPartGallery w:val="Page Numbers (Top of Page)"/>
            <w:docPartUnique/>
          </w:docPartObj>
        </w:sdtPr>
        <w:sdtEndPr/>
        <w:sdtContent>
          <w:p w:rsidR="009B6478" w:rsidRDefault="009B6478" w:rsidP="0023663B">
            <w:pPr>
              <w:pStyle w:val="Footer"/>
              <w:jc w:val="center"/>
            </w:pPr>
            <w:r>
              <w:t xml:space="preserve">Page 5 of </w:t>
            </w:r>
            <w:r>
              <w:rPr>
                <w:b/>
                <w:bCs/>
                <w:szCs w:val="24"/>
              </w:rPr>
              <w:fldChar w:fldCharType="begin"/>
            </w:r>
            <w:r>
              <w:rPr>
                <w:b/>
                <w:bCs/>
              </w:rPr>
              <w:instrText xml:space="preserve"> NUMPAGES  </w:instrText>
            </w:r>
            <w:r>
              <w:rPr>
                <w:b/>
                <w:bCs/>
                <w:szCs w:val="24"/>
              </w:rPr>
              <w:fldChar w:fldCharType="separate"/>
            </w:r>
            <w:r w:rsidR="00CA4BBC">
              <w:rPr>
                <w:b/>
                <w:bCs/>
                <w:noProof/>
              </w:rPr>
              <w:t>7</w:t>
            </w:r>
            <w:r>
              <w:rPr>
                <w:b/>
                <w:bCs/>
                <w:szCs w:val="24"/>
              </w:rPr>
              <w:fldChar w:fldCharType="end"/>
            </w:r>
          </w:p>
        </w:sdtContent>
      </w:sdt>
    </w:sdtContent>
  </w:sdt>
  <w:p w:rsidR="009B6478" w:rsidRDefault="009B6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526188"/>
      <w:docPartObj>
        <w:docPartGallery w:val="Page Numbers (Bottom of Page)"/>
      </w:docPartObj>
    </w:sdtPr>
    <w:sdtEndPr/>
    <w:sdtContent>
      <w:sdt>
        <w:sdtPr>
          <w:id w:val="1133756821"/>
          <w:docPartObj>
            <w:docPartGallery w:val="Page Numbers (Top of Page)"/>
            <w:docPartUnique/>
          </w:docPartObj>
        </w:sdtPr>
        <w:sdtEndPr/>
        <w:sdtContent>
          <w:p w:rsidR="001A1A81" w:rsidRDefault="001A1A81" w:rsidP="0023663B">
            <w:pPr>
              <w:pStyle w:val="Footer"/>
              <w:jc w:val="center"/>
            </w:pPr>
            <w:r>
              <w:t xml:space="preserve">Page </w:t>
            </w:r>
            <w:r>
              <w:rPr>
                <w:b/>
              </w:rPr>
              <w:t>3</w:t>
            </w:r>
            <w:r>
              <w:t xml:space="preserve"> of </w:t>
            </w:r>
            <w:r>
              <w:rPr>
                <w:b/>
                <w:bCs/>
                <w:szCs w:val="24"/>
              </w:rPr>
              <w:fldChar w:fldCharType="begin"/>
            </w:r>
            <w:r>
              <w:rPr>
                <w:b/>
                <w:bCs/>
              </w:rPr>
              <w:instrText xml:space="preserve"> NUMPAGES  </w:instrText>
            </w:r>
            <w:r>
              <w:rPr>
                <w:b/>
                <w:bCs/>
                <w:szCs w:val="24"/>
              </w:rPr>
              <w:fldChar w:fldCharType="separate"/>
            </w:r>
            <w:r w:rsidR="000A2202">
              <w:rPr>
                <w:b/>
                <w:bCs/>
                <w:noProof/>
              </w:rPr>
              <w:t>3</w:t>
            </w:r>
            <w:r>
              <w:rPr>
                <w:b/>
                <w:bCs/>
                <w:szCs w:val="24"/>
              </w:rPr>
              <w:fldChar w:fldCharType="end"/>
            </w:r>
          </w:p>
        </w:sdtContent>
      </w:sdt>
    </w:sdtContent>
  </w:sdt>
  <w:p w:rsidR="001A1A81" w:rsidRDefault="001A1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915623"/>
      <w:docPartObj>
        <w:docPartGallery w:val="Page Numbers (Bottom of Page)"/>
        <w:docPartUnique/>
      </w:docPartObj>
    </w:sdtPr>
    <w:sdtEndPr/>
    <w:sdtContent>
      <w:sdt>
        <w:sdtPr>
          <w:id w:val="-1669238322"/>
          <w:docPartObj>
            <w:docPartGallery w:val="Page Numbers (Top of Page)"/>
            <w:docPartUnique/>
          </w:docPartObj>
        </w:sdtPr>
        <w:sdtEndPr/>
        <w:sdtContent>
          <w:p w:rsidR="001A1A81" w:rsidRDefault="001A1A8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A220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A2202">
              <w:rPr>
                <w:b/>
                <w:bCs/>
                <w:noProof/>
              </w:rPr>
              <w:t>2</w:t>
            </w:r>
            <w:r>
              <w:rPr>
                <w:b/>
                <w:bCs/>
                <w:szCs w:val="24"/>
              </w:rPr>
              <w:fldChar w:fldCharType="end"/>
            </w:r>
          </w:p>
        </w:sdtContent>
      </w:sdt>
    </w:sdtContent>
  </w:sdt>
  <w:p w:rsidR="001A1A81" w:rsidRDefault="001A1A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92797"/>
      <w:docPartObj>
        <w:docPartGallery w:val="Page Numbers (Bottom of Page)"/>
      </w:docPartObj>
    </w:sdtPr>
    <w:sdtEndPr/>
    <w:sdtContent>
      <w:sdt>
        <w:sdtPr>
          <w:id w:val="716785941"/>
          <w:docPartObj>
            <w:docPartGallery w:val="Page Numbers (Top of Page)"/>
            <w:docPartUnique/>
          </w:docPartObj>
        </w:sdtPr>
        <w:sdtEndPr/>
        <w:sdtContent>
          <w:p w:rsidR="000A7EA4" w:rsidRDefault="000A7EA4" w:rsidP="0023663B">
            <w:pPr>
              <w:pStyle w:val="Footer"/>
              <w:jc w:val="center"/>
            </w:pPr>
            <w:r>
              <w:t xml:space="preserve">Page </w:t>
            </w:r>
            <w:r>
              <w:rPr>
                <w:b/>
              </w:rPr>
              <w:t>6</w:t>
            </w:r>
            <w:r>
              <w:t xml:space="preserve"> of </w:t>
            </w:r>
            <w:r>
              <w:rPr>
                <w:b/>
                <w:bCs/>
                <w:szCs w:val="24"/>
              </w:rPr>
              <w:fldChar w:fldCharType="begin"/>
            </w:r>
            <w:r>
              <w:rPr>
                <w:b/>
                <w:bCs/>
              </w:rPr>
              <w:instrText xml:space="preserve"> NUMPAGES  </w:instrText>
            </w:r>
            <w:r>
              <w:rPr>
                <w:b/>
                <w:bCs/>
                <w:szCs w:val="24"/>
              </w:rPr>
              <w:fldChar w:fldCharType="separate"/>
            </w:r>
            <w:r w:rsidR="00CA4BBC">
              <w:rPr>
                <w:b/>
                <w:bCs/>
                <w:noProof/>
              </w:rPr>
              <w:t>7</w:t>
            </w:r>
            <w:r>
              <w:rPr>
                <w:b/>
                <w:bCs/>
                <w:szCs w:val="24"/>
              </w:rPr>
              <w:fldChar w:fldCharType="end"/>
            </w:r>
          </w:p>
        </w:sdtContent>
      </w:sdt>
    </w:sdtContent>
  </w:sdt>
  <w:p w:rsidR="000A7EA4" w:rsidRDefault="000A7E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29817"/>
      <w:docPartObj>
        <w:docPartGallery w:val="Page Numbers (Bottom of Page)"/>
      </w:docPartObj>
    </w:sdtPr>
    <w:sdtEndPr/>
    <w:sdtContent>
      <w:sdt>
        <w:sdtPr>
          <w:id w:val="-1987470395"/>
          <w:docPartObj>
            <w:docPartGallery w:val="Page Numbers (Top of Page)"/>
            <w:docPartUnique/>
          </w:docPartObj>
        </w:sdtPr>
        <w:sdtEndPr/>
        <w:sdtContent>
          <w:p w:rsidR="009B6478" w:rsidRDefault="009B6478" w:rsidP="0023663B">
            <w:pPr>
              <w:pStyle w:val="Footer"/>
              <w:jc w:val="center"/>
            </w:pPr>
            <w:r>
              <w:t xml:space="preserve">Page </w:t>
            </w:r>
            <w:r w:rsidR="00DE2AE8">
              <w:rPr>
                <w:b/>
              </w:rPr>
              <w:t>4</w:t>
            </w:r>
            <w:r>
              <w:t xml:space="preserve"> of </w:t>
            </w:r>
            <w:r>
              <w:rPr>
                <w:b/>
                <w:bCs/>
                <w:szCs w:val="24"/>
              </w:rPr>
              <w:fldChar w:fldCharType="begin"/>
            </w:r>
            <w:r>
              <w:rPr>
                <w:b/>
                <w:bCs/>
              </w:rPr>
              <w:instrText xml:space="preserve"> NUMPAGES  </w:instrText>
            </w:r>
            <w:r>
              <w:rPr>
                <w:b/>
                <w:bCs/>
                <w:szCs w:val="24"/>
              </w:rPr>
              <w:fldChar w:fldCharType="separate"/>
            </w:r>
            <w:r w:rsidR="000A2202">
              <w:rPr>
                <w:b/>
                <w:bCs/>
                <w:noProof/>
              </w:rPr>
              <w:t>4</w:t>
            </w:r>
            <w:r>
              <w:rPr>
                <w:b/>
                <w:bCs/>
                <w:szCs w:val="24"/>
              </w:rPr>
              <w:fldChar w:fldCharType="end"/>
            </w:r>
          </w:p>
        </w:sdtContent>
      </w:sdt>
    </w:sdtContent>
  </w:sdt>
  <w:p w:rsidR="009B6478" w:rsidRPr="00AC4A51" w:rsidRDefault="009B6478" w:rsidP="00AC4A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73268"/>
      <w:docPartObj>
        <w:docPartGallery w:val="Page Numbers (Bottom of Page)"/>
      </w:docPartObj>
    </w:sdtPr>
    <w:sdtEndPr/>
    <w:sdtContent>
      <w:sdt>
        <w:sdtPr>
          <w:id w:val="-690686574"/>
          <w:docPartObj>
            <w:docPartGallery w:val="Page Numbers (Top of Page)"/>
            <w:docPartUnique/>
          </w:docPartObj>
        </w:sdtPr>
        <w:sdtEndPr/>
        <w:sdtContent>
          <w:p w:rsidR="00DE2AE8" w:rsidRDefault="00DE2AE8" w:rsidP="0023663B">
            <w:pPr>
              <w:pStyle w:val="Footer"/>
              <w:jc w:val="center"/>
            </w:pPr>
            <w:r>
              <w:t xml:space="preserve">Page </w:t>
            </w:r>
            <w:r>
              <w:rPr>
                <w:b/>
              </w:rPr>
              <w:t>5</w:t>
            </w:r>
            <w:r>
              <w:t xml:space="preserve"> of </w:t>
            </w:r>
            <w:r>
              <w:rPr>
                <w:b/>
                <w:bCs/>
                <w:szCs w:val="24"/>
              </w:rPr>
              <w:fldChar w:fldCharType="begin"/>
            </w:r>
            <w:r>
              <w:rPr>
                <w:b/>
                <w:bCs/>
              </w:rPr>
              <w:instrText xml:space="preserve"> NUMPAGES  </w:instrText>
            </w:r>
            <w:r>
              <w:rPr>
                <w:b/>
                <w:bCs/>
                <w:szCs w:val="24"/>
              </w:rPr>
              <w:fldChar w:fldCharType="separate"/>
            </w:r>
            <w:r w:rsidR="000A2202">
              <w:rPr>
                <w:b/>
                <w:bCs/>
                <w:noProof/>
              </w:rPr>
              <w:t>5</w:t>
            </w:r>
            <w:r>
              <w:rPr>
                <w:b/>
                <w:bCs/>
                <w:szCs w:val="24"/>
              </w:rPr>
              <w:fldChar w:fldCharType="end"/>
            </w:r>
          </w:p>
        </w:sdtContent>
      </w:sdt>
    </w:sdtContent>
  </w:sdt>
  <w:p w:rsidR="00DE2AE8" w:rsidRPr="00AC4A51" w:rsidRDefault="00DE2AE8" w:rsidP="00AC4A5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17802"/>
      <w:docPartObj>
        <w:docPartGallery w:val="Page Numbers (Bottom of Page)"/>
      </w:docPartObj>
    </w:sdtPr>
    <w:sdtEndPr/>
    <w:sdtContent>
      <w:sdt>
        <w:sdtPr>
          <w:id w:val="1600061069"/>
          <w:docPartObj>
            <w:docPartGallery w:val="Page Numbers (Top of Page)"/>
            <w:docPartUnique/>
          </w:docPartObj>
        </w:sdtPr>
        <w:sdtEndPr/>
        <w:sdtContent>
          <w:p w:rsidR="00357C08" w:rsidRDefault="00357C08" w:rsidP="0023663B">
            <w:pPr>
              <w:pStyle w:val="Footer"/>
              <w:jc w:val="center"/>
            </w:pPr>
            <w:r>
              <w:t xml:space="preserve">Page </w:t>
            </w:r>
            <w:r>
              <w:rPr>
                <w:b/>
              </w:rPr>
              <w:t>7</w:t>
            </w:r>
            <w:r>
              <w:t xml:space="preserve"> of </w:t>
            </w:r>
            <w:r>
              <w:rPr>
                <w:b/>
                <w:bCs/>
                <w:szCs w:val="24"/>
              </w:rPr>
              <w:fldChar w:fldCharType="begin"/>
            </w:r>
            <w:r>
              <w:rPr>
                <w:b/>
                <w:bCs/>
              </w:rPr>
              <w:instrText xml:space="preserve"> NUMPAGES  </w:instrText>
            </w:r>
            <w:r>
              <w:rPr>
                <w:b/>
                <w:bCs/>
                <w:szCs w:val="24"/>
              </w:rPr>
              <w:fldChar w:fldCharType="separate"/>
            </w:r>
            <w:r w:rsidR="000A2202">
              <w:rPr>
                <w:b/>
                <w:bCs/>
                <w:noProof/>
              </w:rPr>
              <w:t>7</w:t>
            </w:r>
            <w:r>
              <w:rPr>
                <w:b/>
                <w:bCs/>
                <w:szCs w:val="24"/>
              </w:rPr>
              <w:fldChar w:fldCharType="end"/>
            </w:r>
          </w:p>
        </w:sdtContent>
      </w:sdt>
    </w:sdtContent>
  </w:sdt>
  <w:p w:rsidR="00357C08" w:rsidRDefault="00357C0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76060"/>
      <w:docPartObj>
        <w:docPartGallery w:val="Page Numbers (Bottom of Page)"/>
      </w:docPartObj>
    </w:sdtPr>
    <w:sdtEndPr/>
    <w:sdtContent>
      <w:sdt>
        <w:sdtPr>
          <w:id w:val="-303614843"/>
          <w:docPartObj>
            <w:docPartGallery w:val="Page Numbers (Top of Page)"/>
            <w:docPartUnique/>
          </w:docPartObj>
        </w:sdtPr>
        <w:sdtEndPr/>
        <w:sdtContent>
          <w:p w:rsidR="000A7EA4" w:rsidRDefault="000A7EA4" w:rsidP="0023663B">
            <w:pPr>
              <w:pStyle w:val="Footer"/>
              <w:jc w:val="center"/>
            </w:pPr>
            <w:r>
              <w:t xml:space="preserve">Page </w:t>
            </w:r>
            <w:r w:rsidR="00357C08">
              <w:rPr>
                <w:b/>
              </w:rPr>
              <w:t>6</w:t>
            </w:r>
            <w:r>
              <w:t xml:space="preserve"> of </w:t>
            </w:r>
            <w:r>
              <w:rPr>
                <w:b/>
                <w:bCs/>
                <w:szCs w:val="24"/>
              </w:rPr>
              <w:fldChar w:fldCharType="begin"/>
            </w:r>
            <w:r>
              <w:rPr>
                <w:b/>
                <w:bCs/>
              </w:rPr>
              <w:instrText xml:space="preserve"> NUMPAGES  </w:instrText>
            </w:r>
            <w:r>
              <w:rPr>
                <w:b/>
                <w:bCs/>
                <w:szCs w:val="24"/>
              </w:rPr>
              <w:fldChar w:fldCharType="separate"/>
            </w:r>
            <w:r w:rsidR="000A2202">
              <w:rPr>
                <w:b/>
                <w:bCs/>
                <w:noProof/>
              </w:rPr>
              <w:t>6</w:t>
            </w:r>
            <w:r>
              <w:rPr>
                <w:b/>
                <w:bCs/>
                <w:szCs w:val="24"/>
              </w:rPr>
              <w:fldChar w:fldCharType="end"/>
            </w:r>
          </w:p>
        </w:sdtContent>
      </w:sdt>
    </w:sdtContent>
  </w:sdt>
  <w:p w:rsidR="000A7EA4" w:rsidRPr="00AC4A51" w:rsidRDefault="000A7EA4" w:rsidP="00AC4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78" w:rsidRDefault="009B6478">
      <w:r>
        <w:separator/>
      </w:r>
    </w:p>
  </w:footnote>
  <w:footnote w:type="continuationSeparator" w:id="0">
    <w:p w:rsidR="009B6478" w:rsidRDefault="009B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78" w:rsidRPr="003B05FE" w:rsidRDefault="009B6478" w:rsidP="0023663B">
    <w:pPr>
      <w:pStyle w:val="Header"/>
    </w:pPr>
    <w:r>
      <w:t>Seaside HealthCare, LLC</w:t>
    </w:r>
    <w:r>
      <w:tab/>
    </w:r>
    <w:r>
      <w:tab/>
      <w:t>Addition of 13 SNF/NF Beds</w:t>
    </w:r>
  </w:p>
  <w:p w:rsidR="009B6478" w:rsidRPr="0096374E" w:rsidRDefault="009B6478" w:rsidP="00963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78" w:rsidRPr="001A1A81" w:rsidRDefault="001A1A81" w:rsidP="001A1A81">
    <w:pPr>
      <w:pStyle w:val="Header"/>
      <w:jc w:val="center"/>
      <w:rPr>
        <w:b/>
        <w:sz w:val="32"/>
        <w:szCs w:val="32"/>
        <w:u w:val="single"/>
      </w:rPr>
    </w:pPr>
    <w:r w:rsidRPr="001A1A81">
      <w:rPr>
        <w:b/>
        <w:sz w:val="32"/>
        <w:szCs w:val="32"/>
        <w:u w:val="single"/>
      </w:rPr>
      <w:t>BRIEFING MEMO</w:t>
    </w:r>
  </w:p>
  <w:p w:rsidR="001A1A81" w:rsidRPr="001A1A81" w:rsidRDefault="001A1A81" w:rsidP="001A1A81">
    <w:pPr>
      <w:pStyle w:val="Header"/>
      <w:jc w:val="center"/>
      <w:rPr>
        <w:b/>
        <w:sz w:val="32"/>
        <w:szCs w:val="32"/>
      </w:rPr>
    </w:pPr>
    <w:r w:rsidRPr="001A1A81">
      <w:rPr>
        <w:b/>
        <w:sz w:val="32"/>
        <w:szCs w:val="32"/>
      </w:rPr>
      <w:t>Seaside HealthCare, LLC</w:t>
    </w:r>
  </w:p>
  <w:p w:rsidR="001A1A81" w:rsidRPr="001A1A81" w:rsidRDefault="001A1A81" w:rsidP="001A1A81">
    <w:pPr>
      <w:pStyle w:val="Header"/>
      <w:jc w:val="center"/>
      <w:rPr>
        <w:b/>
        <w:sz w:val="32"/>
        <w:szCs w:val="32"/>
      </w:rPr>
    </w:pPr>
    <w:r w:rsidRPr="001A1A81">
      <w:rPr>
        <w:b/>
        <w:sz w:val="32"/>
        <w:szCs w:val="32"/>
      </w:rPr>
      <w:t>Addition of 13 SNF/NF Beds</w:t>
    </w:r>
  </w:p>
  <w:p w:rsidR="009B6478" w:rsidRPr="00A70970" w:rsidRDefault="009B6478" w:rsidP="00A70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81" w:rsidRPr="001A1A81" w:rsidRDefault="001A1A81" w:rsidP="001A1A81">
    <w:pPr>
      <w:pStyle w:val="Header"/>
      <w:rPr>
        <w:szCs w:val="24"/>
      </w:rPr>
    </w:pPr>
    <w:r>
      <w:rPr>
        <w:szCs w:val="24"/>
      </w:rPr>
      <w:t>Seaside Healthcare, LLC</w:t>
    </w:r>
    <w:r>
      <w:rPr>
        <w:szCs w:val="24"/>
      </w:rPr>
      <w:tab/>
    </w:r>
    <w:r>
      <w:rPr>
        <w:szCs w:val="24"/>
      </w:rPr>
      <w:tab/>
      <w:t>Addition of 13 SNF/NF Beds</w:t>
    </w:r>
  </w:p>
  <w:p w:rsidR="001A1A81" w:rsidRPr="00A70970" w:rsidRDefault="001A1A81" w:rsidP="00A70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5C2E19"/>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21C50"/>
    <w:multiLevelType w:val="hybridMultilevel"/>
    <w:tmpl w:val="34868836"/>
    <w:lvl w:ilvl="0" w:tplc="04090017">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C0"/>
    <w:rsid w:val="00005C40"/>
    <w:rsid w:val="00007697"/>
    <w:rsid w:val="00013531"/>
    <w:rsid w:val="00015D35"/>
    <w:rsid w:val="00016199"/>
    <w:rsid w:val="000227D8"/>
    <w:rsid w:val="00022919"/>
    <w:rsid w:val="00023DCB"/>
    <w:rsid w:val="00023F63"/>
    <w:rsid w:val="00033677"/>
    <w:rsid w:val="000347F6"/>
    <w:rsid w:val="00040F40"/>
    <w:rsid w:val="00050092"/>
    <w:rsid w:val="00057C6F"/>
    <w:rsid w:val="00061586"/>
    <w:rsid w:val="00065CDD"/>
    <w:rsid w:val="00071233"/>
    <w:rsid w:val="000765D0"/>
    <w:rsid w:val="000819A7"/>
    <w:rsid w:val="000A2202"/>
    <w:rsid w:val="000A2C6D"/>
    <w:rsid w:val="000A7B87"/>
    <w:rsid w:val="000A7EA4"/>
    <w:rsid w:val="000B06FB"/>
    <w:rsid w:val="000C33E5"/>
    <w:rsid w:val="000C3783"/>
    <w:rsid w:val="000D2BCF"/>
    <w:rsid w:val="000D4B09"/>
    <w:rsid w:val="000D75CA"/>
    <w:rsid w:val="000F0DE2"/>
    <w:rsid w:val="00103178"/>
    <w:rsid w:val="00106C0B"/>
    <w:rsid w:val="0012149E"/>
    <w:rsid w:val="00135384"/>
    <w:rsid w:val="00136F35"/>
    <w:rsid w:val="001379B8"/>
    <w:rsid w:val="00141812"/>
    <w:rsid w:val="00146041"/>
    <w:rsid w:val="00146AF5"/>
    <w:rsid w:val="0015136A"/>
    <w:rsid w:val="00153761"/>
    <w:rsid w:val="00157A51"/>
    <w:rsid w:val="00161EC4"/>
    <w:rsid w:val="001A0038"/>
    <w:rsid w:val="001A1A81"/>
    <w:rsid w:val="001A6A08"/>
    <w:rsid w:val="001B42E5"/>
    <w:rsid w:val="001B7EC9"/>
    <w:rsid w:val="001C6C48"/>
    <w:rsid w:val="001D40D9"/>
    <w:rsid w:val="001D5309"/>
    <w:rsid w:val="001D7499"/>
    <w:rsid w:val="001E0292"/>
    <w:rsid w:val="001E61E2"/>
    <w:rsid w:val="001F6C8F"/>
    <w:rsid w:val="001F7E17"/>
    <w:rsid w:val="00202217"/>
    <w:rsid w:val="0020516B"/>
    <w:rsid w:val="00210452"/>
    <w:rsid w:val="00211D80"/>
    <w:rsid w:val="0021530B"/>
    <w:rsid w:val="0023663B"/>
    <w:rsid w:val="0024095A"/>
    <w:rsid w:val="00247F3A"/>
    <w:rsid w:val="00256CD7"/>
    <w:rsid w:val="00257618"/>
    <w:rsid w:val="00263B18"/>
    <w:rsid w:val="00274279"/>
    <w:rsid w:val="00280C22"/>
    <w:rsid w:val="00284C38"/>
    <w:rsid w:val="00297BEF"/>
    <w:rsid w:val="002A2495"/>
    <w:rsid w:val="002A2A02"/>
    <w:rsid w:val="002A3A0B"/>
    <w:rsid w:val="002A7DE8"/>
    <w:rsid w:val="002B11BA"/>
    <w:rsid w:val="002D0F18"/>
    <w:rsid w:val="002D32BB"/>
    <w:rsid w:val="002E4C96"/>
    <w:rsid w:val="002F4049"/>
    <w:rsid w:val="003106E4"/>
    <w:rsid w:val="00312B6A"/>
    <w:rsid w:val="003137F6"/>
    <w:rsid w:val="00313E6E"/>
    <w:rsid w:val="003141FB"/>
    <w:rsid w:val="00330D9E"/>
    <w:rsid w:val="00341E03"/>
    <w:rsid w:val="003454B4"/>
    <w:rsid w:val="00345CCE"/>
    <w:rsid w:val="003514A7"/>
    <w:rsid w:val="00357C08"/>
    <w:rsid w:val="00361146"/>
    <w:rsid w:val="00361816"/>
    <w:rsid w:val="00364626"/>
    <w:rsid w:val="00375822"/>
    <w:rsid w:val="003775A9"/>
    <w:rsid w:val="003856CE"/>
    <w:rsid w:val="00386E0A"/>
    <w:rsid w:val="00394384"/>
    <w:rsid w:val="00394D4B"/>
    <w:rsid w:val="003B05FE"/>
    <w:rsid w:val="003B25C8"/>
    <w:rsid w:val="003B626B"/>
    <w:rsid w:val="003D0EF4"/>
    <w:rsid w:val="003E40C7"/>
    <w:rsid w:val="003E7C27"/>
    <w:rsid w:val="003F18C5"/>
    <w:rsid w:val="003F40D7"/>
    <w:rsid w:val="003F535E"/>
    <w:rsid w:val="003F734F"/>
    <w:rsid w:val="004048D6"/>
    <w:rsid w:val="00404E06"/>
    <w:rsid w:val="004076A4"/>
    <w:rsid w:val="0041134E"/>
    <w:rsid w:val="00420102"/>
    <w:rsid w:val="0042356B"/>
    <w:rsid w:val="00424EAC"/>
    <w:rsid w:val="00431A36"/>
    <w:rsid w:val="0043577D"/>
    <w:rsid w:val="004367F1"/>
    <w:rsid w:val="004466EC"/>
    <w:rsid w:val="00452A39"/>
    <w:rsid w:val="00454ACA"/>
    <w:rsid w:val="00463AA5"/>
    <w:rsid w:val="00467096"/>
    <w:rsid w:val="00467AE2"/>
    <w:rsid w:val="004719DD"/>
    <w:rsid w:val="004776EE"/>
    <w:rsid w:val="00481A0A"/>
    <w:rsid w:val="00484707"/>
    <w:rsid w:val="00485BD1"/>
    <w:rsid w:val="004943E2"/>
    <w:rsid w:val="004951B4"/>
    <w:rsid w:val="004A270F"/>
    <w:rsid w:val="004A3B4A"/>
    <w:rsid w:val="004C03DF"/>
    <w:rsid w:val="004C0BFF"/>
    <w:rsid w:val="004C340D"/>
    <w:rsid w:val="004E6224"/>
    <w:rsid w:val="004E6FEF"/>
    <w:rsid w:val="004E7309"/>
    <w:rsid w:val="004F30E2"/>
    <w:rsid w:val="004F4EE7"/>
    <w:rsid w:val="004F672E"/>
    <w:rsid w:val="004F78B9"/>
    <w:rsid w:val="005049C5"/>
    <w:rsid w:val="00507DCA"/>
    <w:rsid w:val="00527FB7"/>
    <w:rsid w:val="0053068D"/>
    <w:rsid w:val="0053096A"/>
    <w:rsid w:val="00531AC0"/>
    <w:rsid w:val="00537367"/>
    <w:rsid w:val="00537590"/>
    <w:rsid w:val="00542C49"/>
    <w:rsid w:val="00544CAB"/>
    <w:rsid w:val="0054589B"/>
    <w:rsid w:val="00561957"/>
    <w:rsid w:val="005660A9"/>
    <w:rsid w:val="005719F5"/>
    <w:rsid w:val="0057515A"/>
    <w:rsid w:val="00590FAF"/>
    <w:rsid w:val="005A0C4E"/>
    <w:rsid w:val="005A3683"/>
    <w:rsid w:val="005A755D"/>
    <w:rsid w:val="005B4B96"/>
    <w:rsid w:val="005C1624"/>
    <w:rsid w:val="005D10D2"/>
    <w:rsid w:val="005D6E73"/>
    <w:rsid w:val="005E1F98"/>
    <w:rsid w:val="005E2E11"/>
    <w:rsid w:val="005E5B0A"/>
    <w:rsid w:val="005F6CA6"/>
    <w:rsid w:val="005F7365"/>
    <w:rsid w:val="0060429C"/>
    <w:rsid w:val="00605C80"/>
    <w:rsid w:val="006168D7"/>
    <w:rsid w:val="0062601F"/>
    <w:rsid w:val="00633F1A"/>
    <w:rsid w:val="006406F3"/>
    <w:rsid w:val="00645957"/>
    <w:rsid w:val="006478C0"/>
    <w:rsid w:val="006578FD"/>
    <w:rsid w:val="00666752"/>
    <w:rsid w:val="0066751B"/>
    <w:rsid w:val="00676182"/>
    <w:rsid w:val="00687513"/>
    <w:rsid w:val="0069056C"/>
    <w:rsid w:val="0069517E"/>
    <w:rsid w:val="0069646A"/>
    <w:rsid w:val="006A60EA"/>
    <w:rsid w:val="006C70B1"/>
    <w:rsid w:val="006D101F"/>
    <w:rsid w:val="006D6B69"/>
    <w:rsid w:val="006E115A"/>
    <w:rsid w:val="006E4089"/>
    <w:rsid w:val="006F6DB2"/>
    <w:rsid w:val="007066F6"/>
    <w:rsid w:val="007150D5"/>
    <w:rsid w:val="00715145"/>
    <w:rsid w:val="00717AE4"/>
    <w:rsid w:val="0072460E"/>
    <w:rsid w:val="00724773"/>
    <w:rsid w:val="007302FD"/>
    <w:rsid w:val="007329AE"/>
    <w:rsid w:val="00737B40"/>
    <w:rsid w:val="007402E0"/>
    <w:rsid w:val="00740959"/>
    <w:rsid w:val="00743525"/>
    <w:rsid w:val="007437C7"/>
    <w:rsid w:val="00744558"/>
    <w:rsid w:val="00754874"/>
    <w:rsid w:val="00755FCE"/>
    <w:rsid w:val="00764535"/>
    <w:rsid w:val="007660E9"/>
    <w:rsid w:val="0076796D"/>
    <w:rsid w:val="00777C32"/>
    <w:rsid w:val="00781A7D"/>
    <w:rsid w:val="00786E02"/>
    <w:rsid w:val="007870F6"/>
    <w:rsid w:val="0078779E"/>
    <w:rsid w:val="007878AE"/>
    <w:rsid w:val="00790E0B"/>
    <w:rsid w:val="007A43BF"/>
    <w:rsid w:val="007B340D"/>
    <w:rsid w:val="007B5C38"/>
    <w:rsid w:val="007C4751"/>
    <w:rsid w:val="007C5F44"/>
    <w:rsid w:val="007D116F"/>
    <w:rsid w:val="007D3E1C"/>
    <w:rsid w:val="007D4799"/>
    <w:rsid w:val="007E1349"/>
    <w:rsid w:val="007E14D4"/>
    <w:rsid w:val="007E35F4"/>
    <w:rsid w:val="007E3FFF"/>
    <w:rsid w:val="007E532A"/>
    <w:rsid w:val="007E7BFF"/>
    <w:rsid w:val="007F066E"/>
    <w:rsid w:val="00800ECB"/>
    <w:rsid w:val="00801550"/>
    <w:rsid w:val="008035E8"/>
    <w:rsid w:val="0080566D"/>
    <w:rsid w:val="0080721F"/>
    <w:rsid w:val="00821D90"/>
    <w:rsid w:val="00823F6C"/>
    <w:rsid w:val="00824194"/>
    <w:rsid w:val="008358DA"/>
    <w:rsid w:val="0083607A"/>
    <w:rsid w:val="0083726D"/>
    <w:rsid w:val="008426CA"/>
    <w:rsid w:val="00843E17"/>
    <w:rsid w:val="00847597"/>
    <w:rsid w:val="00847600"/>
    <w:rsid w:val="00856003"/>
    <w:rsid w:val="00865B23"/>
    <w:rsid w:val="00870872"/>
    <w:rsid w:val="00875A54"/>
    <w:rsid w:val="00882D98"/>
    <w:rsid w:val="00886E9A"/>
    <w:rsid w:val="0089352A"/>
    <w:rsid w:val="008A5179"/>
    <w:rsid w:val="008A6A5C"/>
    <w:rsid w:val="008B0EAC"/>
    <w:rsid w:val="008B27E5"/>
    <w:rsid w:val="008B3994"/>
    <w:rsid w:val="008B3F91"/>
    <w:rsid w:val="008C20B9"/>
    <w:rsid w:val="008C4753"/>
    <w:rsid w:val="008C5D56"/>
    <w:rsid w:val="008C5DCE"/>
    <w:rsid w:val="008D638B"/>
    <w:rsid w:val="008E13ED"/>
    <w:rsid w:val="008F1A53"/>
    <w:rsid w:val="009128BC"/>
    <w:rsid w:val="00912A43"/>
    <w:rsid w:val="00927584"/>
    <w:rsid w:val="00931E3C"/>
    <w:rsid w:val="009432E7"/>
    <w:rsid w:val="009448E2"/>
    <w:rsid w:val="00951717"/>
    <w:rsid w:val="00953495"/>
    <w:rsid w:val="00954A41"/>
    <w:rsid w:val="00957803"/>
    <w:rsid w:val="00960CC0"/>
    <w:rsid w:val="0096374E"/>
    <w:rsid w:val="00967D01"/>
    <w:rsid w:val="009706F2"/>
    <w:rsid w:val="009823F5"/>
    <w:rsid w:val="009840FC"/>
    <w:rsid w:val="00991F91"/>
    <w:rsid w:val="00992D98"/>
    <w:rsid w:val="00996712"/>
    <w:rsid w:val="009A2CAD"/>
    <w:rsid w:val="009B6478"/>
    <w:rsid w:val="009B7FD8"/>
    <w:rsid w:val="009C0D36"/>
    <w:rsid w:val="009C60A2"/>
    <w:rsid w:val="009D1BFC"/>
    <w:rsid w:val="009D41E4"/>
    <w:rsid w:val="009E0394"/>
    <w:rsid w:val="009F4254"/>
    <w:rsid w:val="009F6384"/>
    <w:rsid w:val="00A104BB"/>
    <w:rsid w:val="00A230C0"/>
    <w:rsid w:val="00A30288"/>
    <w:rsid w:val="00A3301F"/>
    <w:rsid w:val="00A40A99"/>
    <w:rsid w:val="00A44A1A"/>
    <w:rsid w:val="00A51157"/>
    <w:rsid w:val="00A56B6E"/>
    <w:rsid w:val="00A62FE8"/>
    <w:rsid w:val="00A70970"/>
    <w:rsid w:val="00A718F9"/>
    <w:rsid w:val="00A71E30"/>
    <w:rsid w:val="00A7404F"/>
    <w:rsid w:val="00A771AE"/>
    <w:rsid w:val="00A81E0E"/>
    <w:rsid w:val="00A860CC"/>
    <w:rsid w:val="00A86CCA"/>
    <w:rsid w:val="00AA11CD"/>
    <w:rsid w:val="00AA32B3"/>
    <w:rsid w:val="00AA3CE2"/>
    <w:rsid w:val="00AB0FB8"/>
    <w:rsid w:val="00AB6D59"/>
    <w:rsid w:val="00AB73A9"/>
    <w:rsid w:val="00AB769E"/>
    <w:rsid w:val="00AC2985"/>
    <w:rsid w:val="00AC4A51"/>
    <w:rsid w:val="00AC4ED0"/>
    <w:rsid w:val="00AC70D0"/>
    <w:rsid w:val="00AC7E49"/>
    <w:rsid w:val="00AD1EAA"/>
    <w:rsid w:val="00AF1315"/>
    <w:rsid w:val="00AF28BB"/>
    <w:rsid w:val="00B23758"/>
    <w:rsid w:val="00B2404F"/>
    <w:rsid w:val="00B26B47"/>
    <w:rsid w:val="00B308C5"/>
    <w:rsid w:val="00B42E24"/>
    <w:rsid w:val="00B43A05"/>
    <w:rsid w:val="00B4467F"/>
    <w:rsid w:val="00B44988"/>
    <w:rsid w:val="00B459EF"/>
    <w:rsid w:val="00B464A3"/>
    <w:rsid w:val="00B6167A"/>
    <w:rsid w:val="00B70B2F"/>
    <w:rsid w:val="00B81951"/>
    <w:rsid w:val="00B848B4"/>
    <w:rsid w:val="00B875F7"/>
    <w:rsid w:val="00B92D52"/>
    <w:rsid w:val="00B95A86"/>
    <w:rsid w:val="00BA2C2D"/>
    <w:rsid w:val="00BA3538"/>
    <w:rsid w:val="00BC1F65"/>
    <w:rsid w:val="00BC357F"/>
    <w:rsid w:val="00BD2124"/>
    <w:rsid w:val="00BD6EAD"/>
    <w:rsid w:val="00BE29B7"/>
    <w:rsid w:val="00BE5D81"/>
    <w:rsid w:val="00C018F8"/>
    <w:rsid w:val="00C12B74"/>
    <w:rsid w:val="00C168B0"/>
    <w:rsid w:val="00C2101E"/>
    <w:rsid w:val="00C27235"/>
    <w:rsid w:val="00C33469"/>
    <w:rsid w:val="00C4539A"/>
    <w:rsid w:val="00C4641A"/>
    <w:rsid w:val="00C47E86"/>
    <w:rsid w:val="00C5355C"/>
    <w:rsid w:val="00C608F9"/>
    <w:rsid w:val="00C612BF"/>
    <w:rsid w:val="00C75673"/>
    <w:rsid w:val="00C76457"/>
    <w:rsid w:val="00C80C18"/>
    <w:rsid w:val="00C8339A"/>
    <w:rsid w:val="00C84991"/>
    <w:rsid w:val="00C9538F"/>
    <w:rsid w:val="00CA4BBC"/>
    <w:rsid w:val="00CB3A8F"/>
    <w:rsid w:val="00CB6DC4"/>
    <w:rsid w:val="00CC0AF8"/>
    <w:rsid w:val="00CE4612"/>
    <w:rsid w:val="00D064E7"/>
    <w:rsid w:val="00D1168F"/>
    <w:rsid w:val="00D1241F"/>
    <w:rsid w:val="00D15F8D"/>
    <w:rsid w:val="00D16783"/>
    <w:rsid w:val="00D26346"/>
    <w:rsid w:val="00D33BB3"/>
    <w:rsid w:val="00D33EB9"/>
    <w:rsid w:val="00D40B13"/>
    <w:rsid w:val="00D41361"/>
    <w:rsid w:val="00D42F7D"/>
    <w:rsid w:val="00D519BB"/>
    <w:rsid w:val="00D52DF0"/>
    <w:rsid w:val="00D57970"/>
    <w:rsid w:val="00D61161"/>
    <w:rsid w:val="00D67662"/>
    <w:rsid w:val="00D6780A"/>
    <w:rsid w:val="00D716D5"/>
    <w:rsid w:val="00D72961"/>
    <w:rsid w:val="00D86F5D"/>
    <w:rsid w:val="00D93DD9"/>
    <w:rsid w:val="00D946A3"/>
    <w:rsid w:val="00D958AF"/>
    <w:rsid w:val="00D95901"/>
    <w:rsid w:val="00D9752F"/>
    <w:rsid w:val="00DA6012"/>
    <w:rsid w:val="00DB1A2B"/>
    <w:rsid w:val="00DC6D2B"/>
    <w:rsid w:val="00DC7669"/>
    <w:rsid w:val="00DD0BBC"/>
    <w:rsid w:val="00DD14A4"/>
    <w:rsid w:val="00DD2A78"/>
    <w:rsid w:val="00DD4091"/>
    <w:rsid w:val="00DD5910"/>
    <w:rsid w:val="00DD6696"/>
    <w:rsid w:val="00DE16F6"/>
    <w:rsid w:val="00DE280D"/>
    <w:rsid w:val="00DE2AE8"/>
    <w:rsid w:val="00DE68E5"/>
    <w:rsid w:val="00DE6AEA"/>
    <w:rsid w:val="00DF631D"/>
    <w:rsid w:val="00E06F70"/>
    <w:rsid w:val="00E148E6"/>
    <w:rsid w:val="00E2087D"/>
    <w:rsid w:val="00E231F6"/>
    <w:rsid w:val="00E27373"/>
    <w:rsid w:val="00E35B5A"/>
    <w:rsid w:val="00E42931"/>
    <w:rsid w:val="00E53BD1"/>
    <w:rsid w:val="00E57232"/>
    <w:rsid w:val="00E66363"/>
    <w:rsid w:val="00E756C2"/>
    <w:rsid w:val="00E75C5F"/>
    <w:rsid w:val="00E84853"/>
    <w:rsid w:val="00E851FB"/>
    <w:rsid w:val="00EB1516"/>
    <w:rsid w:val="00EC5B1E"/>
    <w:rsid w:val="00ED53EC"/>
    <w:rsid w:val="00ED6760"/>
    <w:rsid w:val="00ED7B7F"/>
    <w:rsid w:val="00EE28FB"/>
    <w:rsid w:val="00EE47F6"/>
    <w:rsid w:val="00EF0D61"/>
    <w:rsid w:val="00EF1A98"/>
    <w:rsid w:val="00EF4661"/>
    <w:rsid w:val="00F00510"/>
    <w:rsid w:val="00F0051C"/>
    <w:rsid w:val="00F007C4"/>
    <w:rsid w:val="00F040E2"/>
    <w:rsid w:val="00F05333"/>
    <w:rsid w:val="00F0734B"/>
    <w:rsid w:val="00F116CB"/>
    <w:rsid w:val="00F15FAD"/>
    <w:rsid w:val="00F27DCE"/>
    <w:rsid w:val="00F3439E"/>
    <w:rsid w:val="00F36423"/>
    <w:rsid w:val="00F5211E"/>
    <w:rsid w:val="00F56735"/>
    <w:rsid w:val="00F576BB"/>
    <w:rsid w:val="00F62932"/>
    <w:rsid w:val="00F63146"/>
    <w:rsid w:val="00F67537"/>
    <w:rsid w:val="00F77541"/>
    <w:rsid w:val="00F94358"/>
    <w:rsid w:val="00FA5F07"/>
    <w:rsid w:val="00FC287F"/>
    <w:rsid w:val="00FE0459"/>
    <w:rsid w:val="00FE7A24"/>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link w:val="HeaderChar"/>
    <w:uiPriority w:val="99"/>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 w:type="character" w:customStyle="1" w:styleId="HeaderChar">
    <w:name w:val="Header Char"/>
    <w:basedOn w:val="DefaultParagraphFont"/>
    <w:link w:val="Header"/>
    <w:uiPriority w:val="99"/>
    <w:rsid w:val="007F06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link w:val="HeaderChar"/>
    <w:uiPriority w:val="99"/>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 w:type="character" w:customStyle="1" w:styleId="HeaderChar">
    <w:name w:val="Header Char"/>
    <w:basedOn w:val="DefaultParagraphFont"/>
    <w:link w:val="Header"/>
    <w:uiPriority w:val="99"/>
    <w:rsid w:val="007F06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59728">
      <w:bodyDiv w:val="1"/>
      <w:marLeft w:val="0"/>
      <w:marRight w:val="0"/>
      <w:marTop w:val="0"/>
      <w:marBottom w:val="0"/>
      <w:divBdr>
        <w:top w:val="none" w:sz="0" w:space="0" w:color="auto"/>
        <w:left w:val="none" w:sz="0" w:space="0" w:color="auto"/>
        <w:bottom w:val="none" w:sz="0" w:space="0" w:color="auto"/>
        <w:right w:val="none" w:sz="0" w:space="0" w:color="auto"/>
      </w:divBdr>
    </w:div>
    <w:div w:id="849418955">
      <w:bodyDiv w:val="1"/>
      <w:marLeft w:val="0"/>
      <w:marRight w:val="0"/>
      <w:marTop w:val="0"/>
      <w:marBottom w:val="0"/>
      <w:divBdr>
        <w:top w:val="none" w:sz="0" w:space="0" w:color="auto"/>
        <w:left w:val="none" w:sz="0" w:space="0" w:color="auto"/>
        <w:bottom w:val="none" w:sz="0" w:space="0" w:color="auto"/>
        <w:right w:val="none" w:sz="0" w:space="0" w:color="auto"/>
      </w:divBdr>
    </w:div>
    <w:div w:id="989556873">
      <w:bodyDiv w:val="1"/>
      <w:marLeft w:val="0"/>
      <w:marRight w:val="0"/>
      <w:marTop w:val="0"/>
      <w:marBottom w:val="0"/>
      <w:divBdr>
        <w:top w:val="none" w:sz="0" w:space="0" w:color="auto"/>
        <w:left w:val="none" w:sz="0" w:space="0" w:color="auto"/>
        <w:bottom w:val="none" w:sz="0" w:space="0" w:color="auto"/>
        <w:right w:val="none" w:sz="0" w:space="0" w:color="auto"/>
      </w:divBdr>
      <w:divsChild>
        <w:div w:id="220598457">
          <w:marLeft w:val="0"/>
          <w:marRight w:val="0"/>
          <w:marTop w:val="0"/>
          <w:marBottom w:val="0"/>
          <w:divBdr>
            <w:top w:val="none" w:sz="0" w:space="0" w:color="auto"/>
            <w:left w:val="none" w:sz="0" w:space="0" w:color="auto"/>
            <w:bottom w:val="none" w:sz="0" w:space="0" w:color="auto"/>
            <w:right w:val="none" w:sz="0" w:space="0" w:color="auto"/>
          </w:divBdr>
        </w:div>
        <w:div w:id="243154114">
          <w:marLeft w:val="0"/>
          <w:marRight w:val="0"/>
          <w:marTop w:val="0"/>
          <w:marBottom w:val="0"/>
          <w:divBdr>
            <w:top w:val="none" w:sz="0" w:space="0" w:color="auto"/>
            <w:left w:val="none" w:sz="0" w:space="0" w:color="auto"/>
            <w:bottom w:val="none" w:sz="0" w:space="0" w:color="auto"/>
            <w:right w:val="none" w:sz="0" w:space="0" w:color="auto"/>
          </w:divBdr>
        </w:div>
        <w:div w:id="363211120">
          <w:marLeft w:val="0"/>
          <w:marRight w:val="0"/>
          <w:marTop w:val="0"/>
          <w:marBottom w:val="0"/>
          <w:divBdr>
            <w:top w:val="none" w:sz="0" w:space="0" w:color="auto"/>
            <w:left w:val="none" w:sz="0" w:space="0" w:color="auto"/>
            <w:bottom w:val="none" w:sz="0" w:space="0" w:color="auto"/>
            <w:right w:val="none" w:sz="0" w:space="0" w:color="auto"/>
          </w:divBdr>
        </w:div>
        <w:div w:id="487016148">
          <w:marLeft w:val="0"/>
          <w:marRight w:val="0"/>
          <w:marTop w:val="0"/>
          <w:marBottom w:val="0"/>
          <w:divBdr>
            <w:top w:val="none" w:sz="0" w:space="0" w:color="auto"/>
            <w:left w:val="none" w:sz="0" w:space="0" w:color="auto"/>
            <w:bottom w:val="none" w:sz="0" w:space="0" w:color="auto"/>
            <w:right w:val="none" w:sz="0" w:space="0" w:color="auto"/>
          </w:divBdr>
        </w:div>
        <w:div w:id="632564704">
          <w:marLeft w:val="0"/>
          <w:marRight w:val="0"/>
          <w:marTop w:val="0"/>
          <w:marBottom w:val="0"/>
          <w:divBdr>
            <w:top w:val="none" w:sz="0" w:space="0" w:color="auto"/>
            <w:left w:val="none" w:sz="0" w:space="0" w:color="auto"/>
            <w:bottom w:val="none" w:sz="0" w:space="0" w:color="auto"/>
            <w:right w:val="none" w:sz="0" w:space="0" w:color="auto"/>
          </w:divBdr>
        </w:div>
        <w:div w:id="670719369">
          <w:marLeft w:val="0"/>
          <w:marRight w:val="0"/>
          <w:marTop w:val="0"/>
          <w:marBottom w:val="0"/>
          <w:divBdr>
            <w:top w:val="none" w:sz="0" w:space="0" w:color="auto"/>
            <w:left w:val="none" w:sz="0" w:space="0" w:color="auto"/>
            <w:bottom w:val="none" w:sz="0" w:space="0" w:color="auto"/>
            <w:right w:val="none" w:sz="0" w:space="0" w:color="auto"/>
          </w:divBdr>
        </w:div>
        <w:div w:id="1338926754">
          <w:marLeft w:val="0"/>
          <w:marRight w:val="0"/>
          <w:marTop w:val="0"/>
          <w:marBottom w:val="0"/>
          <w:divBdr>
            <w:top w:val="none" w:sz="0" w:space="0" w:color="auto"/>
            <w:left w:val="none" w:sz="0" w:space="0" w:color="auto"/>
            <w:bottom w:val="none" w:sz="0" w:space="0" w:color="auto"/>
            <w:right w:val="none" w:sz="0" w:space="0" w:color="auto"/>
          </w:divBdr>
        </w:div>
        <w:div w:id="1434321644">
          <w:marLeft w:val="0"/>
          <w:marRight w:val="0"/>
          <w:marTop w:val="0"/>
          <w:marBottom w:val="0"/>
          <w:divBdr>
            <w:top w:val="none" w:sz="0" w:space="0" w:color="auto"/>
            <w:left w:val="none" w:sz="0" w:space="0" w:color="auto"/>
            <w:bottom w:val="none" w:sz="0" w:space="0" w:color="auto"/>
            <w:right w:val="none" w:sz="0" w:space="0" w:color="auto"/>
          </w:divBdr>
        </w:div>
        <w:div w:id="1510213256">
          <w:marLeft w:val="0"/>
          <w:marRight w:val="0"/>
          <w:marTop w:val="0"/>
          <w:marBottom w:val="0"/>
          <w:divBdr>
            <w:top w:val="none" w:sz="0" w:space="0" w:color="auto"/>
            <w:left w:val="none" w:sz="0" w:space="0" w:color="auto"/>
            <w:bottom w:val="none" w:sz="0" w:space="0" w:color="auto"/>
            <w:right w:val="none" w:sz="0" w:space="0" w:color="auto"/>
          </w:divBdr>
        </w:div>
        <w:div w:id="1844970999">
          <w:marLeft w:val="0"/>
          <w:marRight w:val="0"/>
          <w:marTop w:val="0"/>
          <w:marBottom w:val="0"/>
          <w:divBdr>
            <w:top w:val="none" w:sz="0" w:space="0" w:color="auto"/>
            <w:left w:val="none" w:sz="0" w:space="0" w:color="auto"/>
            <w:bottom w:val="none" w:sz="0" w:space="0" w:color="auto"/>
            <w:right w:val="none" w:sz="0" w:space="0" w:color="auto"/>
          </w:divBdr>
        </w:div>
        <w:div w:id="1967003674">
          <w:marLeft w:val="0"/>
          <w:marRight w:val="0"/>
          <w:marTop w:val="0"/>
          <w:marBottom w:val="0"/>
          <w:divBdr>
            <w:top w:val="none" w:sz="0" w:space="0" w:color="auto"/>
            <w:left w:val="none" w:sz="0" w:space="0" w:color="auto"/>
            <w:bottom w:val="none" w:sz="0" w:space="0" w:color="auto"/>
            <w:right w:val="none" w:sz="0" w:space="0" w:color="auto"/>
          </w:divBdr>
        </w:div>
      </w:divsChild>
    </w:div>
    <w:div w:id="1051080329">
      <w:bodyDiv w:val="1"/>
      <w:marLeft w:val="0"/>
      <w:marRight w:val="0"/>
      <w:marTop w:val="0"/>
      <w:marBottom w:val="0"/>
      <w:divBdr>
        <w:top w:val="none" w:sz="0" w:space="0" w:color="auto"/>
        <w:left w:val="none" w:sz="0" w:space="0" w:color="auto"/>
        <w:bottom w:val="none" w:sz="0" w:space="0" w:color="auto"/>
        <w:right w:val="none" w:sz="0" w:space="0" w:color="auto"/>
      </w:divBdr>
    </w:div>
    <w:div w:id="1484081683">
      <w:bodyDiv w:val="1"/>
      <w:marLeft w:val="0"/>
      <w:marRight w:val="0"/>
      <w:marTop w:val="0"/>
      <w:marBottom w:val="0"/>
      <w:divBdr>
        <w:top w:val="none" w:sz="0" w:space="0" w:color="auto"/>
        <w:left w:val="none" w:sz="0" w:space="0" w:color="auto"/>
        <w:bottom w:val="none" w:sz="0" w:space="0" w:color="auto"/>
        <w:right w:val="none" w:sz="0" w:space="0" w:color="auto"/>
      </w:divBdr>
    </w:div>
    <w:div w:id="18296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quickfacts.census.gov" TargetMode="Externa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5DB3-CF54-4BC7-AA0E-933ADB02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13629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Lawrence, Rich S.</dc:creator>
  <cp:lastModifiedBy>michael.morin</cp:lastModifiedBy>
  <cp:revision>2</cp:revision>
  <cp:lastPrinted>2014-06-12T17:27:00Z</cp:lastPrinted>
  <dcterms:created xsi:type="dcterms:W3CDTF">2014-06-30T11:48:00Z</dcterms:created>
  <dcterms:modified xsi:type="dcterms:W3CDTF">2014-06-30T11:48:00Z</dcterms:modified>
</cp:coreProperties>
</file>