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9C" w:rsidRPr="009B19F4" w:rsidRDefault="007A659C" w:rsidP="009B19F4">
      <w:bookmarkStart w:id="0" w:name="_GoBack"/>
      <w:bookmarkEnd w:id="0"/>
    </w:p>
    <w:p w:rsidR="00A461C0" w:rsidRPr="009B19F4" w:rsidRDefault="00A461C0" w:rsidP="009B19F4">
      <w:pPr>
        <w:rPr>
          <w:b/>
        </w:rPr>
      </w:pPr>
      <w:r w:rsidRPr="009B19F4">
        <w:rPr>
          <w:b/>
        </w:rPr>
        <w:t xml:space="preserve">Date: </w:t>
      </w:r>
      <w:r w:rsidR="00D87A67" w:rsidRPr="009B19F4">
        <w:rPr>
          <w:b/>
        </w:rPr>
        <w:tab/>
      </w:r>
      <w:r w:rsidRPr="009B19F4">
        <w:rPr>
          <w:b/>
        </w:rPr>
        <w:t xml:space="preserve"> </w:t>
      </w:r>
      <w:r w:rsidRPr="009B19F4">
        <w:rPr>
          <w:b/>
        </w:rPr>
        <w:tab/>
      </w:r>
      <w:r w:rsidR="007A659C" w:rsidRPr="009B19F4">
        <w:rPr>
          <w:b/>
        </w:rPr>
        <w:tab/>
      </w:r>
      <w:r w:rsidR="00DD6CB4">
        <w:rPr>
          <w:b/>
        </w:rPr>
        <w:t>May 1</w:t>
      </w:r>
      <w:r w:rsidR="000C08CB">
        <w:rPr>
          <w:b/>
        </w:rPr>
        <w:t>, 2014</w:t>
      </w:r>
    </w:p>
    <w:p w:rsidR="00A461C0" w:rsidRPr="009B19F4" w:rsidRDefault="00A461C0" w:rsidP="004A3A12"/>
    <w:p w:rsidR="00A461C0" w:rsidRPr="009B19F4" w:rsidRDefault="00A461C0" w:rsidP="007C4103">
      <w:pPr>
        <w:ind w:left="1725" w:hanging="1725"/>
        <w:rPr>
          <w:b/>
        </w:rPr>
      </w:pPr>
      <w:r w:rsidRPr="009B19F4">
        <w:rPr>
          <w:b/>
        </w:rPr>
        <w:t>Project</w:t>
      </w:r>
      <w:r w:rsidRPr="009B19F4">
        <w:t>:</w:t>
      </w:r>
      <w:r w:rsidRPr="009B19F4">
        <w:tab/>
      </w:r>
      <w:r w:rsidR="007A659C" w:rsidRPr="009B19F4">
        <w:tab/>
      </w:r>
      <w:r w:rsidR="00015CD7" w:rsidRPr="00015CD7">
        <w:rPr>
          <w:b/>
        </w:rPr>
        <w:t>REVISED</w:t>
      </w:r>
      <w:r w:rsidR="00015CD7">
        <w:t xml:space="preserve">: </w:t>
      </w:r>
      <w:r w:rsidR="000C08CB" w:rsidRPr="003F4A09">
        <w:rPr>
          <w:b/>
        </w:rPr>
        <w:t>A</w:t>
      </w:r>
      <w:r w:rsidR="007C4103" w:rsidRPr="003F4A09">
        <w:rPr>
          <w:b/>
        </w:rPr>
        <w:t>ddition</w:t>
      </w:r>
      <w:r w:rsidR="007C4103" w:rsidRPr="009B19F4">
        <w:rPr>
          <w:b/>
        </w:rPr>
        <w:t xml:space="preserve"> of 1</w:t>
      </w:r>
      <w:r w:rsidR="00FC2BA1">
        <w:rPr>
          <w:b/>
        </w:rPr>
        <w:t>3</w:t>
      </w:r>
      <w:r w:rsidR="007C4103" w:rsidRPr="009B19F4">
        <w:rPr>
          <w:b/>
        </w:rPr>
        <w:t xml:space="preserve"> NF beds and building renovations</w:t>
      </w:r>
    </w:p>
    <w:p w:rsidR="007C4103" w:rsidRPr="009B19F4" w:rsidRDefault="007C4103" w:rsidP="007C4103">
      <w:pPr>
        <w:ind w:left="1440" w:hanging="1440"/>
        <w:rPr>
          <w:b/>
        </w:rPr>
      </w:pPr>
    </w:p>
    <w:p w:rsidR="00A461C0" w:rsidRPr="009B19F4" w:rsidRDefault="00A461C0" w:rsidP="002843F4">
      <w:pPr>
        <w:ind w:left="1080" w:hanging="1080"/>
        <w:rPr>
          <w:b/>
        </w:rPr>
      </w:pPr>
      <w:r w:rsidRPr="009B19F4">
        <w:rPr>
          <w:b/>
        </w:rPr>
        <w:t xml:space="preserve">Proposal by: </w:t>
      </w:r>
      <w:r w:rsidRPr="009B19F4">
        <w:rPr>
          <w:b/>
        </w:rPr>
        <w:tab/>
      </w:r>
      <w:r w:rsidR="007C4103" w:rsidRPr="009B19F4">
        <w:rPr>
          <w:b/>
        </w:rPr>
        <w:t>Maple Grove Nursing Home, Inc</w:t>
      </w:r>
      <w:r w:rsidR="003A2BF6" w:rsidRPr="009B19F4">
        <w:rPr>
          <w:b/>
        </w:rPr>
        <w:t>.</w:t>
      </w:r>
    </w:p>
    <w:p w:rsidR="002843F4" w:rsidRPr="009B19F4" w:rsidRDefault="002843F4" w:rsidP="002843F4">
      <w:pPr>
        <w:ind w:left="1080" w:hanging="1080"/>
      </w:pPr>
    </w:p>
    <w:p w:rsidR="007C4103" w:rsidRPr="009B19F4" w:rsidRDefault="00A461C0" w:rsidP="007C4103">
      <w:pPr>
        <w:rPr>
          <w:b/>
        </w:rPr>
      </w:pPr>
      <w:r w:rsidRPr="009B19F4">
        <w:rPr>
          <w:b/>
        </w:rPr>
        <w:t>Prepared by:</w:t>
      </w:r>
      <w:r w:rsidR="007C4103" w:rsidRPr="009B19F4">
        <w:rPr>
          <w:b/>
        </w:rPr>
        <w:tab/>
        <w:t>Larry Carbonneau, Manager Health Care Oversight</w:t>
      </w:r>
      <w:r w:rsidR="00634198">
        <w:rPr>
          <w:b/>
        </w:rPr>
        <w:t>, DLRS</w:t>
      </w:r>
    </w:p>
    <w:p w:rsidR="007C4103" w:rsidRDefault="007C4103" w:rsidP="007C4103">
      <w:pPr>
        <w:ind w:left="1440" w:firstLine="288"/>
        <w:rPr>
          <w:b/>
        </w:rPr>
      </w:pPr>
      <w:r w:rsidRPr="009B19F4">
        <w:rPr>
          <w:b/>
        </w:rPr>
        <w:t>Richard Lawrence, Senior Health Care Financial Analyst</w:t>
      </w:r>
      <w:r w:rsidR="00634198">
        <w:rPr>
          <w:b/>
        </w:rPr>
        <w:t>, DLRS</w:t>
      </w:r>
    </w:p>
    <w:p w:rsidR="007C4103" w:rsidRPr="009B19F4" w:rsidRDefault="007C4103" w:rsidP="007C4103">
      <w:pPr>
        <w:ind w:left="1440"/>
        <w:rPr>
          <w:b/>
        </w:rPr>
      </w:pPr>
    </w:p>
    <w:p w:rsidR="007C4103" w:rsidRPr="009B19F4" w:rsidRDefault="007C4103" w:rsidP="007C4103">
      <w:pPr>
        <w:ind w:left="1440"/>
        <w:rPr>
          <w:b/>
        </w:rPr>
      </w:pPr>
    </w:p>
    <w:p w:rsidR="00BF0D2E" w:rsidRPr="009B19F4" w:rsidRDefault="00A461C0" w:rsidP="00A461C0">
      <w:pPr>
        <w:rPr>
          <w:b/>
        </w:rPr>
      </w:pPr>
      <w:r w:rsidRPr="009B19F4">
        <w:rPr>
          <w:b/>
        </w:rPr>
        <w:t>Directly Affected Party:</w:t>
      </w:r>
      <w:r w:rsidR="00634198">
        <w:rPr>
          <w:b/>
        </w:rPr>
        <w:t xml:space="preserve"> </w:t>
      </w:r>
      <w:r w:rsidR="00D76F46" w:rsidRPr="009B19F4">
        <w:rPr>
          <w:b/>
        </w:rPr>
        <w:t>None</w:t>
      </w:r>
    </w:p>
    <w:p w:rsidR="00BF0D2E" w:rsidRPr="009B19F4" w:rsidRDefault="00BF0D2E" w:rsidP="00A461C0">
      <w:pPr>
        <w:rPr>
          <w:b/>
        </w:rPr>
      </w:pPr>
    </w:p>
    <w:p w:rsidR="00A461C0" w:rsidRPr="009B19F4" w:rsidRDefault="00A461C0" w:rsidP="00362413">
      <w:pPr>
        <w:rPr>
          <w:b/>
        </w:rPr>
      </w:pPr>
    </w:p>
    <w:p w:rsidR="00A461C0" w:rsidRPr="009B19F4" w:rsidRDefault="006A7CB7" w:rsidP="00A461C0">
      <w:pPr>
        <w:rPr>
          <w:b/>
        </w:rPr>
      </w:pPr>
      <w:r w:rsidRPr="009B19F4">
        <w:rPr>
          <w:b/>
        </w:rPr>
        <w:t xml:space="preserve">Certificate of Need Unit </w:t>
      </w:r>
      <w:r w:rsidR="008F244E" w:rsidRPr="009B19F4">
        <w:rPr>
          <w:b/>
        </w:rPr>
        <w:t>Recommendation</w:t>
      </w:r>
      <w:r w:rsidR="00A461C0" w:rsidRPr="009B19F4">
        <w:rPr>
          <w:b/>
        </w:rPr>
        <w:t xml:space="preserve">: </w:t>
      </w:r>
      <w:r w:rsidR="00BB5ADF">
        <w:rPr>
          <w:b/>
        </w:rPr>
        <w:t>Approval</w:t>
      </w:r>
    </w:p>
    <w:p w:rsidR="00A461C0" w:rsidRPr="009B19F4" w:rsidRDefault="00A461C0" w:rsidP="00A461C0">
      <w:pPr>
        <w:rPr>
          <w:b/>
        </w:rPr>
      </w:pPr>
    </w:p>
    <w:p w:rsidR="007A659C" w:rsidRPr="009B19F4" w:rsidRDefault="007A659C" w:rsidP="00A461C0">
      <w:pPr>
        <w:rPr>
          <w:b/>
        </w:rPr>
      </w:pPr>
    </w:p>
    <w:p w:rsidR="00A461C0" w:rsidRPr="009B19F4" w:rsidRDefault="00A461C0" w:rsidP="00A461C0">
      <w:pPr>
        <w:pBdr>
          <w:bottom w:val="single" w:sz="12" w:space="1" w:color="auto"/>
        </w:pBdr>
        <w:rPr>
          <w:b/>
        </w:rPr>
      </w:pPr>
      <w:r w:rsidRPr="009B19F4">
        <w:tab/>
      </w:r>
      <w:r w:rsidRPr="009B19F4">
        <w:tab/>
      </w:r>
      <w:r w:rsidRPr="009B19F4">
        <w:tab/>
      </w:r>
      <w:r w:rsidRPr="009B19F4">
        <w:tab/>
      </w:r>
      <w:r w:rsidRPr="009B19F4">
        <w:tab/>
      </w:r>
      <w:r w:rsidRPr="009B19F4">
        <w:tab/>
      </w:r>
      <w:r w:rsidR="001950B6" w:rsidRPr="009B19F4">
        <w:tab/>
      </w:r>
      <w:r w:rsidR="001950B6" w:rsidRPr="009B19F4">
        <w:tab/>
      </w:r>
      <w:r w:rsidR="001950B6" w:rsidRPr="009B19F4">
        <w:tab/>
      </w:r>
      <w:r w:rsidR="001950B6" w:rsidRPr="009B19F4">
        <w:tab/>
      </w:r>
      <w:r w:rsidR="001950B6" w:rsidRPr="009B19F4">
        <w:tab/>
      </w:r>
      <w:r w:rsidR="001950B6" w:rsidRPr="009B19F4">
        <w:tab/>
      </w:r>
      <w:r w:rsidRPr="009B19F4">
        <w:rPr>
          <w:b/>
        </w:rPr>
        <w:t>Proposed</w:t>
      </w:r>
      <w:r w:rsidRPr="009B19F4">
        <w:rPr>
          <w:b/>
        </w:rPr>
        <w:tab/>
      </w:r>
      <w:r w:rsidR="007A659C" w:rsidRPr="009B19F4">
        <w:rPr>
          <w:b/>
        </w:rPr>
        <w:tab/>
      </w:r>
      <w:r w:rsidRPr="009B19F4">
        <w:rPr>
          <w:b/>
        </w:rPr>
        <w:tab/>
        <w:t>Approved</w:t>
      </w:r>
    </w:p>
    <w:p w:rsidR="00A461C0" w:rsidRPr="009B19F4" w:rsidRDefault="00A461C0" w:rsidP="00A461C0">
      <w:pPr>
        <w:pBdr>
          <w:bottom w:val="single" w:sz="12" w:space="1" w:color="auto"/>
        </w:pBdr>
      </w:pPr>
      <w:r w:rsidRPr="009B19F4">
        <w:rPr>
          <w:b/>
        </w:rPr>
        <w:tab/>
      </w:r>
      <w:r w:rsidRPr="009B19F4">
        <w:rPr>
          <w:b/>
        </w:rPr>
        <w:tab/>
      </w:r>
      <w:r w:rsidRPr="009B19F4">
        <w:rPr>
          <w:b/>
        </w:rPr>
        <w:tab/>
      </w:r>
      <w:r w:rsidRPr="009B19F4">
        <w:rPr>
          <w:b/>
        </w:rPr>
        <w:tab/>
      </w:r>
      <w:r w:rsidRPr="009B19F4">
        <w:rPr>
          <w:b/>
        </w:rPr>
        <w:tab/>
      </w:r>
      <w:r w:rsidR="001950B6" w:rsidRPr="009B19F4">
        <w:rPr>
          <w:b/>
        </w:rPr>
        <w:tab/>
      </w:r>
      <w:r w:rsidR="001950B6" w:rsidRPr="009B19F4">
        <w:rPr>
          <w:b/>
        </w:rPr>
        <w:tab/>
      </w:r>
      <w:r w:rsidR="001950B6" w:rsidRPr="009B19F4">
        <w:rPr>
          <w:b/>
        </w:rPr>
        <w:tab/>
      </w:r>
      <w:r w:rsidR="001950B6" w:rsidRPr="009B19F4">
        <w:rPr>
          <w:b/>
        </w:rPr>
        <w:tab/>
      </w:r>
      <w:r w:rsidR="001950B6" w:rsidRPr="009B19F4">
        <w:rPr>
          <w:b/>
        </w:rPr>
        <w:tab/>
      </w:r>
      <w:r w:rsidR="001950B6" w:rsidRPr="009B19F4">
        <w:rPr>
          <w:b/>
        </w:rPr>
        <w:tab/>
      </w:r>
      <w:r w:rsidRPr="009B19F4">
        <w:rPr>
          <w:b/>
        </w:rPr>
        <w:tab/>
        <w:t>Per Applicant</w:t>
      </w:r>
      <w:r w:rsidRPr="009B19F4">
        <w:tab/>
      </w:r>
      <w:r w:rsidRPr="009B19F4">
        <w:tab/>
      </w:r>
      <w:r w:rsidRPr="009B19F4">
        <w:rPr>
          <w:b/>
        </w:rPr>
        <w:t>CON</w:t>
      </w:r>
    </w:p>
    <w:p w:rsidR="00A461C0" w:rsidRPr="009B19F4" w:rsidRDefault="00A461C0" w:rsidP="00A461C0"/>
    <w:p w:rsidR="00C634AE" w:rsidRPr="009B19F4" w:rsidRDefault="00A461C0" w:rsidP="001950B6">
      <w:r w:rsidRPr="009B19F4">
        <w:t xml:space="preserve">Estimated Capital Expenditure </w:t>
      </w:r>
      <w:r w:rsidRPr="009B19F4">
        <w:tab/>
      </w:r>
      <w:r w:rsidRPr="009B19F4">
        <w:tab/>
      </w:r>
      <w:r w:rsidR="001950B6" w:rsidRPr="009B19F4">
        <w:tab/>
      </w:r>
      <w:r w:rsidR="001950B6" w:rsidRPr="009B19F4">
        <w:tab/>
      </w:r>
      <w:r w:rsidR="001950B6" w:rsidRPr="009B19F4">
        <w:tab/>
      </w:r>
      <w:r w:rsidRPr="009B19F4">
        <w:tab/>
        <w:t>$</w:t>
      </w:r>
      <w:r w:rsidR="00591374">
        <w:t xml:space="preserve">  </w:t>
      </w:r>
      <w:r w:rsidR="00B61F5E">
        <w:t>1,288,000</w:t>
      </w:r>
      <w:r w:rsidR="002843F4" w:rsidRPr="009B19F4">
        <w:tab/>
      </w:r>
      <w:r w:rsidR="004B0A6B" w:rsidRPr="009B19F4">
        <w:tab/>
      </w:r>
      <w:r w:rsidRPr="009B19F4">
        <w:t>$</w:t>
      </w:r>
      <w:r w:rsidR="009C5124">
        <w:t xml:space="preserve">  </w:t>
      </w:r>
      <w:r w:rsidR="00B61F5E">
        <w:t>1,288,000</w:t>
      </w:r>
    </w:p>
    <w:p w:rsidR="001950B6" w:rsidRPr="009B19F4" w:rsidRDefault="005B4607" w:rsidP="001950B6">
      <w:r w:rsidRPr="009B19F4">
        <w:t xml:space="preserve">Maximum Contingency </w:t>
      </w:r>
      <w:r w:rsidRPr="009B19F4">
        <w:tab/>
      </w:r>
      <w:r w:rsidRPr="009B19F4">
        <w:tab/>
      </w:r>
      <w:r w:rsidRPr="009B19F4">
        <w:tab/>
      </w:r>
      <w:r w:rsidR="001950B6" w:rsidRPr="009B19F4">
        <w:tab/>
      </w:r>
      <w:r w:rsidR="001950B6" w:rsidRPr="009B19F4">
        <w:tab/>
      </w:r>
      <w:r w:rsidR="001950B6" w:rsidRPr="009B19F4">
        <w:tab/>
      </w:r>
      <w:r w:rsidRPr="009B19F4">
        <w:tab/>
        <w:t>$</w:t>
      </w:r>
      <w:r w:rsidR="007C4103" w:rsidRPr="009B19F4">
        <w:t xml:space="preserve">           </w:t>
      </w:r>
      <w:r w:rsidR="004B0A6B" w:rsidRPr="009B19F4">
        <w:t xml:space="preserve">  </w:t>
      </w:r>
      <w:r w:rsidR="006D0B2C" w:rsidRPr="009B19F4">
        <w:t xml:space="preserve"> </w:t>
      </w:r>
      <w:r w:rsidR="002843F4" w:rsidRPr="009B19F4">
        <w:t>0</w:t>
      </w:r>
      <w:r w:rsidRPr="009B19F4">
        <w:t xml:space="preserve">        </w:t>
      </w:r>
      <w:r w:rsidR="004B0A6B" w:rsidRPr="009B19F4">
        <w:tab/>
        <w:t>$</w:t>
      </w:r>
      <w:r w:rsidR="00B61F5E">
        <w:t xml:space="preserve">       </w:t>
      </w:r>
      <w:r w:rsidR="004B0A6B" w:rsidRPr="009B19F4">
        <w:t xml:space="preserve">         </w:t>
      </w:r>
      <w:r w:rsidR="002843F4" w:rsidRPr="009B19F4">
        <w:t>0</w:t>
      </w:r>
    </w:p>
    <w:p w:rsidR="00B61F5E" w:rsidRDefault="00A461C0" w:rsidP="00B61F5E">
      <w:r w:rsidRPr="009B19F4">
        <w:t>Total Capital Expenditure with Contingency</w:t>
      </w:r>
      <w:r w:rsidRPr="009B19F4">
        <w:tab/>
      </w:r>
      <w:r w:rsidR="001950B6" w:rsidRPr="009B19F4">
        <w:tab/>
      </w:r>
      <w:r w:rsidRPr="009B19F4">
        <w:tab/>
        <w:t>$</w:t>
      </w:r>
      <w:r w:rsidR="00591374">
        <w:t xml:space="preserve">  </w:t>
      </w:r>
      <w:r w:rsidR="006D0B2C" w:rsidRPr="009B19F4">
        <w:t>1,288,000</w:t>
      </w:r>
      <w:r w:rsidR="007C4103" w:rsidRPr="009B19F4">
        <w:tab/>
      </w:r>
      <w:r w:rsidR="007C4103" w:rsidRPr="009B19F4">
        <w:tab/>
      </w:r>
      <w:r w:rsidRPr="009B19F4">
        <w:t>$</w:t>
      </w:r>
      <w:r w:rsidR="009C5124">
        <w:t xml:space="preserve">  </w:t>
      </w:r>
      <w:r w:rsidR="00B61F5E">
        <w:t>1,288,000</w:t>
      </w:r>
    </w:p>
    <w:p w:rsidR="00F803AB" w:rsidRPr="009B19F4" w:rsidRDefault="00B92A34" w:rsidP="00B61F5E">
      <w:r w:rsidRPr="009B19F4">
        <w:t>Pro-Forma Marginal Operating Costs</w:t>
      </w:r>
      <w:r w:rsidRPr="009B19F4">
        <w:tab/>
      </w:r>
      <w:r w:rsidR="001950B6" w:rsidRPr="009B19F4">
        <w:tab/>
      </w:r>
      <w:r w:rsidRPr="009B19F4">
        <w:tab/>
      </w:r>
      <w:r w:rsidR="008B0356" w:rsidRPr="009B19F4">
        <w:tab/>
        <w:t>$</w:t>
      </w:r>
      <w:r w:rsidR="00591374">
        <w:t xml:space="preserve">  </w:t>
      </w:r>
      <w:r w:rsidR="006D0B2C" w:rsidRPr="009B19F4">
        <w:t>1,300,000</w:t>
      </w:r>
      <w:r w:rsidR="00591374">
        <w:t xml:space="preserve">   </w:t>
      </w:r>
      <w:r w:rsidR="00591374">
        <w:tab/>
      </w:r>
      <w:r w:rsidR="00B61F5E">
        <w:t>$</w:t>
      </w:r>
      <w:r w:rsidR="009C5124">
        <w:t xml:space="preserve">  </w:t>
      </w:r>
      <w:r w:rsidR="00B61F5E">
        <w:t>1,300,000</w:t>
      </w:r>
    </w:p>
    <w:p w:rsidR="00A461C0" w:rsidRPr="009B19F4" w:rsidRDefault="00F803AB" w:rsidP="001950B6">
      <w:pPr>
        <w:pBdr>
          <w:bottom w:val="single" w:sz="12" w:space="1" w:color="auto"/>
        </w:pBdr>
      </w:pPr>
      <w:r w:rsidRPr="009B19F4">
        <w:t>MaineCare Neutrality Established</w:t>
      </w:r>
      <w:r w:rsidR="00062BF0" w:rsidRPr="009B19F4">
        <w:t xml:space="preserve">        </w:t>
      </w:r>
      <w:r w:rsidR="00CF25AD" w:rsidRPr="009B19F4">
        <w:tab/>
      </w:r>
      <w:r w:rsidR="001950B6" w:rsidRPr="009B19F4">
        <w:tab/>
      </w:r>
      <w:r w:rsidR="001950B6" w:rsidRPr="009B19F4">
        <w:tab/>
      </w:r>
      <w:r w:rsidR="001950B6" w:rsidRPr="009B19F4">
        <w:tab/>
      </w:r>
      <w:r w:rsidR="00CF25AD" w:rsidRPr="009B19F4">
        <w:tab/>
      </w:r>
      <w:r w:rsidR="00CF25AD" w:rsidRPr="009B19F4">
        <w:tab/>
      </w:r>
      <w:r w:rsidR="00CF25AD" w:rsidRPr="009B19F4">
        <w:tab/>
      </w:r>
      <w:r w:rsidR="00CF25AD" w:rsidRPr="009B19F4">
        <w:tab/>
        <w:t xml:space="preserve">    </w:t>
      </w:r>
      <w:r w:rsidR="00BA7782">
        <w:t xml:space="preserve">   </w:t>
      </w:r>
      <w:r w:rsidR="00835A63" w:rsidRPr="009B19F4">
        <w:t xml:space="preserve"> </w:t>
      </w:r>
      <w:r w:rsidR="008C6AF9">
        <w:t xml:space="preserve"> </w:t>
      </w:r>
      <w:r w:rsidRPr="009B19F4">
        <w:t xml:space="preserve"> </w:t>
      </w:r>
      <w:r w:rsidR="00F202B7">
        <w:t xml:space="preserve">    </w:t>
      </w:r>
      <w:r w:rsidR="00B61F5E">
        <w:t>Yes</w:t>
      </w:r>
    </w:p>
    <w:p w:rsidR="00A461C0" w:rsidRPr="009B19F4" w:rsidRDefault="00A461C0" w:rsidP="00A461C0">
      <w:pPr>
        <w:pBdr>
          <w:bottom w:val="single" w:sz="12" w:space="1" w:color="auto"/>
        </w:pBdr>
      </w:pPr>
    </w:p>
    <w:p w:rsidR="00A461C0" w:rsidRPr="009B19F4" w:rsidRDefault="00A461C0" w:rsidP="00A461C0">
      <w:pPr>
        <w:pStyle w:val="Heading1"/>
        <w:rPr>
          <w:rFonts w:ascii="Times New Roman" w:hAnsi="Times New Roman" w:cs="Times New Roman"/>
        </w:rPr>
        <w:sectPr w:rsidR="00A461C0" w:rsidRPr="009B19F4" w:rsidSect="001C339F">
          <w:headerReference w:type="default" r:id="rId9"/>
          <w:footerReference w:type="default" r:id="rId10"/>
          <w:headerReference w:type="first" r:id="rId11"/>
          <w:pgSz w:w="12240" w:h="15840"/>
          <w:pgMar w:top="1440" w:right="1440" w:bottom="1440" w:left="1440" w:header="360" w:footer="720" w:gutter="0"/>
          <w:pgNumType w:start="1"/>
          <w:cols w:space="720"/>
          <w:titlePg/>
          <w:docGrid w:linePitch="360"/>
        </w:sectPr>
      </w:pPr>
    </w:p>
    <w:p w:rsidR="00F62A4F" w:rsidRPr="009B19F4" w:rsidRDefault="00F62A4F" w:rsidP="00A461C0">
      <w:pPr>
        <w:pStyle w:val="Heading1"/>
        <w:rPr>
          <w:rFonts w:ascii="Times New Roman" w:hAnsi="Times New Roman" w:cs="Times New Roman"/>
        </w:rPr>
        <w:sectPr w:rsidR="00F62A4F" w:rsidRPr="009B19F4" w:rsidSect="00552817">
          <w:headerReference w:type="default" r:id="rId12"/>
          <w:type w:val="continuous"/>
          <w:pgSz w:w="12240" w:h="15840"/>
          <w:pgMar w:top="1440" w:right="1080" w:bottom="1440" w:left="1620" w:header="360" w:footer="720" w:gutter="0"/>
          <w:cols w:space="720"/>
          <w:docGrid w:linePitch="360"/>
        </w:sectPr>
      </w:pPr>
    </w:p>
    <w:p w:rsidR="00AE764D" w:rsidRPr="009B19F4" w:rsidRDefault="00434034" w:rsidP="001E09AD">
      <w:pPr>
        <w:pStyle w:val="Heading1"/>
        <w:spacing w:before="0" w:after="0"/>
        <w:rPr>
          <w:rFonts w:ascii="Times New Roman" w:hAnsi="Times New Roman" w:cs="Times New Roman"/>
        </w:rPr>
      </w:pPr>
      <w:r w:rsidRPr="009B19F4">
        <w:rPr>
          <w:rFonts w:ascii="Times New Roman" w:hAnsi="Times New Roman" w:cs="Times New Roman"/>
        </w:rPr>
        <w:lastRenderedPageBreak/>
        <w:fldChar w:fldCharType="begin">
          <w:ffData>
            <w:name w:val="Text77"/>
            <w:enabled/>
            <w:calcOnExit w:val="0"/>
            <w:textInput/>
          </w:ffData>
        </w:fldChar>
      </w:r>
      <w:bookmarkStart w:id="1" w:name="Text77"/>
      <w:r w:rsidR="00BB1625" w:rsidRPr="009B19F4">
        <w:rPr>
          <w:rFonts w:ascii="Times New Roman" w:hAnsi="Times New Roman" w:cs="Times New Roman"/>
        </w:rPr>
        <w:instrText xml:space="preserve"> FORMTEXT </w:instrText>
      </w:r>
      <w:r w:rsidRPr="009B19F4">
        <w:rPr>
          <w:rFonts w:ascii="Times New Roman" w:hAnsi="Times New Roman" w:cs="Times New Roman"/>
        </w:rPr>
      </w:r>
      <w:r w:rsidRPr="009B19F4">
        <w:rPr>
          <w:rFonts w:ascii="Times New Roman" w:hAnsi="Times New Roman" w:cs="Times New Roman"/>
        </w:rPr>
        <w:fldChar w:fldCharType="separate"/>
      </w:r>
      <w:r w:rsidR="00BB1625" w:rsidRPr="009B19F4">
        <w:rPr>
          <w:rFonts w:ascii="Times New Roman" w:hAnsi="Times New Roman" w:cs="Times New Roman"/>
        </w:rPr>
        <w:t>I. Abstract</w:t>
      </w:r>
      <w:r w:rsidRPr="009B19F4">
        <w:rPr>
          <w:rFonts w:ascii="Times New Roman" w:hAnsi="Times New Roman" w:cs="Times New Roman"/>
        </w:rPr>
        <w:fldChar w:fldCharType="end"/>
      </w:r>
      <w:bookmarkEnd w:id="1"/>
    </w:p>
    <w:p w:rsidR="00AE764D" w:rsidRPr="009B19F4" w:rsidRDefault="00AE764D" w:rsidP="00AE764D"/>
    <w:p w:rsidR="00F16789" w:rsidRPr="009B19F4" w:rsidRDefault="000F59B6" w:rsidP="000F59B6">
      <w:pPr>
        <w:rPr>
          <w:b/>
        </w:rPr>
      </w:pPr>
      <w:r w:rsidRPr="009B19F4">
        <w:rPr>
          <w:b/>
        </w:rPr>
        <w:t xml:space="preserve">A. </w:t>
      </w:r>
      <w:r w:rsidR="00E20C60" w:rsidRPr="009B19F4">
        <w:rPr>
          <w:b/>
          <w:u w:val="single"/>
        </w:rPr>
        <w:t>From Applicant</w:t>
      </w:r>
      <w:bookmarkStart w:id="2" w:name="_DV_C33"/>
    </w:p>
    <w:p w:rsidR="008500D6" w:rsidRPr="009B19F4" w:rsidRDefault="008500D6" w:rsidP="008500D6">
      <w:pPr>
        <w:autoSpaceDE w:val="0"/>
        <w:autoSpaceDN w:val="0"/>
        <w:adjustRightInd w:val="0"/>
        <w:rPr>
          <w:sz w:val="22"/>
          <w:szCs w:val="22"/>
        </w:rPr>
      </w:pPr>
      <w:bookmarkStart w:id="3" w:name="_DV_M23"/>
      <w:bookmarkStart w:id="4" w:name="_DV_M24"/>
      <w:bookmarkStart w:id="5" w:name="_DV_M25"/>
      <w:bookmarkStart w:id="6" w:name="_DV_M27"/>
      <w:bookmarkStart w:id="7" w:name="_DV_M29"/>
      <w:bookmarkStart w:id="8" w:name="_DV_M34"/>
      <w:bookmarkStart w:id="9" w:name="_DV_M35"/>
      <w:bookmarkStart w:id="10" w:name="_DV_M36"/>
      <w:bookmarkStart w:id="11" w:name="_DV_M37"/>
      <w:bookmarkEnd w:id="3"/>
      <w:bookmarkEnd w:id="4"/>
      <w:bookmarkEnd w:id="5"/>
      <w:bookmarkEnd w:id="6"/>
      <w:bookmarkEnd w:id="7"/>
      <w:bookmarkEnd w:id="8"/>
      <w:bookmarkEnd w:id="9"/>
      <w:bookmarkEnd w:id="10"/>
      <w:bookmarkEnd w:id="11"/>
    </w:p>
    <w:p w:rsidR="007C4103" w:rsidRPr="009B19F4" w:rsidRDefault="007C4103" w:rsidP="007C4103">
      <w:pPr>
        <w:jc w:val="both"/>
        <w:rPr>
          <w:rFonts w:eastAsia="Calibri"/>
          <w:sz w:val="22"/>
          <w:szCs w:val="22"/>
        </w:rPr>
      </w:pPr>
      <w:bookmarkStart w:id="12" w:name="_DV_M72"/>
      <w:bookmarkStart w:id="13" w:name="_Ref195319930"/>
      <w:bookmarkEnd w:id="2"/>
      <w:bookmarkEnd w:id="12"/>
      <w:r w:rsidRPr="009B19F4">
        <w:rPr>
          <w:rFonts w:eastAsia="Calibri"/>
          <w:sz w:val="22"/>
          <w:szCs w:val="22"/>
        </w:rPr>
        <w:t>“Maple Grove Nursing Home, Inc. d/b/a Madigan Estates (MGNH) operates an 86-bed nursing and 47-bed residential care facility, and an adjacent 14-bed independent living facility in Houlton, Maine. MGNH has been an integral part of the greater Houlton community since 1972. Brenda Brown has owned and operated the facility since inception. The current ownership of MGNH is Brenda Brown – 40% and 30% each to her children Jim Brown and Debbie Fitzpatrick. Jim and Debbie are both licensed multi-level administrators and actively participate in the daily operations as the facility’s Business Manager and Director of Social Services and Admissions, respectively. The facility has consistently complied with both federal and state regulations. Located in a rural community in central Aroostook County, MGNH provides the necessary services to the frail and elderly and rehabilitative services to the population after surgery or illness. MGNH is one of the largest employers in Houlton and is actively involved in the community. The facility has always prided itself on being a positive, stable environment for those in need of s</w:t>
      </w:r>
      <w:r w:rsidR="009F3BAB">
        <w:rPr>
          <w:rFonts w:eastAsia="Calibri"/>
          <w:sz w:val="22"/>
          <w:szCs w:val="22"/>
        </w:rPr>
        <w:t>ervices and good paying jobs.”</w:t>
      </w:r>
    </w:p>
    <w:p w:rsidR="007C4103" w:rsidRPr="009B19F4" w:rsidRDefault="007C4103" w:rsidP="007C4103">
      <w:pPr>
        <w:jc w:val="both"/>
        <w:rPr>
          <w:rFonts w:eastAsia="Calibri"/>
          <w:b/>
          <w:sz w:val="22"/>
          <w:szCs w:val="22"/>
          <w:u w:val="single"/>
        </w:rPr>
      </w:pPr>
    </w:p>
    <w:p w:rsidR="007C4103" w:rsidRPr="009B19F4" w:rsidRDefault="007C4103" w:rsidP="007C4103">
      <w:pPr>
        <w:jc w:val="both"/>
        <w:rPr>
          <w:rFonts w:eastAsia="Calibri"/>
          <w:b/>
          <w:sz w:val="22"/>
          <w:szCs w:val="22"/>
        </w:rPr>
      </w:pPr>
      <w:r w:rsidRPr="009B19F4">
        <w:rPr>
          <w:rFonts w:eastAsia="Calibri"/>
          <w:b/>
          <w:sz w:val="22"/>
          <w:szCs w:val="22"/>
        </w:rPr>
        <w:t>“Brief Description of Project”</w:t>
      </w:r>
    </w:p>
    <w:p w:rsidR="007C4103" w:rsidRPr="009B19F4" w:rsidRDefault="007C4103" w:rsidP="007C4103">
      <w:pPr>
        <w:jc w:val="both"/>
        <w:rPr>
          <w:rFonts w:eastAsia="Calibri"/>
          <w:sz w:val="22"/>
          <w:szCs w:val="22"/>
        </w:rPr>
      </w:pPr>
    </w:p>
    <w:p w:rsidR="007C4103" w:rsidRPr="009B19F4" w:rsidRDefault="007C4103" w:rsidP="007C4103">
      <w:pPr>
        <w:jc w:val="both"/>
        <w:rPr>
          <w:rFonts w:eastAsia="Calibri"/>
          <w:sz w:val="22"/>
          <w:szCs w:val="22"/>
        </w:rPr>
      </w:pPr>
      <w:r w:rsidRPr="009B19F4">
        <w:rPr>
          <w:rFonts w:eastAsia="Calibri"/>
          <w:sz w:val="22"/>
          <w:szCs w:val="22"/>
        </w:rPr>
        <w:t>“The proposed project entails converting 13 residential care beds to nursing beds and the addition of 12 nursing beds along with certain renovations to the facility. Upon completion of the project, the facility will have a total of 145 beds which will consist of a 111-bed nursing unit and a 34-bed residential care unit. The estimated costs of the project</w:t>
      </w:r>
      <w:r w:rsidR="009F3BAB">
        <w:rPr>
          <w:rFonts w:eastAsia="Calibri"/>
          <w:sz w:val="22"/>
          <w:szCs w:val="22"/>
        </w:rPr>
        <w:t xml:space="preserve"> are approximately $1,288,000.”</w:t>
      </w:r>
    </w:p>
    <w:p w:rsidR="007C4103" w:rsidRPr="009B19F4" w:rsidRDefault="007C4103" w:rsidP="007C4103">
      <w:pPr>
        <w:jc w:val="both"/>
        <w:rPr>
          <w:rFonts w:eastAsia="Calibri"/>
          <w:sz w:val="22"/>
          <w:szCs w:val="22"/>
        </w:rPr>
      </w:pPr>
    </w:p>
    <w:p w:rsidR="007C4103" w:rsidRPr="009B19F4" w:rsidRDefault="007C4103" w:rsidP="007C4103">
      <w:pPr>
        <w:jc w:val="both"/>
        <w:rPr>
          <w:rFonts w:eastAsia="Calibri"/>
          <w:sz w:val="22"/>
          <w:szCs w:val="22"/>
        </w:rPr>
      </w:pPr>
      <w:r w:rsidRPr="009B19F4">
        <w:rPr>
          <w:rFonts w:eastAsia="Calibri"/>
          <w:sz w:val="22"/>
          <w:szCs w:val="22"/>
        </w:rPr>
        <w:t>“The project will be completed in two phases:</w:t>
      </w:r>
    </w:p>
    <w:p w:rsidR="007C4103" w:rsidRPr="009B19F4" w:rsidRDefault="007C4103" w:rsidP="007C4103">
      <w:pPr>
        <w:jc w:val="both"/>
        <w:rPr>
          <w:rFonts w:eastAsia="Calibri"/>
          <w:sz w:val="22"/>
          <w:szCs w:val="22"/>
        </w:rPr>
      </w:pPr>
    </w:p>
    <w:p w:rsidR="007C4103" w:rsidRPr="009B19F4" w:rsidRDefault="007C4103" w:rsidP="007C4103">
      <w:pPr>
        <w:jc w:val="both"/>
        <w:rPr>
          <w:rFonts w:eastAsia="Calibri"/>
          <w:sz w:val="22"/>
          <w:szCs w:val="22"/>
        </w:rPr>
      </w:pPr>
      <w:r w:rsidRPr="009B19F4">
        <w:rPr>
          <w:rFonts w:eastAsia="Calibri"/>
          <w:sz w:val="22"/>
          <w:szCs w:val="22"/>
        </w:rPr>
        <w:t>The first phase of the project will consist of a conversion of 7 residential care rooms to nursing rooms. The rooms were originally part of the nursing facility but were converted to residential care several years ago. Accordingly, these rooms will require very minor renovations and are contiguous with the nursing facility rooms. This phase will convert 13 residential care beds to 13 nursing beds. It is expected this phase of the project will be completed by July 1, 2014.”</w:t>
      </w:r>
    </w:p>
    <w:p w:rsidR="007C4103" w:rsidRPr="009B19F4" w:rsidRDefault="007C4103" w:rsidP="007C4103">
      <w:pPr>
        <w:jc w:val="both"/>
        <w:rPr>
          <w:rFonts w:eastAsia="Calibri"/>
          <w:sz w:val="22"/>
          <w:szCs w:val="22"/>
        </w:rPr>
      </w:pPr>
    </w:p>
    <w:p w:rsidR="007C4103" w:rsidRPr="009B19F4" w:rsidRDefault="007C4103" w:rsidP="007C4103">
      <w:pPr>
        <w:jc w:val="both"/>
        <w:rPr>
          <w:rFonts w:eastAsia="Calibri"/>
          <w:sz w:val="22"/>
          <w:szCs w:val="22"/>
        </w:rPr>
      </w:pPr>
      <w:r w:rsidRPr="009B19F4">
        <w:rPr>
          <w:rFonts w:eastAsia="Calibri"/>
          <w:sz w:val="22"/>
          <w:szCs w:val="22"/>
        </w:rPr>
        <w:t>“The second phase of the project will include approximately 6,300 square feet of new construction that will be primarily semi-private rooms, storage and common area that will accommodate the additional 12 nursing beds. Resident rooms in the existing nursing facility will be used for private and semi-private rooms, storage and office areas. The existing facility will be renovated and upgraded to accommodate these changes. In addition, there will be several capital needs addressed within this phase of the project. The facility has expanded several times over the past 20 years and needs various infrastructure improvements. This phase will also include certain upgrades to resident room furnishings and fixtures. This phase is expected to be completed by November 1, 2014.”</w:t>
      </w:r>
    </w:p>
    <w:p w:rsidR="007C4103" w:rsidRPr="009B19F4" w:rsidRDefault="007C4103" w:rsidP="007C4103">
      <w:pPr>
        <w:jc w:val="both"/>
        <w:rPr>
          <w:rFonts w:eastAsia="Calibri"/>
          <w:sz w:val="22"/>
          <w:szCs w:val="22"/>
        </w:rPr>
      </w:pPr>
    </w:p>
    <w:p w:rsidR="007C4103" w:rsidRPr="009B19F4" w:rsidRDefault="007C4103" w:rsidP="007C4103">
      <w:pPr>
        <w:jc w:val="both"/>
        <w:rPr>
          <w:rFonts w:eastAsia="Calibri"/>
          <w:sz w:val="22"/>
          <w:szCs w:val="22"/>
        </w:rPr>
      </w:pPr>
      <w:r w:rsidRPr="009B19F4">
        <w:rPr>
          <w:rFonts w:eastAsia="Calibri"/>
          <w:sz w:val="22"/>
          <w:szCs w:val="22"/>
        </w:rPr>
        <w:t>“The project will allow the facility to provide additional private rooms to residents that desire or require a private room as a limited number of private rooms and a healthy census has created a short supply of these rooms.”</w:t>
      </w:r>
    </w:p>
    <w:p w:rsidR="007C4103" w:rsidRPr="009B19F4" w:rsidRDefault="007C4103" w:rsidP="007C4103">
      <w:pPr>
        <w:jc w:val="both"/>
        <w:rPr>
          <w:rFonts w:eastAsia="Calibri"/>
          <w:sz w:val="22"/>
          <w:szCs w:val="22"/>
        </w:rPr>
      </w:pPr>
    </w:p>
    <w:p w:rsidR="009B19F4" w:rsidRPr="009B19F4" w:rsidRDefault="009B19F4" w:rsidP="007C4103">
      <w:pPr>
        <w:jc w:val="both"/>
        <w:rPr>
          <w:rFonts w:eastAsia="Calibri"/>
          <w:sz w:val="22"/>
          <w:szCs w:val="22"/>
        </w:rPr>
        <w:sectPr w:rsidR="009B19F4" w:rsidRPr="009B19F4" w:rsidSect="001C339F">
          <w:headerReference w:type="default" r:id="rId13"/>
          <w:pgSz w:w="12240" w:h="15840"/>
          <w:pgMar w:top="1440" w:right="1440" w:bottom="1440" w:left="1440" w:header="720" w:footer="720" w:gutter="0"/>
          <w:cols w:space="720"/>
          <w:docGrid w:linePitch="360"/>
        </w:sectPr>
      </w:pPr>
    </w:p>
    <w:p w:rsidR="007C4103" w:rsidRPr="009B19F4" w:rsidRDefault="007C4103" w:rsidP="007C4103">
      <w:pPr>
        <w:jc w:val="both"/>
        <w:rPr>
          <w:rFonts w:eastAsia="Calibri"/>
          <w:sz w:val="22"/>
          <w:szCs w:val="22"/>
        </w:rPr>
      </w:pPr>
      <w:r w:rsidRPr="009B19F4">
        <w:rPr>
          <w:rFonts w:eastAsia="Calibri"/>
          <w:sz w:val="22"/>
          <w:szCs w:val="22"/>
        </w:rPr>
        <w:lastRenderedPageBreak/>
        <w:t xml:space="preserve">“The section of the facility that we will convert to nursing rooms will be used as a separate unit for residents with Alzheimer’s and other dementias. This area will serve as a transitional unit between our residential care and nursing units for those residents with Alzheimer’s and dementia that are more </w:t>
      </w:r>
      <w:proofErr w:type="gramStart"/>
      <w:r w:rsidRPr="009B19F4">
        <w:rPr>
          <w:rFonts w:eastAsia="Calibri"/>
          <w:sz w:val="22"/>
          <w:szCs w:val="22"/>
        </w:rPr>
        <w:t>ambulatory</w:t>
      </w:r>
      <w:proofErr w:type="gramEnd"/>
      <w:r w:rsidRPr="009B19F4">
        <w:rPr>
          <w:rFonts w:eastAsia="Calibri"/>
          <w:sz w:val="22"/>
          <w:szCs w:val="22"/>
        </w:rPr>
        <w:t>. This unit will focus on activities and programing that will better meet the needs of this population.”</w:t>
      </w:r>
    </w:p>
    <w:p w:rsidR="007C4103" w:rsidRPr="009B19F4" w:rsidRDefault="007C4103" w:rsidP="007C4103">
      <w:pPr>
        <w:jc w:val="both"/>
        <w:rPr>
          <w:rFonts w:eastAsia="Calibri"/>
          <w:sz w:val="22"/>
          <w:szCs w:val="22"/>
        </w:rPr>
      </w:pPr>
    </w:p>
    <w:p w:rsidR="007C4103" w:rsidRPr="009B19F4" w:rsidRDefault="007C4103" w:rsidP="007C4103">
      <w:pPr>
        <w:jc w:val="both"/>
        <w:rPr>
          <w:rFonts w:eastAsia="Calibri"/>
          <w:sz w:val="22"/>
          <w:szCs w:val="22"/>
        </w:rPr>
      </w:pPr>
      <w:r w:rsidRPr="009B19F4">
        <w:rPr>
          <w:rFonts w:eastAsia="Calibri"/>
          <w:sz w:val="22"/>
          <w:szCs w:val="22"/>
        </w:rPr>
        <w:t>“A copy of the existing floor plan is at Exhibit I, and a copy of the proposed floor plan after renovations are completed is at Exhibit II. A detail list of construction costs and furniture and equipment totaling approximately $1,288,000 are attached at Exhibit III. The expansion proposed in Phase II is expected to be in compliance with all zoning regulations. See copy of correspondence from the Town of Houlton to that effect at Exhibit IV.”</w:t>
      </w:r>
    </w:p>
    <w:p w:rsidR="007C4103" w:rsidRPr="009B19F4" w:rsidRDefault="007C4103" w:rsidP="007C4103">
      <w:pPr>
        <w:jc w:val="both"/>
        <w:rPr>
          <w:rFonts w:eastAsia="Calibri"/>
          <w:sz w:val="22"/>
          <w:szCs w:val="22"/>
        </w:rPr>
      </w:pPr>
    </w:p>
    <w:p w:rsidR="007C4103" w:rsidRPr="009B19F4" w:rsidRDefault="007C4103" w:rsidP="007C4103">
      <w:pPr>
        <w:jc w:val="both"/>
        <w:rPr>
          <w:rFonts w:eastAsia="Calibri"/>
          <w:sz w:val="22"/>
          <w:szCs w:val="22"/>
        </w:rPr>
      </w:pPr>
      <w:r w:rsidRPr="009B19F4">
        <w:rPr>
          <w:rFonts w:eastAsia="Calibri"/>
          <w:sz w:val="22"/>
          <w:szCs w:val="22"/>
        </w:rPr>
        <w:t>“The project will require financing. We have been in discussions with Machias Savings Bank and have received a verbal commitment that they will finance the project at 5.25% for twenty years with three five year renewals subject to CON approval.”</w:t>
      </w:r>
    </w:p>
    <w:p w:rsidR="007C4103" w:rsidRPr="009B19F4" w:rsidRDefault="007C4103" w:rsidP="007C4103">
      <w:pPr>
        <w:jc w:val="both"/>
        <w:rPr>
          <w:sz w:val="22"/>
          <w:szCs w:val="22"/>
        </w:rPr>
      </w:pPr>
    </w:p>
    <w:p w:rsidR="003D19F7" w:rsidRDefault="007C4103" w:rsidP="003D19F7">
      <w:pPr>
        <w:jc w:val="both"/>
        <w:rPr>
          <w:sz w:val="22"/>
          <w:szCs w:val="22"/>
        </w:rPr>
      </w:pPr>
      <w:r w:rsidRPr="009B19F4">
        <w:rPr>
          <w:sz w:val="22"/>
          <w:szCs w:val="22"/>
        </w:rPr>
        <w:t>“Finally, in August 2013, MGNH purchased the revenue stream associated with Houlton Regional Hospital’s 28-bed skilled nursing unit which it will use to achieve MaineCare neutrality for the project.”</w:t>
      </w:r>
    </w:p>
    <w:p w:rsidR="00345311" w:rsidRDefault="00345311" w:rsidP="003D19F7">
      <w:pPr>
        <w:jc w:val="both"/>
        <w:rPr>
          <w:sz w:val="22"/>
          <w:szCs w:val="22"/>
        </w:rPr>
      </w:pPr>
    </w:p>
    <w:p w:rsidR="00345311" w:rsidRPr="00F84273" w:rsidRDefault="00345311" w:rsidP="003D19F7">
      <w:pPr>
        <w:jc w:val="both"/>
        <w:rPr>
          <w:b/>
          <w:u w:val="single"/>
        </w:rPr>
      </w:pPr>
      <w:r w:rsidRPr="00F84273">
        <w:rPr>
          <w:b/>
          <w:u w:val="single"/>
        </w:rPr>
        <w:t>CONU Comment:</w:t>
      </w:r>
    </w:p>
    <w:p w:rsidR="00345311" w:rsidRPr="007A565D" w:rsidRDefault="00345311" w:rsidP="003D19F7">
      <w:pPr>
        <w:jc w:val="both"/>
      </w:pPr>
      <w:r w:rsidRPr="007A565D">
        <w:t>On April 23, 2014 the applicant requested an amendment to the original CON application. This revision would remove the conversion of RCF beds to NF beds. This amendment requests the a</w:t>
      </w:r>
      <w:r w:rsidR="007A565D">
        <w:t xml:space="preserve">ddition of 13 new SNF/NF beds. </w:t>
      </w:r>
      <w:r w:rsidRPr="007A565D">
        <w:t xml:space="preserve">The revised project increases the facility’s existing licensure from 86 SNF/NF beds and 47 RCF beds to 99 SNF/NF beds </w:t>
      </w:r>
      <w:r w:rsidR="00C75649" w:rsidRPr="007A565D">
        <w:t>and 47 RCF beds.</w:t>
      </w:r>
      <w:r w:rsidRPr="007A565D">
        <w:t xml:space="preserve"> The applicant submitted a revised pro forma cost report with revised assumptions relat</w:t>
      </w:r>
      <w:r w:rsidR="00C75649" w:rsidRPr="007A565D">
        <w:t>ing to this project. In addition the applicant submitted a revised calculation of MaineCare Neutrality.</w:t>
      </w:r>
    </w:p>
    <w:p w:rsidR="003D19F7" w:rsidRDefault="003D19F7" w:rsidP="003D19F7">
      <w:pPr>
        <w:rPr>
          <w:sz w:val="32"/>
          <w:szCs w:val="32"/>
        </w:rPr>
      </w:pPr>
    </w:p>
    <w:p w:rsidR="00015CD7" w:rsidRPr="009B19F4" w:rsidRDefault="00015CD7" w:rsidP="003D19F7">
      <w:pPr>
        <w:rPr>
          <w:sz w:val="32"/>
          <w:szCs w:val="32"/>
        </w:rPr>
        <w:sectPr w:rsidR="00015CD7" w:rsidRPr="009B19F4" w:rsidSect="00137E29">
          <w:pgSz w:w="12240" w:h="15840"/>
          <w:pgMar w:top="1440" w:right="1440" w:bottom="1440" w:left="1440" w:header="720" w:footer="720" w:gutter="0"/>
          <w:cols w:space="720"/>
          <w:docGrid w:linePitch="360"/>
        </w:sectPr>
      </w:pPr>
    </w:p>
    <w:p w:rsidR="004336AF" w:rsidRPr="009B19F4" w:rsidRDefault="004336AF" w:rsidP="009B19F4">
      <w:pPr>
        <w:pStyle w:val="Heading1"/>
        <w:rPr>
          <w:rFonts w:ascii="Times New Roman" w:hAnsi="Times New Roman" w:cs="Times New Roman"/>
        </w:rPr>
      </w:pPr>
      <w:r w:rsidRPr="009B19F4">
        <w:rPr>
          <w:rFonts w:ascii="Times New Roman" w:hAnsi="Times New Roman" w:cs="Times New Roman"/>
        </w:rPr>
        <w:t>I</w:t>
      </w:r>
      <w:r w:rsidR="00BB1625" w:rsidRPr="009B19F4">
        <w:rPr>
          <w:rFonts w:ascii="Times New Roman" w:hAnsi="Times New Roman" w:cs="Times New Roman"/>
        </w:rPr>
        <w:t>I</w:t>
      </w:r>
      <w:r w:rsidRPr="009B19F4">
        <w:rPr>
          <w:rFonts w:ascii="Times New Roman" w:hAnsi="Times New Roman" w:cs="Times New Roman"/>
        </w:rPr>
        <w:t xml:space="preserve">. </w:t>
      </w:r>
      <w:bookmarkEnd w:id="13"/>
      <w:r w:rsidR="00BB1625" w:rsidRPr="009B19F4">
        <w:rPr>
          <w:rFonts w:ascii="Times New Roman" w:hAnsi="Times New Roman" w:cs="Times New Roman"/>
        </w:rPr>
        <w:t>Fit, Willing and Able</w:t>
      </w:r>
    </w:p>
    <w:p w:rsidR="004336AF" w:rsidRPr="006B35F7" w:rsidRDefault="004336AF" w:rsidP="006B35F7">
      <w:pPr>
        <w:rPr>
          <w:sz w:val="16"/>
          <w:szCs w:val="16"/>
        </w:rPr>
      </w:pPr>
    </w:p>
    <w:p w:rsidR="00BB1625" w:rsidRPr="009B19F4" w:rsidRDefault="000F59B6" w:rsidP="005310F8">
      <w:pPr>
        <w:rPr>
          <w:b/>
        </w:rPr>
      </w:pPr>
      <w:r w:rsidRPr="009B19F4">
        <w:rPr>
          <w:b/>
        </w:rPr>
        <w:t xml:space="preserve">A. </w:t>
      </w:r>
      <w:r w:rsidR="00E20C60" w:rsidRPr="009B19F4">
        <w:rPr>
          <w:b/>
          <w:u w:val="single"/>
        </w:rPr>
        <w:t>From Applicant</w:t>
      </w:r>
    </w:p>
    <w:p w:rsidR="00E20C60" w:rsidRPr="009B19F4" w:rsidRDefault="00E20C60" w:rsidP="005310F8">
      <w:pPr>
        <w:rPr>
          <w:b/>
          <w:sz w:val="16"/>
          <w:szCs w:val="16"/>
          <w:u w:val="single"/>
        </w:rPr>
      </w:pPr>
    </w:p>
    <w:p w:rsidR="007C4103" w:rsidRPr="004D716B" w:rsidRDefault="003D19F7" w:rsidP="007C4103">
      <w:pPr>
        <w:jc w:val="both"/>
        <w:rPr>
          <w:sz w:val="22"/>
          <w:szCs w:val="22"/>
        </w:rPr>
      </w:pPr>
      <w:r w:rsidRPr="004D716B">
        <w:rPr>
          <w:sz w:val="22"/>
          <w:szCs w:val="22"/>
        </w:rPr>
        <w:t>“</w:t>
      </w:r>
      <w:r w:rsidR="007C4103" w:rsidRPr="004D716B">
        <w:rPr>
          <w:sz w:val="22"/>
          <w:szCs w:val="22"/>
        </w:rPr>
        <w:t>Management Team</w:t>
      </w:r>
      <w:r w:rsidRPr="004D716B">
        <w:rPr>
          <w:sz w:val="22"/>
          <w:szCs w:val="22"/>
        </w:rPr>
        <w:t>”</w:t>
      </w:r>
    </w:p>
    <w:p w:rsidR="007C4103" w:rsidRPr="006B35F7" w:rsidRDefault="007C4103" w:rsidP="007C4103">
      <w:pPr>
        <w:jc w:val="both"/>
        <w:rPr>
          <w:sz w:val="16"/>
          <w:szCs w:val="16"/>
        </w:rPr>
      </w:pPr>
    </w:p>
    <w:p w:rsidR="007C4103" w:rsidRPr="009B19F4" w:rsidRDefault="003D19F7" w:rsidP="007C4103">
      <w:pPr>
        <w:jc w:val="both"/>
        <w:rPr>
          <w:sz w:val="22"/>
          <w:szCs w:val="22"/>
        </w:rPr>
      </w:pPr>
      <w:r w:rsidRPr="009B19F4">
        <w:rPr>
          <w:sz w:val="22"/>
          <w:szCs w:val="22"/>
        </w:rPr>
        <w:t>“</w:t>
      </w:r>
      <w:r w:rsidR="007C4103" w:rsidRPr="009B19F4">
        <w:rPr>
          <w:sz w:val="22"/>
          <w:szCs w:val="22"/>
        </w:rPr>
        <w:t>MGNH has been in operations and owned/managed by Brenda Brown since 1972. Ms. Brown is a registered nurse and a multi-level nursing home administrator. Her children, Jim Brown and Debbie Fitzpatrick, are also multi-level nursing home administrators and actively participate in the daily operations and are involved as senior management of the facility. Jim is the Business Manager and has a BS in Business Administration and Debbie is the Director of Social Services and Admissions and is a Licensed Social Worker with a BS in Social Work. Jim and Debbie have held various positions within the facility throughout their careers of over 20 years. Below is a complete list of related entities which are operated by Brenda or a family member:</w:t>
      </w:r>
    </w:p>
    <w:p w:rsidR="007C4103" w:rsidRPr="006B35F7" w:rsidRDefault="007C4103" w:rsidP="007C4103">
      <w:pPr>
        <w:jc w:val="both"/>
        <w:rPr>
          <w:sz w:val="16"/>
          <w:szCs w:val="16"/>
        </w:rPr>
      </w:pPr>
    </w:p>
    <w:p w:rsidR="007C4103" w:rsidRPr="009B19F4" w:rsidRDefault="007C4103" w:rsidP="007C4103">
      <w:pPr>
        <w:jc w:val="both"/>
        <w:rPr>
          <w:b/>
          <w:sz w:val="22"/>
          <w:szCs w:val="22"/>
        </w:rPr>
      </w:pPr>
      <w:r w:rsidRPr="009B19F4">
        <w:rPr>
          <w:b/>
          <w:sz w:val="22"/>
          <w:szCs w:val="22"/>
        </w:rPr>
        <w:t>Maple Grove Nursing Home, Inc.</w:t>
      </w:r>
      <w:r w:rsidRPr="009B19F4">
        <w:rPr>
          <w:b/>
          <w:sz w:val="22"/>
          <w:szCs w:val="22"/>
        </w:rPr>
        <w:tab/>
      </w:r>
      <w:r w:rsidRPr="009B19F4">
        <w:rPr>
          <w:b/>
          <w:sz w:val="22"/>
          <w:szCs w:val="22"/>
        </w:rPr>
        <w:tab/>
      </w:r>
      <w:r w:rsidR="003D19F7" w:rsidRPr="009B19F4">
        <w:rPr>
          <w:b/>
          <w:sz w:val="22"/>
          <w:szCs w:val="22"/>
        </w:rPr>
        <w:tab/>
      </w:r>
      <w:r w:rsidRPr="009B19F4">
        <w:rPr>
          <w:b/>
          <w:sz w:val="22"/>
          <w:szCs w:val="22"/>
        </w:rPr>
        <w:tab/>
        <w:t xml:space="preserve">Aroostook County Action Program </w:t>
      </w:r>
    </w:p>
    <w:p w:rsidR="007C4103" w:rsidRPr="009B19F4" w:rsidRDefault="007C4103" w:rsidP="007C4103">
      <w:pPr>
        <w:jc w:val="both"/>
        <w:rPr>
          <w:sz w:val="22"/>
          <w:szCs w:val="22"/>
        </w:rPr>
      </w:pPr>
      <w:r w:rsidRPr="009B19F4">
        <w:rPr>
          <w:b/>
          <w:sz w:val="22"/>
          <w:szCs w:val="22"/>
        </w:rPr>
        <w:t>93 Military Street</w:t>
      </w:r>
      <w:r w:rsidRPr="009B19F4">
        <w:rPr>
          <w:sz w:val="22"/>
          <w:szCs w:val="22"/>
        </w:rPr>
        <w:tab/>
      </w:r>
      <w:r w:rsidRPr="009B19F4">
        <w:rPr>
          <w:sz w:val="22"/>
          <w:szCs w:val="22"/>
        </w:rPr>
        <w:tab/>
      </w:r>
      <w:r w:rsidRPr="009B19F4">
        <w:rPr>
          <w:sz w:val="22"/>
          <w:szCs w:val="22"/>
        </w:rPr>
        <w:tab/>
      </w:r>
      <w:r w:rsidRPr="009B19F4">
        <w:rPr>
          <w:sz w:val="22"/>
          <w:szCs w:val="22"/>
        </w:rPr>
        <w:tab/>
      </w:r>
      <w:r w:rsidRPr="009B19F4">
        <w:rPr>
          <w:sz w:val="22"/>
          <w:szCs w:val="22"/>
        </w:rPr>
        <w:tab/>
      </w:r>
      <w:r w:rsidR="003D19F7" w:rsidRPr="009B19F4">
        <w:rPr>
          <w:sz w:val="22"/>
          <w:szCs w:val="22"/>
        </w:rPr>
        <w:tab/>
      </w:r>
      <w:r w:rsidR="003D19F7" w:rsidRPr="009B19F4">
        <w:rPr>
          <w:sz w:val="22"/>
          <w:szCs w:val="22"/>
        </w:rPr>
        <w:tab/>
      </w:r>
      <w:r w:rsidR="004D716B">
        <w:rPr>
          <w:sz w:val="22"/>
          <w:szCs w:val="22"/>
        </w:rPr>
        <w:tab/>
      </w:r>
      <w:r w:rsidRPr="009B19F4">
        <w:rPr>
          <w:b/>
          <w:sz w:val="22"/>
          <w:szCs w:val="22"/>
        </w:rPr>
        <w:t>(ACAP)</w:t>
      </w:r>
    </w:p>
    <w:p w:rsidR="007C4103" w:rsidRPr="009B19F4" w:rsidRDefault="007C4103" w:rsidP="007C4103">
      <w:pPr>
        <w:jc w:val="both"/>
        <w:rPr>
          <w:sz w:val="22"/>
          <w:szCs w:val="22"/>
        </w:rPr>
      </w:pPr>
      <w:r w:rsidRPr="009B19F4">
        <w:rPr>
          <w:b/>
          <w:sz w:val="22"/>
          <w:szCs w:val="22"/>
        </w:rPr>
        <w:t>Houlton, Maine</w:t>
      </w:r>
      <w:r w:rsidRPr="009B19F4">
        <w:rPr>
          <w:sz w:val="22"/>
          <w:szCs w:val="22"/>
        </w:rPr>
        <w:tab/>
      </w:r>
      <w:r w:rsidRPr="009B19F4">
        <w:rPr>
          <w:sz w:val="22"/>
          <w:szCs w:val="22"/>
        </w:rPr>
        <w:tab/>
      </w:r>
      <w:r w:rsidRPr="009B19F4">
        <w:rPr>
          <w:sz w:val="22"/>
          <w:szCs w:val="22"/>
        </w:rPr>
        <w:tab/>
      </w:r>
      <w:r w:rsidRPr="009B19F4">
        <w:rPr>
          <w:sz w:val="22"/>
          <w:szCs w:val="22"/>
        </w:rPr>
        <w:tab/>
      </w:r>
      <w:r w:rsidRPr="009B19F4">
        <w:rPr>
          <w:sz w:val="22"/>
          <w:szCs w:val="22"/>
        </w:rPr>
        <w:tab/>
      </w:r>
      <w:r w:rsidR="003D19F7" w:rsidRPr="009B19F4">
        <w:rPr>
          <w:sz w:val="22"/>
          <w:szCs w:val="22"/>
        </w:rPr>
        <w:tab/>
      </w:r>
      <w:r w:rsidR="003D19F7" w:rsidRPr="009B19F4">
        <w:rPr>
          <w:sz w:val="22"/>
          <w:szCs w:val="22"/>
        </w:rPr>
        <w:tab/>
      </w:r>
      <w:r w:rsidR="003D19F7" w:rsidRPr="009B19F4">
        <w:rPr>
          <w:sz w:val="22"/>
          <w:szCs w:val="22"/>
        </w:rPr>
        <w:tab/>
      </w:r>
      <w:r w:rsidRPr="009B19F4">
        <w:rPr>
          <w:b/>
          <w:sz w:val="22"/>
          <w:szCs w:val="22"/>
        </w:rPr>
        <w:t>93 Military Street</w:t>
      </w:r>
    </w:p>
    <w:p w:rsidR="007C4103" w:rsidRPr="009B19F4" w:rsidRDefault="007C4103" w:rsidP="007C4103">
      <w:pPr>
        <w:jc w:val="both"/>
        <w:rPr>
          <w:i/>
          <w:sz w:val="22"/>
          <w:szCs w:val="22"/>
        </w:rPr>
      </w:pPr>
      <w:r w:rsidRPr="009B19F4">
        <w:rPr>
          <w:i/>
          <w:sz w:val="22"/>
          <w:szCs w:val="22"/>
        </w:rPr>
        <w:t>Brenda Brown</w:t>
      </w:r>
      <w:r w:rsidRPr="009B19F4">
        <w:rPr>
          <w:i/>
          <w:sz w:val="22"/>
          <w:szCs w:val="22"/>
        </w:rPr>
        <w:tab/>
      </w:r>
      <w:r w:rsidRPr="009B19F4">
        <w:rPr>
          <w:i/>
          <w:sz w:val="22"/>
          <w:szCs w:val="22"/>
        </w:rPr>
        <w:tab/>
      </w:r>
      <w:r w:rsidR="003D19F7" w:rsidRPr="009B19F4">
        <w:rPr>
          <w:i/>
          <w:sz w:val="22"/>
          <w:szCs w:val="22"/>
        </w:rPr>
        <w:tab/>
      </w:r>
      <w:r w:rsidRPr="009B19F4">
        <w:rPr>
          <w:i/>
          <w:sz w:val="22"/>
          <w:szCs w:val="22"/>
        </w:rPr>
        <w:t>40%</w:t>
      </w:r>
      <w:r w:rsidRPr="009B19F4">
        <w:rPr>
          <w:i/>
          <w:sz w:val="22"/>
          <w:szCs w:val="22"/>
        </w:rPr>
        <w:tab/>
      </w:r>
      <w:r w:rsidRPr="009B19F4">
        <w:rPr>
          <w:i/>
          <w:sz w:val="22"/>
          <w:szCs w:val="22"/>
        </w:rPr>
        <w:tab/>
      </w:r>
      <w:r w:rsidRPr="009B19F4">
        <w:rPr>
          <w:i/>
          <w:sz w:val="22"/>
          <w:szCs w:val="22"/>
        </w:rPr>
        <w:tab/>
      </w:r>
      <w:r w:rsidRPr="009B19F4">
        <w:rPr>
          <w:i/>
          <w:sz w:val="22"/>
          <w:szCs w:val="22"/>
        </w:rPr>
        <w:tab/>
      </w:r>
      <w:r w:rsidR="004D716B">
        <w:rPr>
          <w:i/>
          <w:sz w:val="22"/>
          <w:szCs w:val="22"/>
        </w:rPr>
        <w:tab/>
      </w:r>
      <w:r w:rsidR="004D716B">
        <w:rPr>
          <w:i/>
          <w:sz w:val="22"/>
          <w:szCs w:val="22"/>
        </w:rPr>
        <w:tab/>
      </w:r>
      <w:r w:rsidRPr="009B19F4">
        <w:rPr>
          <w:b/>
          <w:sz w:val="22"/>
          <w:szCs w:val="22"/>
        </w:rPr>
        <w:t>Houlton, Maine</w:t>
      </w:r>
    </w:p>
    <w:p w:rsidR="007C4103" w:rsidRPr="009B19F4" w:rsidRDefault="007C4103" w:rsidP="007C4103">
      <w:pPr>
        <w:jc w:val="both"/>
        <w:rPr>
          <w:i/>
          <w:sz w:val="22"/>
          <w:szCs w:val="22"/>
        </w:rPr>
      </w:pPr>
      <w:r w:rsidRPr="009B19F4">
        <w:rPr>
          <w:i/>
          <w:sz w:val="22"/>
          <w:szCs w:val="22"/>
        </w:rPr>
        <w:t>James Brown</w:t>
      </w:r>
      <w:r w:rsidRPr="009B19F4">
        <w:rPr>
          <w:i/>
          <w:sz w:val="22"/>
          <w:szCs w:val="22"/>
        </w:rPr>
        <w:tab/>
      </w:r>
      <w:r w:rsidRPr="009B19F4">
        <w:rPr>
          <w:i/>
          <w:sz w:val="22"/>
          <w:szCs w:val="22"/>
        </w:rPr>
        <w:tab/>
      </w:r>
      <w:r w:rsidR="003D19F7" w:rsidRPr="009B19F4">
        <w:rPr>
          <w:i/>
          <w:sz w:val="22"/>
          <w:szCs w:val="22"/>
        </w:rPr>
        <w:tab/>
      </w:r>
      <w:r w:rsidRPr="009B19F4">
        <w:rPr>
          <w:i/>
          <w:sz w:val="22"/>
          <w:szCs w:val="22"/>
        </w:rPr>
        <w:t>30%</w:t>
      </w:r>
      <w:r w:rsidRPr="009B19F4">
        <w:rPr>
          <w:i/>
          <w:sz w:val="22"/>
          <w:szCs w:val="22"/>
        </w:rPr>
        <w:tab/>
      </w:r>
      <w:r w:rsidRPr="009B19F4">
        <w:rPr>
          <w:i/>
          <w:sz w:val="22"/>
          <w:szCs w:val="22"/>
        </w:rPr>
        <w:tab/>
      </w:r>
      <w:r w:rsidRPr="009B19F4">
        <w:rPr>
          <w:i/>
          <w:sz w:val="22"/>
          <w:szCs w:val="22"/>
        </w:rPr>
        <w:tab/>
      </w:r>
      <w:r w:rsidRPr="009B19F4">
        <w:rPr>
          <w:i/>
          <w:sz w:val="22"/>
          <w:szCs w:val="22"/>
        </w:rPr>
        <w:tab/>
      </w:r>
      <w:r w:rsidR="004D716B">
        <w:rPr>
          <w:i/>
          <w:sz w:val="22"/>
          <w:szCs w:val="22"/>
        </w:rPr>
        <w:tab/>
      </w:r>
      <w:r w:rsidR="004D716B">
        <w:rPr>
          <w:i/>
          <w:sz w:val="22"/>
          <w:szCs w:val="22"/>
        </w:rPr>
        <w:tab/>
      </w:r>
      <w:r w:rsidRPr="009B19F4">
        <w:rPr>
          <w:i/>
          <w:sz w:val="22"/>
          <w:szCs w:val="22"/>
        </w:rPr>
        <w:t>Brenda Brown</w:t>
      </w:r>
      <w:r w:rsidRPr="009B19F4">
        <w:rPr>
          <w:i/>
          <w:sz w:val="22"/>
          <w:szCs w:val="22"/>
        </w:rPr>
        <w:tab/>
      </w:r>
      <w:r w:rsidRPr="009B19F4">
        <w:rPr>
          <w:i/>
          <w:sz w:val="22"/>
          <w:szCs w:val="22"/>
        </w:rPr>
        <w:tab/>
        <w:t>100%</w:t>
      </w:r>
    </w:p>
    <w:p w:rsidR="007C4103" w:rsidRPr="009B19F4" w:rsidRDefault="007C4103" w:rsidP="007C4103">
      <w:pPr>
        <w:jc w:val="both"/>
        <w:rPr>
          <w:i/>
          <w:sz w:val="22"/>
          <w:szCs w:val="22"/>
        </w:rPr>
      </w:pPr>
      <w:r w:rsidRPr="009B19F4">
        <w:rPr>
          <w:i/>
          <w:sz w:val="22"/>
          <w:szCs w:val="22"/>
        </w:rPr>
        <w:t>Debbie Fitzpatrick</w:t>
      </w:r>
      <w:r w:rsidRPr="009B19F4">
        <w:rPr>
          <w:i/>
          <w:sz w:val="22"/>
          <w:szCs w:val="22"/>
        </w:rPr>
        <w:tab/>
      </w:r>
      <w:r w:rsidR="003D19F7" w:rsidRPr="009B19F4">
        <w:rPr>
          <w:i/>
          <w:sz w:val="22"/>
          <w:szCs w:val="22"/>
        </w:rPr>
        <w:tab/>
      </w:r>
      <w:r w:rsidRPr="009B19F4">
        <w:rPr>
          <w:i/>
          <w:sz w:val="22"/>
          <w:szCs w:val="22"/>
        </w:rPr>
        <w:t>30%</w:t>
      </w:r>
    </w:p>
    <w:p w:rsidR="007C4103" w:rsidRPr="006B35F7" w:rsidRDefault="007C4103" w:rsidP="007C4103">
      <w:pPr>
        <w:jc w:val="both"/>
        <w:rPr>
          <w:i/>
          <w:sz w:val="16"/>
          <w:szCs w:val="16"/>
        </w:rPr>
      </w:pPr>
    </w:p>
    <w:p w:rsidR="007C4103" w:rsidRPr="009B19F4" w:rsidRDefault="007C4103" w:rsidP="007C4103">
      <w:pPr>
        <w:jc w:val="both"/>
        <w:rPr>
          <w:b/>
          <w:sz w:val="22"/>
          <w:szCs w:val="22"/>
        </w:rPr>
      </w:pPr>
      <w:r w:rsidRPr="009B19F4">
        <w:rPr>
          <w:b/>
          <w:sz w:val="22"/>
          <w:szCs w:val="22"/>
        </w:rPr>
        <w:t>Madigan Home Health Care</w:t>
      </w:r>
      <w:r w:rsidRPr="009B19F4">
        <w:rPr>
          <w:b/>
          <w:sz w:val="22"/>
          <w:szCs w:val="22"/>
        </w:rPr>
        <w:tab/>
      </w:r>
      <w:r w:rsidRPr="009B19F4">
        <w:rPr>
          <w:b/>
          <w:sz w:val="22"/>
          <w:szCs w:val="22"/>
        </w:rPr>
        <w:tab/>
      </w:r>
      <w:r w:rsidRPr="009B19F4">
        <w:rPr>
          <w:b/>
          <w:sz w:val="22"/>
          <w:szCs w:val="22"/>
        </w:rPr>
        <w:tab/>
      </w:r>
      <w:r w:rsidRPr="009B19F4">
        <w:rPr>
          <w:b/>
          <w:sz w:val="22"/>
          <w:szCs w:val="22"/>
        </w:rPr>
        <w:tab/>
      </w:r>
      <w:r w:rsidR="003D19F7" w:rsidRPr="009B19F4">
        <w:rPr>
          <w:b/>
          <w:sz w:val="22"/>
          <w:szCs w:val="22"/>
        </w:rPr>
        <w:tab/>
      </w:r>
      <w:r w:rsidRPr="009B19F4">
        <w:rPr>
          <w:b/>
          <w:sz w:val="22"/>
          <w:szCs w:val="22"/>
        </w:rPr>
        <w:t>Greenland Cove Campground</w:t>
      </w:r>
    </w:p>
    <w:p w:rsidR="007C4103" w:rsidRPr="009B19F4" w:rsidRDefault="007C4103" w:rsidP="007C4103">
      <w:pPr>
        <w:jc w:val="both"/>
        <w:rPr>
          <w:sz w:val="22"/>
          <w:szCs w:val="22"/>
        </w:rPr>
      </w:pPr>
      <w:r w:rsidRPr="009B19F4">
        <w:rPr>
          <w:b/>
          <w:sz w:val="22"/>
          <w:szCs w:val="22"/>
        </w:rPr>
        <w:t>93 Military Street</w:t>
      </w:r>
      <w:r w:rsidRPr="009B19F4">
        <w:rPr>
          <w:b/>
          <w:sz w:val="22"/>
          <w:szCs w:val="22"/>
        </w:rPr>
        <w:tab/>
      </w:r>
      <w:r w:rsidRPr="009B19F4">
        <w:rPr>
          <w:sz w:val="22"/>
          <w:szCs w:val="22"/>
        </w:rPr>
        <w:tab/>
      </w:r>
      <w:r w:rsidR="003D19F7" w:rsidRPr="009B19F4">
        <w:rPr>
          <w:sz w:val="22"/>
          <w:szCs w:val="22"/>
        </w:rPr>
        <w:tab/>
      </w:r>
      <w:r w:rsidR="003D19F7" w:rsidRPr="009B19F4">
        <w:rPr>
          <w:sz w:val="22"/>
          <w:szCs w:val="22"/>
        </w:rPr>
        <w:tab/>
      </w:r>
      <w:r w:rsidR="003D19F7" w:rsidRPr="009B19F4">
        <w:rPr>
          <w:sz w:val="22"/>
          <w:szCs w:val="22"/>
        </w:rPr>
        <w:tab/>
      </w:r>
      <w:r w:rsidR="003D19F7" w:rsidRPr="009B19F4">
        <w:rPr>
          <w:sz w:val="22"/>
          <w:szCs w:val="22"/>
        </w:rPr>
        <w:tab/>
      </w:r>
      <w:r w:rsidR="004D716B">
        <w:rPr>
          <w:sz w:val="22"/>
          <w:szCs w:val="22"/>
        </w:rPr>
        <w:tab/>
      </w:r>
      <w:r w:rsidR="003D19F7" w:rsidRPr="009B19F4">
        <w:rPr>
          <w:sz w:val="22"/>
          <w:szCs w:val="22"/>
        </w:rPr>
        <w:tab/>
      </w:r>
      <w:r w:rsidRPr="009B19F4">
        <w:rPr>
          <w:b/>
          <w:sz w:val="22"/>
          <w:szCs w:val="22"/>
        </w:rPr>
        <w:t>123 Kneser Lane</w:t>
      </w:r>
    </w:p>
    <w:p w:rsidR="007C4103" w:rsidRPr="009B19F4" w:rsidRDefault="007C4103" w:rsidP="007C4103">
      <w:pPr>
        <w:jc w:val="both"/>
        <w:rPr>
          <w:sz w:val="22"/>
          <w:szCs w:val="22"/>
        </w:rPr>
      </w:pPr>
      <w:r w:rsidRPr="009B19F4">
        <w:rPr>
          <w:b/>
          <w:sz w:val="22"/>
          <w:szCs w:val="22"/>
        </w:rPr>
        <w:t>Houlton, Maine</w:t>
      </w:r>
      <w:r w:rsidRPr="009B19F4">
        <w:rPr>
          <w:sz w:val="22"/>
          <w:szCs w:val="22"/>
        </w:rPr>
        <w:tab/>
      </w:r>
      <w:r w:rsidRPr="009B19F4">
        <w:rPr>
          <w:sz w:val="22"/>
          <w:szCs w:val="22"/>
        </w:rPr>
        <w:tab/>
      </w:r>
      <w:r w:rsidR="003D19F7" w:rsidRPr="009B19F4">
        <w:rPr>
          <w:sz w:val="22"/>
          <w:szCs w:val="22"/>
        </w:rPr>
        <w:tab/>
      </w:r>
      <w:r w:rsidR="003D19F7" w:rsidRPr="009B19F4">
        <w:rPr>
          <w:sz w:val="22"/>
          <w:szCs w:val="22"/>
        </w:rPr>
        <w:tab/>
      </w:r>
      <w:r w:rsidR="003D19F7" w:rsidRPr="009B19F4">
        <w:rPr>
          <w:sz w:val="22"/>
          <w:szCs w:val="22"/>
        </w:rPr>
        <w:tab/>
      </w:r>
      <w:r w:rsidRPr="009B19F4">
        <w:rPr>
          <w:sz w:val="22"/>
          <w:szCs w:val="22"/>
        </w:rPr>
        <w:tab/>
      </w:r>
      <w:r w:rsidRPr="009B19F4">
        <w:rPr>
          <w:sz w:val="22"/>
          <w:szCs w:val="22"/>
        </w:rPr>
        <w:tab/>
      </w:r>
      <w:r w:rsidRPr="009B19F4">
        <w:rPr>
          <w:sz w:val="22"/>
          <w:szCs w:val="22"/>
        </w:rPr>
        <w:tab/>
      </w:r>
      <w:r w:rsidRPr="009B19F4">
        <w:rPr>
          <w:b/>
          <w:sz w:val="22"/>
          <w:szCs w:val="22"/>
        </w:rPr>
        <w:t>Danforth, Maine</w:t>
      </w:r>
    </w:p>
    <w:p w:rsidR="007C4103" w:rsidRPr="009B19F4" w:rsidRDefault="007C4103" w:rsidP="007C4103">
      <w:pPr>
        <w:jc w:val="both"/>
        <w:rPr>
          <w:i/>
          <w:sz w:val="22"/>
          <w:szCs w:val="22"/>
        </w:rPr>
      </w:pPr>
      <w:r w:rsidRPr="009B19F4">
        <w:rPr>
          <w:i/>
          <w:sz w:val="22"/>
          <w:szCs w:val="22"/>
        </w:rPr>
        <w:t>Brenda Brown</w:t>
      </w:r>
      <w:r w:rsidRPr="009B19F4">
        <w:rPr>
          <w:i/>
          <w:sz w:val="22"/>
          <w:szCs w:val="22"/>
        </w:rPr>
        <w:tab/>
      </w:r>
      <w:r w:rsidRPr="009B19F4">
        <w:rPr>
          <w:i/>
          <w:sz w:val="22"/>
          <w:szCs w:val="22"/>
        </w:rPr>
        <w:tab/>
      </w:r>
      <w:r w:rsidR="003D19F7" w:rsidRPr="009B19F4">
        <w:rPr>
          <w:i/>
          <w:sz w:val="22"/>
          <w:szCs w:val="22"/>
        </w:rPr>
        <w:tab/>
      </w:r>
      <w:r w:rsidRPr="009B19F4">
        <w:rPr>
          <w:i/>
          <w:sz w:val="22"/>
          <w:szCs w:val="22"/>
        </w:rPr>
        <w:t>100%</w:t>
      </w:r>
      <w:r w:rsidRPr="009B19F4">
        <w:rPr>
          <w:i/>
          <w:sz w:val="22"/>
          <w:szCs w:val="22"/>
        </w:rPr>
        <w:tab/>
      </w:r>
      <w:r w:rsidRPr="009B19F4">
        <w:rPr>
          <w:i/>
          <w:sz w:val="22"/>
          <w:szCs w:val="22"/>
        </w:rPr>
        <w:tab/>
      </w:r>
      <w:r w:rsidR="003D19F7" w:rsidRPr="009B19F4">
        <w:rPr>
          <w:i/>
          <w:sz w:val="22"/>
          <w:szCs w:val="22"/>
        </w:rPr>
        <w:tab/>
      </w:r>
      <w:r w:rsidR="003D19F7" w:rsidRPr="009B19F4">
        <w:rPr>
          <w:i/>
          <w:sz w:val="22"/>
          <w:szCs w:val="22"/>
        </w:rPr>
        <w:tab/>
      </w:r>
      <w:r w:rsidR="004D716B">
        <w:rPr>
          <w:i/>
          <w:sz w:val="22"/>
          <w:szCs w:val="22"/>
        </w:rPr>
        <w:tab/>
      </w:r>
      <w:r w:rsidRPr="009B19F4">
        <w:rPr>
          <w:i/>
          <w:sz w:val="22"/>
          <w:szCs w:val="22"/>
        </w:rPr>
        <w:t>Brenda Brown</w:t>
      </w:r>
      <w:r w:rsidRPr="009B19F4">
        <w:rPr>
          <w:i/>
          <w:sz w:val="22"/>
          <w:szCs w:val="22"/>
        </w:rPr>
        <w:tab/>
      </w:r>
      <w:r w:rsidRPr="009B19F4">
        <w:rPr>
          <w:i/>
          <w:sz w:val="22"/>
          <w:szCs w:val="22"/>
        </w:rPr>
        <w:tab/>
        <w:t>100%</w:t>
      </w:r>
    </w:p>
    <w:p w:rsidR="007C4103" w:rsidRPr="006B35F7" w:rsidRDefault="007C4103" w:rsidP="007C4103">
      <w:pPr>
        <w:jc w:val="both"/>
        <w:rPr>
          <w:i/>
          <w:sz w:val="16"/>
          <w:szCs w:val="16"/>
        </w:rPr>
      </w:pPr>
    </w:p>
    <w:p w:rsidR="007C4103" w:rsidRPr="009B19F4" w:rsidRDefault="007C4103" w:rsidP="007C4103">
      <w:pPr>
        <w:jc w:val="both"/>
        <w:rPr>
          <w:b/>
          <w:sz w:val="22"/>
          <w:szCs w:val="22"/>
        </w:rPr>
      </w:pPr>
      <w:r w:rsidRPr="009B19F4">
        <w:rPr>
          <w:b/>
          <w:sz w:val="22"/>
          <w:szCs w:val="22"/>
        </w:rPr>
        <w:t>Lee Apartments</w:t>
      </w:r>
      <w:r w:rsidRPr="009B19F4">
        <w:rPr>
          <w:b/>
          <w:sz w:val="22"/>
          <w:szCs w:val="22"/>
        </w:rPr>
        <w:tab/>
      </w:r>
      <w:r w:rsidRPr="009B19F4">
        <w:rPr>
          <w:b/>
          <w:sz w:val="22"/>
          <w:szCs w:val="22"/>
        </w:rPr>
        <w:tab/>
      </w:r>
      <w:r w:rsidRPr="009B19F4">
        <w:rPr>
          <w:b/>
          <w:sz w:val="22"/>
          <w:szCs w:val="22"/>
        </w:rPr>
        <w:tab/>
      </w:r>
      <w:r w:rsidRPr="009B19F4">
        <w:rPr>
          <w:b/>
          <w:sz w:val="22"/>
          <w:szCs w:val="22"/>
        </w:rPr>
        <w:tab/>
      </w:r>
      <w:r w:rsidR="003D19F7" w:rsidRPr="009B19F4">
        <w:rPr>
          <w:b/>
          <w:sz w:val="22"/>
          <w:szCs w:val="22"/>
        </w:rPr>
        <w:tab/>
      </w:r>
      <w:r w:rsidR="003D19F7" w:rsidRPr="009B19F4">
        <w:rPr>
          <w:b/>
          <w:sz w:val="22"/>
          <w:szCs w:val="22"/>
        </w:rPr>
        <w:tab/>
      </w:r>
      <w:r w:rsidR="003D19F7" w:rsidRPr="009B19F4">
        <w:rPr>
          <w:b/>
          <w:sz w:val="22"/>
          <w:szCs w:val="22"/>
        </w:rPr>
        <w:tab/>
      </w:r>
      <w:r w:rsidRPr="009B19F4">
        <w:rPr>
          <w:b/>
          <w:sz w:val="22"/>
          <w:szCs w:val="22"/>
        </w:rPr>
        <w:tab/>
        <w:t>Brown Development, LLC</w:t>
      </w:r>
    </w:p>
    <w:p w:rsidR="007C4103" w:rsidRPr="009B19F4" w:rsidRDefault="007C4103" w:rsidP="007C4103">
      <w:pPr>
        <w:jc w:val="both"/>
        <w:rPr>
          <w:b/>
          <w:sz w:val="22"/>
          <w:szCs w:val="22"/>
        </w:rPr>
      </w:pPr>
      <w:r w:rsidRPr="009B19F4">
        <w:rPr>
          <w:b/>
          <w:sz w:val="22"/>
          <w:szCs w:val="22"/>
        </w:rPr>
        <w:t>93 Military Street</w:t>
      </w:r>
      <w:r w:rsidRPr="009B19F4">
        <w:rPr>
          <w:b/>
          <w:sz w:val="22"/>
          <w:szCs w:val="22"/>
        </w:rPr>
        <w:tab/>
      </w:r>
      <w:r w:rsidRPr="009B19F4">
        <w:rPr>
          <w:b/>
          <w:sz w:val="22"/>
          <w:szCs w:val="22"/>
        </w:rPr>
        <w:tab/>
      </w:r>
      <w:r w:rsidRPr="009B19F4">
        <w:rPr>
          <w:b/>
          <w:sz w:val="22"/>
          <w:szCs w:val="22"/>
        </w:rPr>
        <w:tab/>
      </w:r>
      <w:r w:rsidRPr="009B19F4">
        <w:rPr>
          <w:b/>
          <w:sz w:val="22"/>
          <w:szCs w:val="22"/>
        </w:rPr>
        <w:tab/>
      </w:r>
      <w:r w:rsidR="003D19F7" w:rsidRPr="009B19F4">
        <w:rPr>
          <w:b/>
          <w:sz w:val="22"/>
          <w:szCs w:val="22"/>
        </w:rPr>
        <w:tab/>
      </w:r>
      <w:r w:rsidR="003D19F7" w:rsidRPr="009B19F4">
        <w:rPr>
          <w:b/>
          <w:sz w:val="22"/>
          <w:szCs w:val="22"/>
        </w:rPr>
        <w:tab/>
      </w:r>
      <w:r w:rsidR="003D19F7" w:rsidRPr="009B19F4">
        <w:rPr>
          <w:b/>
          <w:sz w:val="22"/>
          <w:szCs w:val="22"/>
        </w:rPr>
        <w:tab/>
      </w:r>
      <w:r w:rsidR="004D716B">
        <w:rPr>
          <w:b/>
          <w:sz w:val="22"/>
          <w:szCs w:val="22"/>
        </w:rPr>
        <w:tab/>
      </w:r>
      <w:r w:rsidRPr="009B19F4">
        <w:rPr>
          <w:b/>
          <w:sz w:val="22"/>
          <w:szCs w:val="22"/>
        </w:rPr>
        <w:t>68 Bangor Street</w:t>
      </w:r>
    </w:p>
    <w:p w:rsidR="007D1BD3" w:rsidRPr="009B19F4" w:rsidRDefault="007C4103" w:rsidP="007C4103">
      <w:pPr>
        <w:jc w:val="both"/>
        <w:rPr>
          <w:b/>
          <w:sz w:val="22"/>
          <w:szCs w:val="22"/>
        </w:rPr>
      </w:pPr>
      <w:r w:rsidRPr="009B19F4">
        <w:rPr>
          <w:b/>
          <w:sz w:val="22"/>
          <w:szCs w:val="22"/>
        </w:rPr>
        <w:t>Houlton, Maine</w:t>
      </w:r>
      <w:r w:rsidRPr="009B19F4">
        <w:rPr>
          <w:b/>
          <w:sz w:val="22"/>
          <w:szCs w:val="22"/>
        </w:rPr>
        <w:tab/>
      </w:r>
      <w:r w:rsidRPr="009B19F4">
        <w:rPr>
          <w:b/>
          <w:sz w:val="22"/>
          <w:szCs w:val="22"/>
        </w:rPr>
        <w:tab/>
      </w:r>
      <w:r w:rsidRPr="009B19F4">
        <w:rPr>
          <w:b/>
          <w:sz w:val="22"/>
          <w:szCs w:val="22"/>
        </w:rPr>
        <w:tab/>
      </w:r>
      <w:r w:rsidRPr="009B19F4">
        <w:rPr>
          <w:b/>
          <w:sz w:val="22"/>
          <w:szCs w:val="22"/>
        </w:rPr>
        <w:tab/>
      </w:r>
      <w:r w:rsidR="003D19F7" w:rsidRPr="009B19F4">
        <w:rPr>
          <w:b/>
          <w:sz w:val="22"/>
          <w:szCs w:val="22"/>
        </w:rPr>
        <w:tab/>
      </w:r>
      <w:r w:rsidR="003D19F7" w:rsidRPr="009B19F4">
        <w:rPr>
          <w:b/>
          <w:sz w:val="22"/>
          <w:szCs w:val="22"/>
        </w:rPr>
        <w:tab/>
      </w:r>
      <w:r w:rsidR="003D19F7" w:rsidRPr="009B19F4">
        <w:rPr>
          <w:b/>
          <w:sz w:val="22"/>
          <w:szCs w:val="22"/>
        </w:rPr>
        <w:tab/>
      </w:r>
      <w:r w:rsidRPr="009B19F4">
        <w:rPr>
          <w:b/>
          <w:sz w:val="22"/>
          <w:szCs w:val="22"/>
        </w:rPr>
        <w:tab/>
      </w:r>
    </w:p>
    <w:p w:rsidR="007C4103" w:rsidRPr="009B19F4" w:rsidRDefault="007C4103" w:rsidP="007C4103">
      <w:pPr>
        <w:jc w:val="both"/>
        <w:rPr>
          <w:b/>
          <w:sz w:val="22"/>
          <w:szCs w:val="22"/>
        </w:rPr>
      </w:pPr>
      <w:r w:rsidRPr="009B19F4">
        <w:rPr>
          <w:b/>
          <w:sz w:val="22"/>
          <w:szCs w:val="22"/>
        </w:rPr>
        <w:t>Houlton, Maine</w:t>
      </w:r>
    </w:p>
    <w:p w:rsidR="007C4103" w:rsidRPr="009B19F4" w:rsidRDefault="007C4103" w:rsidP="007C4103">
      <w:pPr>
        <w:jc w:val="both"/>
        <w:rPr>
          <w:i/>
          <w:sz w:val="22"/>
          <w:szCs w:val="22"/>
        </w:rPr>
      </w:pPr>
      <w:r w:rsidRPr="009B19F4">
        <w:rPr>
          <w:i/>
          <w:sz w:val="22"/>
          <w:szCs w:val="22"/>
        </w:rPr>
        <w:t>Brenda Brown</w:t>
      </w:r>
      <w:r w:rsidRPr="009B19F4">
        <w:rPr>
          <w:i/>
          <w:sz w:val="22"/>
          <w:szCs w:val="22"/>
        </w:rPr>
        <w:tab/>
      </w:r>
      <w:r w:rsidRPr="009B19F4">
        <w:rPr>
          <w:i/>
          <w:sz w:val="22"/>
          <w:szCs w:val="22"/>
        </w:rPr>
        <w:tab/>
      </w:r>
      <w:r w:rsidR="003D19F7" w:rsidRPr="009B19F4">
        <w:rPr>
          <w:i/>
          <w:sz w:val="22"/>
          <w:szCs w:val="22"/>
        </w:rPr>
        <w:tab/>
      </w:r>
      <w:r w:rsidRPr="009B19F4">
        <w:rPr>
          <w:i/>
          <w:sz w:val="22"/>
          <w:szCs w:val="22"/>
        </w:rPr>
        <w:t>100%</w:t>
      </w:r>
      <w:r w:rsidRPr="009B19F4">
        <w:rPr>
          <w:i/>
          <w:sz w:val="22"/>
          <w:szCs w:val="22"/>
        </w:rPr>
        <w:tab/>
      </w:r>
      <w:r w:rsidRPr="009B19F4">
        <w:rPr>
          <w:i/>
          <w:sz w:val="22"/>
          <w:szCs w:val="22"/>
        </w:rPr>
        <w:tab/>
      </w:r>
      <w:r w:rsidR="003D19F7" w:rsidRPr="009B19F4">
        <w:rPr>
          <w:i/>
          <w:sz w:val="22"/>
          <w:szCs w:val="22"/>
        </w:rPr>
        <w:tab/>
      </w:r>
      <w:r w:rsidR="004D716B">
        <w:rPr>
          <w:i/>
          <w:sz w:val="22"/>
          <w:szCs w:val="22"/>
        </w:rPr>
        <w:tab/>
      </w:r>
      <w:r w:rsidR="003D19F7" w:rsidRPr="009B19F4">
        <w:rPr>
          <w:i/>
          <w:sz w:val="22"/>
          <w:szCs w:val="22"/>
        </w:rPr>
        <w:tab/>
      </w:r>
      <w:r w:rsidRPr="009B19F4">
        <w:rPr>
          <w:i/>
          <w:sz w:val="22"/>
          <w:szCs w:val="22"/>
        </w:rPr>
        <w:t>James Brown</w:t>
      </w:r>
      <w:r w:rsidRPr="009B19F4">
        <w:rPr>
          <w:i/>
          <w:sz w:val="22"/>
          <w:szCs w:val="22"/>
        </w:rPr>
        <w:tab/>
      </w:r>
      <w:r w:rsidRPr="009B19F4">
        <w:rPr>
          <w:i/>
          <w:sz w:val="22"/>
          <w:szCs w:val="22"/>
        </w:rPr>
        <w:tab/>
        <w:t>100%</w:t>
      </w:r>
      <w:r w:rsidR="003D19F7" w:rsidRPr="009B19F4">
        <w:rPr>
          <w:i/>
          <w:sz w:val="22"/>
          <w:szCs w:val="22"/>
        </w:rPr>
        <w:t>”</w:t>
      </w:r>
    </w:p>
    <w:p w:rsidR="007C4103" w:rsidRPr="006B35F7" w:rsidRDefault="007C4103" w:rsidP="007C4103">
      <w:pPr>
        <w:jc w:val="both"/>
        <w:rPr>
          <w:sz w:val="16"/>
          <w:szCs w:val="16"/>
        </w:rPr>
      </w:pPr>
    </w:p>
    <w:p w:rsidR="007C4103" w:rsidRPr="004D716B" w:rsidRDefault="003D19F7" w:rsidP="007C4103">
      <w:pPr>
        <w:jc w:val="both"/>
        <w:rPr>
          <w:sz w:val="22"/>
          <w:szCs w:val="22"/>
        </w:rPr>
      </w:pPr>
      <w:r w:rsidRPr="004D716B">
        <w:rPr>
          <w:sz w:val="22"/>
          <w:szCs w:val="22"/>
        </w:rPr>
        <w:t>“</w:t>
      </w:r>
      <w:r w:rsidR="007C4103" w:rsidRPr="004D716B">
        <w:rPr>
          <w:sz w:val="22"/>
          <w:szCs w:val="22"/>
        </w:rPr>
        <w:t>Medicare Compare Rating Under Five Star System</w:t>
      </w:r>
      <w:r w:rsidRPr="004D716B">
        <w:rPr>
          <w:sz w:val="22"/>
          <w:szCs w:val="22"/>
        </w:rPr>
        <w:t>”</w:t>
      </w:r>
    </w:p>
    <w:p w:rsidR="007C4103" w:rsidRPr="006B35F7" w:rsidRDefault="007C4103" w:rsidP="007C4103">
      <w:pPr>
        <w:jc w:val="both"/>
        <w:rPr>
          <w:sz w:val="16"/>
          <w:szCs w:val="16"/>
        </w:rPr>
      </w:pPr>
    </w:p>
    <w:p w:rsidR="007C4103" w:rsidRPr="009B19F4" w:rsidRDefault="003D19F7" w:rsidP="007C4103">
      <w:pPr>
        <w:jc w:val="both"/>
        <w:rPr>
          <w:sz w:val="22"/>
          <w:szCs w:val="22"/>
        </w:rPr>
      </w:pPr>
      <w:r w:rsidRPr="009B19F4">
        <w:rPr>
          <w:sz w:val="22"/>
          <w:szCs w:val="22"/>
        </w:rPr>
        <w:t>“</w:t>
      </w:r>
      <w:r w:rsidR="007C4103" w:rsidRPr="009B19F4">
        <w:rPr>
          <w:sz w:val="22"/>
          <w:szCs w:val="22"/>
        </w:rPr>
        <w:t>Quality is important to us and our residents. MGNH has maintained an excellent reputation within the community and has provided excellent quality care to its residents. The facility is rated by the Centers for Medicare and Medicaid Services’ (CMS’) Five Star Rating system as receiving 5 stars for overall care as shown below:</w:t>
      </w:r>
    </w:p>
    <w:p w:rsidR="007C4103" w:rsidRPr="006B35F7" w:rsidRDefault="007C4103" w:rsidP="007C4103">
      <w:pPr>
        <w:jc w:val="both"/>
        <w:rPr>
          <w:sz w:val="16"/>
          <w:szCs w:val="16"/>
        </w:rPr>
      </w:pPr>
    </w:p>
    <w:p w:rsidR="007C4103" w:rsidRPr="009B19F4" w:rsidRDefault="007C4103" w:rsidP="009B19F4">
      <w:pPr>
        <w:rPr>
          <w:b/>
          <w:sz w:val="22"/>
          <w:szCs w:val="22"/>
          <w:lang w:val="en"/>
        </w:rPr>
      </w:pPr>
      <w:r w:rsidRPr="009B19F4">
        <w:rPr>
          <w:b/>
          <w:sz w:val="22"/>
          <w:szCs w:val="22"/>
          <w:lang w:val="en"/>
        </w:rPr>
        <w:t>CMS Star Rating Summary</w:t>
      </w:r>
    </w:p>
    <w:p w:rsidR="007C4103" w:rsidRPr="009B19F4" w:rsidRDefault="007C4103" w:rsidP="009B19F4">
      <w:pPr>
        <w:ind w:left="288" w:firstLine="432"/>
        <w:rPr>
          <w:sz w:val="22"/>
          <w:szCs w:val="22"/>
          <w:lang w:val="en"/>
        </w:rPr>
      </w:pPr>
      <w:r w:rsidRPr="009B19F4">
        <w:rPr>
          <w:b/>
          <w:sz w:val="22"/>
          <w:szCs w:val="22"/>
          <w:lang w:val="en"/>
        </w:rPr>
        <w:t>Overall Rating</w:t>
      </w:r>
      <w:r w:rsidRPr="009B19F4">
        <w:rPr>
          <w:sz w:val="22"/>
          <w:szCs w:val="22"/>
        </w:rPr>
        <w:tab/>
      </w:r>
      <w:r w:rsidRPr="009B19F4">
        <w:rPr>
          <w:sz w:val="22"/>
          <w:szCs w:val="22"/>
        </w:rPr>
        <w:tab/>
      </w:r>
      <w:r w:rsidRPr="009B19F4">
        <w:rPr>
          <w:sz w:val="22"/>
          <w:szCs w:val="22"/>
        </w:rPr>
        <w:tab/>
      </w:r>
      <w:r w:rsidR="003D19F7" w:rsidRPr="009B19F4">
        <w:rPr>
          <w:sz w:val="22"/>
          <w:szCs w:val="22"/>
        </w:rPr>
        <w:tab/>
      </w:r>
      <w:r w:rsidR="003D19F7" w:rsidRPr="009B19F4">
        <w:rPr>
          <w:sz w:val="22"/>
          <w:szCs w:val="22"/>
        </w:rPr>
        <w:tab/>
      </w:r>
      <w:r w:rsidRPr="009B19F4">
        <w:rPr>
          <w:noProof/>
          <w:sz w:val="22"/>
          <w:szCs w:val="22"/>
        </w:rPr>
        <w:drawing>
          <wp:inline distT="0" distB="0" distL="0" distR="0" wp14:anchorId="4450EDF2" wp14:editId="6FC5310E">
            <wp:extent cx="615315" cy="114300"/>
            <wp:effectExtent l="0" t="0" r="0" b="0"/>
            <wp:docPr id="5" name="Picture 5" descr="Five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ve star ra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 cy="114300"/>
                    </a:xfrm>
                    <a:prstGeom prst="rect">
                      <a:avLst/>
                    </a:prstGeom>
                    <a:noFill/>
                    <a:ln>
                      <a:noFill/>
                    </a:ln>
                  </pic:spPr>
                </pic:pic>
              </a:graphicData>
            </a:graphic>
          </wp:inline>
        </w:drawing>
      </w:r>
      <w:r w:rsidRPr="009B19F4">
        <w:rPr>
          <w:noProof/>
          <w:sz w:val="22"/>
          <w:szCs w:val="22"/>
        </w:rPr>
        <w:t xml:space="preserve"> </w:t>
      </w:r>
      <w:r w:rsidRPr="009B19F4">
        <w:rPr>
          <w:noProof/>
          <w:sz w:val="22"/>
          <w:szCs w:val="22"/>
        </w:rPr>
        <w:tab/>
      </w:r>
      <w:r w:rsidR="003D19F7" w:rsidRPr="009B19F4">
        <w:rPr>
          <w:noProof/>
          <w:sz w:val="22"/>
          <w:szCs w:val="22"/>
        </w:rPr>
        <w:tab/>
      </w:r>
      <w:r w:rsidRPr="009B19F4">
        <w:rPr>
          <w:sz w:val="22"/>
          <w:szCs w:val="22"/>
          <w:lang w:val="en"/>
        </w:rPr>
        <w:t xml:space="preserve">Much </w:t>
      </w:r>
      <w:proofErr w:type="gramStart"/>
      <w:r w:rsidRPr="009B19F4">
        <w:rPr>
          <w:sz w:val="22"/>
          <w:szCs w:val="22"/>
          <w:lang w:val="en"/>
        </w:rPr>
        <w:t>Above</w:t>
      </w:r>
      <w:proofErr w:type="gramEnd"/>
      <w:r w:rsidRPr="009B19F4">
        <w:rPr>
          <w:sz w:val="22"/>
          <w:szCs w:val="22"/>
          <w:lang w:val="en"/>
        </w:rPr>
        <w:t xml:space="preserve"> Average</w:t>
      </w:r>
    </w:p>
    <w:p w:rsidR="007C4103" w:rsidRPr="009B19F4" w:rsidRDefault="007C4103" w:rsidP="007C4103">
      <w:pPr>
        <w:shd w:val="clear" w:color="auto" w:fill="FFFFFF"/>
        <w:ind w:firstLine="720"/>
        <w:jc w:val="both"/>
        <w:rPr>
          <w:b/>
          <w:bCs/>
          <w:color w:val="000000"/>
          <w:sz w:val="22"/>
          <w:szCs w:val="22"/>
          <w:lang w:val="en"/>
        </w:rPr>
      </w:pPr>
      <w:r w:rsidRPr="009B19F4">
        <w:rPr>
          <w:b/>
          <w:bCs/>
          <w:color w:val="000000"/>
          <w:sz w:val="22"/>
          <w:szCs w:val="22"/>
          <w:lang w:val="en"/>
        </w:rPr>
        <w:t xml:space="preserve">Health Inspection </w:t>
      </w:r>
      <w:r w:rsidRPr="009B19F4">
        <w:rPr>
          <w:b/>
          <w:bCs/>
          <w:color w:val="000000"/>
          <w:sz w:val="22"/>
          <w:szCs w:val="22"/>
          <w:lang w:val="en"/>
        </w:rPr>
        <w:tab/>
      </w:r>
      <w:r w:rsidRPr="009B19F4">
        <w:rPr>
          <w:b/>
          <w:bCs/>
          <w:color w:val="000000"/>
          <w:sz w:val="22"/>
          <w:szCs w:val="22"/>
          <w:lang w:val="en"/>
        </w:rPr>
        <w:tab/>
      </w:r>
      <w:r w:rsidR="003D19F7" w:rsidRPr="009B19F4">
        <w:rPr>
          <w:b/>
          <w:bCs/>
          <w:color w:val="000000"/>
          <w:sz w:val="22"/>
          <w:szCs w:val="22"/>
          <w:lang w:val="en"/>
        </w:rPr>
        <w:tab/>
      </w:r>
      <w:r w:rsidRPr="009B19F4">
        <w:rPr>
          <w:b/>
          <w:bCs/>
          <w:color w:val="000000"/>
          <w:sz w:val="22"/>
          <w:szCs w:val="22"/>
          <w:lang w:val="en"/>
        </w:rPr>
        <w:tab/>
      </w:r>
      <w:r w:rsidRPr="009B19F4">
        <w:rPr>
          <w:b/>
          <w:noProof/>
          <w:color w:val="000000"/>
          <w:sz w:val="22"/>
          <w:szCs w:val="22"/>
        </w:rPr>
        <w:drawing>
          <wp:inline distT="0" distB="0" distL="0" distR="0" wp14:anchorId="7AF7E59C" wp14:editId="133097B9">
            <wp:extent cx="615315" cy="114300"/>
            <wp:effectExtent l="0" t="0" r="0" b="0"/>
            <wp:docPr id="4" name="Picture 4" descr="Three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 star ra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315" cy="114300"/>
                    </a:xfrm>
                    <a:prstGeom prst="rect">
                      <a:avLst/>
                    </a:prstGeom>
                    <a:noFill/>
                    <a:ln>
                      <a:noFill/>
                    </a:ln>
                  </pic:spPr>
                </pic:pic>
              </a:graphicData>
            </a:graphic>
          </wp:inline>
        </w:drawing>
      </w:r>
      <w:r w:rsidRPr="009B19F4">
        <w:rPr>
          <w:b/>
          <w:noProof/>
          <w:color w:val="000000"/>
          <w:sz w:val="22"/>
          <w:szCs w:val="22"/>
        </w:rPr>
        <w:t xml:space="preserve"> </w:t>
      </w:r>
      <w:r w:rsidRPr="009B19F4">
        <w:rPr>
          <w:b/>
          <w:noProof/>
          <w:color w:val="000000"/>
          <w:sz w:val="22"/>
          <w:szCs w:val="22"/>
        </w:rPr>
        <w:tab/>
      </w:r>
      <w:r w:rsidR="003D19F7" w:rsidRPr="009B19F4">
        <w:rPr>
          <w:b/>
          <w:noProof/>
          <w:color w:val="000000"/>
          <w:sz w:val="22"/>
          <w:szCs w:val="22"/>
        </w:rPr>
        <w:tab/>
      </w:r>
      <w:r w:rsidRPr="009B19F4">
        <w:rPr>
          <w:b/>
          <w:bCs/>
          <w:color w:val="000000"/>
          <w:sz w:val="22"/>
          <w:szCs w:val="22"/>
          <w:lang w:val="en"/>
        </w:rPr>
        <w:t>Average</w:t>
      </w:r>
    </w:p>
    <w:p w:rsidR="007C4103" w:rsidRPr="009B19F4" w:rsidRDefault="007C4103" w:rsidP="007C4103">
      <w:pPr>
        <w:shd w:val="clear" w:color="auto" w:fill="FFFFFF"/>
        <w:ind w:firstLine="720"/>
        <w:jc w:val="both"/>
        <w:rPr>
          <w:b/>
          <w:bCs/>
          <w:color w:val="000000"/>
          <w:sz w:val="22"/>
          <w:szCs w:val="22"/>
          <w:lang w:val="en"/>
        </w:rPr>
      </w:pPr>
      <w:r w:rsidRPr="009B19F4">
        <w:rPr>
          <w:b/>
          <w:bCs/>
          <w:color w:val="000000"/>
          <w:sz w:val="22"/>
          <w:szCs w:val="22"/>
          <w:lang w:val="en"/>
        </w:rPr>
        <w:t xml:space="preserve">Staffing </w:t>
      </w:r>
      <w:r w:rsidRPr="009B19F4">
        <w:rPr>
          <w:b/>
          <w:bCs/>
          <w:color w:val="000000"/>
          <w:sz w:val="22"/>
          <w:szCs w:val="22"/>
          <w:lang w:val="en"/>
        </w:rPr>
        <w:tab/>
      </w:r>
      <w:r w:rsidRPr="009B19F4">
        <w:rPr>
          <w:b/>
          <w:bCs/>
          <w:color w:val="000000"/>
          <w:sz w:val="22"/>
          <w:szCs w:val="22"/>
          <w:lang w:val="en"/>
        </w:rPr>
        <w:tab/>
      </w:r>
      <w:r w:rsidRPr="009B19F4">
        <w:rPr>
          <w:b/>
          <w:bCs/>
          <w:color w:val="000000"/>
          <w:sz w:val="22"/>
          <w:szCs w:val="22"/>
          <w:lang w:val="en"/>
        </w:rPr>
        <w:tab/>
      </w:r>
      <w:r w:rsidRPr="009B19F4">
        <w:rPr>
          <w:b/>
          <w:bCs/>
          <w:color w:val="000000"/>
          <w:sz w:val="22"/>
          <w:szCs w:val="22"/>
          <w:lang w:val="en"/>
        </w:rPr>
        <w:tab/>
      </w:r>
      <w:r w:rsidR="003D19F7" w:rsidRPr="009B19F4">
        <w:rPr>
          <w:b/>
          <w:bCs/>
          <w:color w:val="000000"/>
          <w:sz w:val="22"/>
          <w:szCs w:val="22"/>
          <w:lang w:val="en"/>
        </w:rPr>
        <w:tab/>
      </w:r>
      <w:r w:rsidR="003D19F7" w:rsidRPr="009B19F4">
        <w:rPr>
          <w:b/>
          <w:bCs/>
          <w:color w:val="000000"/>
          <w:sz w:val="22"/>
          <w:szCs w:val="22"/>
          <w:lang w:val="en"/>
        </w:rPr>
        <w:tab/>
      </w:r>
      <w:r w:rsidRPr="009B19F4">
        <w:rPr>
          <w:b/>
          <w:noProof/>
          <w:color w:val="000000"/>
          <w:sz w:val="22"/>
          <w:szCs w:val="22"/>
        </w:rPr>
        <w:drawing>
          <wp:inline distT="0" distB="0" distL="0" distR="0" wp14:anchorId="4A394609" wp14:editId="12409918">
            <wp:extent cx="615315" cy="114300"/>
            <wp:effectExtent l="0" t="0" r="0" b="0"/>
            <wp:docPr id="3" name="Picture 3" descr="Four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r star ra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315" cy="114300"/>
                    </a:xfrm>
                    <a:prstGeom prst="rect">
                      <a:avLst/>
                    </a:prstGeom>
                    <a:noFill/>
                    <a:ln>
                      <a:noFill/>
                    </a:ln>
                  </pic:spPr>
                </pic:pic>
              </a:graphicData>
            </a:graphic>
          </wp:inline>
        </w:drawing>
      </w:r>
      <w:r w:rsidRPr="009B19F4">
        <w:rPr>
          <w:b/>
          <w:noProof/>
          <w:color w:val="000000"/>
          <w:sz w:val="22"/>
          <w:szCs w:val="22"/>
        </w:rPr>
        <w:tab/>
      </w:r>
      <w:r w:rsidR="003D19F7" w:rsidRPr="009B19F4">
        <w:rPr>
          <w:b/>
          <w:noProof/>
          <w:color w:val="000000"/>
          <w:sz w:val="22"/>
          <w:szCs w:val="22"/>
        </w:rPr>
        <w:tab/>
      </w:r>
      <w:r w:rsidRPr="009B19F4">
        <w:rPr>
          <w:b/>
          <w:bCs/>
          <w:color w:val="000000"/>
          <w:sz w:val="22"/>
          <w:szCs w:val="22"/>
          <w:lang w:val="en"/>
        </w:rPr>
        <w:t>Above Average</w:t>
      </w:r>
    </w:p>
    <w:p w:rsidR="007C4103" w:rsidRPr="009B19F4" w:rsidRDefault="007C4103" w:rsidP="009B19F4">
      <w:pPr>
        <w:ind w:left="288" w:firstLine="432"/>
        <w:rPr>
          <w:sz w:val="22"/>
          <w:szCs w:val="22"/>
          <w:lang w:val="en"/>
        </w:rPr>
      </w:pPr>
      <w:r w:rsidRPr="009B19F4">
        <w:rPr>
          <w:b/>
          <w:sz w:val="22"/>
          <w:szCs w:val="22"/>
          <w:lang w:val="en"/>
        </w:rPr>
        <w:t>Quality Measures</w:t>
      </w:r>
      <w:r w:rsidRPr="009B19F4">
        <w:rPr>
          <w:sz w:val="22"/>
          <w:szCs w:val="22"/>
          <w:lang w:val="en"/>
        </w:rPr>
        <w:t xml:space="preserve"> </w:t>
      </w:r>
      <w:r w:rsidRPr="009B19F4">
        <w:rPr>
          <w:sz w:val="22"/>
          <w:szCs w:val="22"/>
          <w:lang w:val="en"/>
        </w:rPr>
        <w:tab/>
      </w:r>
      <w:r w:rsidRPr="009B19F4">
        <w:rPr>
          <w:sz w:val="22"/>
          <w:szCs w:val="22"/>
          <w:lang w:val="en"/>
        </w:rPr>
        <w:tab/>
      </w:r>
      <w:r w:rsidR="003D19F7" w:rsidRPr="009B19F4">
        <w:rPr>
          <w:sz w:val="22"/>
          <w:szCs w:val="22"/>
          <w:lang w:val="en"/>
        </w:rPr>
        <w:tab/>
      </w:r>
      <w:r w:rsidRPr="009B19F4">
        <w:rPr>
          <w:sz w:val="22"/>
          <w:szCs w:val="22"/>
          <w:lang w:val="en"/>
        </w:rPr>
        <w:tab/>
      </w:r>
      <w:r w:rsidRPr="009B19F4">
        <w:rPr>
          <w:noProof/>
          <w:sz w:val="22"/>
          <w:szCs w:val="22"/>
        </w:rPr>
        <w:drawing>
          <wp:inline distT="0" distB="0" distL="0" distR="0" wp14:anchorId="533DEEAE" wp14:editId="09FA7590">
            <wp:extent cx="615315" cy="114300"/>
            <wp:effectExtent l="0" t="0" r="0" b="0"/>
            <wp:docPr id="1" name="Picture 1" descr="Five sta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ve star rat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315" cy="114300"/>
                    </a:xfrm>
                    <a:prstGeom prst="rect">
                      <a:avLst/>
                    </a:prstGeom>
                    <a:noFill/>
                    <a:ln>
                      <a:noFill/>
                    </a:ln>
                  </pic:spPr>
                </pic:pic>
              </a:graphicData>
            </a:graphic>
          </wp:inline>
        </w:drawing>
      </w:r>
      <w:r w:rsidRPr="009B19F4">
        <w:rPr>
          <w:noProof/>
          <w:sz w:val="22"/>
          <w:szCs w:val="22"/>
        </w:rPr>
        <w:tab/>
      </w:r>
      <w:r w:rsidR="003D19F7" w:rsidRPr="009B19F4">
        <w:rPr>
          <w:noProof/>
          <w:sz w:val="22"/>
          <w:szCs w:val="22"/>
        </w:rPr>
        <w:tab/>
      </w:r>
      <w:r w:rsidRPr="009B19F4">
        <w:rPr>
          <w:sz w:val="22"/>
          <w:szCs w:val="22"/>
          <w:lang w:val="en"/>
        </w:rPr>
        <w:t xml:space="preserve">Much </w:t>
      </w:r>
      <w:proofErr w:type="gramStart"/>
      <w:r w:rsidRPr="009B19F4">
        <w:rPr>
          <w:sz w:val="22"/>
          <w:szCs w:val="22"/>
          <w:lang w:val="en"/>
        </w:rPr>
        <w:t>Above</w:t>
      </w:r>
      <w:proofErr w:type="gramEnd"/>
      <w:r w:rsidRPr="009B19F4">
        <w:rPr>
          <w:sz w:val="22"/>
          <w:szCs w:val="22"/>
          <w:lang w:val="en"/>
        </w:rPr>
        <w:t xml:space="preserve"> Average</w:t>
      </w:r>
      <w:r w:rsidR="003D19F7" w:rsidRPr="009B19F4">
        <w:rPr>
          <w:sz w:val="22"/>
          <w:szCs w:val="22"/>
          <w:lang w:val="en"/>
        </w:rPr>
        <w:t>”</w:t>
      </w:r>
    </w:p>
    <w:p w:rsidR="009B19F4" w:rsidRPr="006B35F7" w:rsidRDefault="009B19F4" w:rsidP="007C4103">
      <w:pPr>
        <w:jc w:val="both"/>
        <w:rPr>
          <w:sz w:val="16"/>
          <w:szCs w:val="16"/>
        </w:rPr>
      </w:pPr>
    </w:p>
    <w:p w:rsidR="007C4103" w:rsidRPr="009B19F4" w:rsidRDefault="003D19F7" w:rsidP="007C4103">
      <w:pPr>
        <w:jc w:val="both"/>
        <w:rPr>
          <w:sz w:val="22"/>
          <w:szCs w:val="22"/>
        </w:rPr>
      </w:pPr>
      <w:r w:rsidRPr="009B19F4">
        <w:rPr>
          <w:sz w:val="22"/>
          <w:szCs w:val="22"/>
        </w:rPr>
        <w:t>“</w:t>
      </w:r>
      <w:r w:rsidR="007C4103" w:rsidRPr="009B19F4">
        <w:rPr>
          <w:sz w:val="22"/>
          <w:szCs w:val="22"/>
        </w:rPr>
        <w:t>For health inspection ratings, the facility received a mid-range score of 3 (see Recent DHHS Survey Results for further information regarding deficiencies identified and management’s Plan of Correction).The total number of deficiencies identified during the most recent survey was 3 compared to the State average of 4 and the national average of 6.8.</w:t>
      </w:r>
      <w:r w:rsidRPr="009B19F4">
        <w:rPr>
          <w:sz w:val="22"/>
          <w:szCs w:val="22"/>
        </w:rPr>
        <w:t>”</w:t>
      </w:r>
    </w:p>
    <w:p w:rsidR="007C4103" w:rsidRPr="006B35F7" w:rsidRDefault="007C4103" w:rsidP="007C4103">
      <w:pPr>
        <w:jc w:val="both"/>
        <w:rPr>
          <w:sz w:val="16"/>
          <w:szCs w:val="16"/>
        </w:rPr>
      </w:pPr>
    </w:p>
    <w:p w:rsidR="004D716B" w:rsidRDefault="004D716B" w:rsidP="007C4103">
      <w:pPr>
        <w:jc w:val="both"/>
        <w:rPr>
          <w:sz w:val="22"/>
          <w:szCs w:val="22"/>
        </w:rPr>
        <w:sectPr w:rsidR="004D716B" w:rsidSect="00137E29">
          <w:headerReference w:type="default" r:id="rId17"/>
          <w:pgSz w:w="12240" w:h="15840"/>
          <w:pgMar w:top="1440" w:right="1440" w:bottom="1440" w:left="1440" w:header="720" w:footer="720" w:gutter="0"/>
          <w:cols w:space="720"/>
          <w:docGrid w:linePitch="360"/>
        </w:sectPr>
      </w:pPr>
    </w:p>
    <w:p w:rsidR="004D716B" w:rsidRDefault="004D716B" w:rsidP="007C4103">
      <w:pPr>
        <w:jc w:val="both"/>
        <w:rPr>
          <w:sz w:val="22"/>
          <w:szCs w:val="22"/>
        </w:rPr>
      </w:pPr>
    </w:p>
    <w:p w:rsidR="007C4103" w:rsidRPr="004D716B" w:rsidRDefault="003D19F7" w:rsidP="007C4103">
      <w:pPr>
        <w:jc w:val="both"/>
        <w:rPr>
          <w:sz w:val="22"/>
          <w:szCs w:val="22"/>
        </w:rPr>
      </w:pPr>
      <w:r w:rsidRPr="004D716B">
        <w:rPr>
          <w:sz w:val="22"/>
          <w:szCs w:val="22"/>
        </w:rPr>
        <w:t>“</w:t>
      </w:r>
      <w:r w:rsidR="007C4103" w:rsidRPr="004D716B">
        <w:rPr>
          <w:sz w:val="22"/>
          <w:szCs w:val="22"/>
        </w:rPr>
        <w:t>Recent DHHS Survey Results</w:t>
      </w:r>
      <w:r w:rsidRPr="004D716B">
        <w:rPr>
          <w:sz w:val="22"/>
          <w:szCs w:val="22"/>
        </w:rPr>
        <w:t>”</w:t>
      </w:r>
    </w:p>
    <w:p w:rsidR="007C4103" w:rsidRPr="009B19F4" w:rsidRDefault="007C4103" w:rsidP="007C4103">
      <w:pPr>
        <w:jc w:val="both"/>
        <w:rPr>
          <w:sz w:val="22"/>
          <w:szCs w:val="22"/>
        </w:rPr>
      </w:pPr>
    </w:p>
    <w:p w:rsidR="007C4103" w:rsidRPr="009B19F4" w:rsidRDefault="003D19F7" w:rsidP="007C4103">
      <w:pPr>
        <w:jc w:val="both"/>
        <w:rPr>
          <w:sz w:val="22"/>
          <w:szCs w:val="22"/>
        </w:rPr>
      </w:pPr>
      <w:r w:rsidRPr="009B19F4">
        <w:rPr>
          <w:sz w:val="22"/>
          <w:szCs w:val="22"/>
        </w:rPr>
        <w:t>“</w:t>
      </w:r>
      <w:r w:rsidR="007C4103" w:rsidRPr="009B19F4">
        <w:rPr>
          <w:sz w:val="22"/>
          <w:szCs w:val="22"/>
        </w:rPr>
        <w:t>The Department of Licensing and Regulation Services conducted an annual Quality Indicator Survey for Federal Recertification on November 11, 2013.</w:t>
      </w:r>
      <w:r w:rsidRPr="009B19F4">
        <w:rPr>
          <w:sz w:val="22"/>
          <w:szCs w:val="22"/>
        </w:rPr>
        <w:t>”</w:t>
      </w:r>
    </w:p>
    <w:p w:rsidR="007C4103" w:rsidRPr="009B19F4" w:rsidRDefault="007C4103" w:rsidP="007C4103">
      <w:pPr>
        <w:jc w:val="both"/>
        <w:rPr>
          <w:sz w:val="22"/>
          <w:szCs w:val="22"/>
        </w:rPr>
      </w:pPr>
    </w:p>
    <w:p w:rsidR="007C4103" w:rsidRPr="009B19F4" w:rsidRDefault="003D19F7" w:rsidP="007C4103">
      <w:pPr>
        <w:jc w:val="both"/>
        <w:rPr>
          <w:sz w:val="22"/>
          <w:szCs w:val="22"/>
        </w:rPr>
      </w:pPr>
      <w:r w:rsidRPr="009B19F4">
        <w:rPr>
          <w:sz w:val="22"/>
          <w:szCs w:val="22"/>
        </w:rPr>
        <w:t>“</w:t>
      </w:r>
      <w:r w:rsidR="007C4103" w:rsidRPr="009B19F4">
        <w:rPr>
          <w:sz w:val="22"/>
          <w:szCs w:val="22"/>
        </w:rPr>
        <w:t>There were two areas that were cited as deficiencies during the survey:</w:t>
      </w:r>
    </w:p>
    <w:p w:rsidR="007C4103" w:rsidRPr="009B19F4" w:rsidRDefault="007C4103" w:rsidP="007C4103">
      <w:pPr>
        <w:jc w:val="both"/>
        <w:rPr>
          <w:sz w:val="22"/>
          <w:szCs w:val="22"/>
        </w:rPr>
      </w:pPr>
    </w:p>
    <w:p w:rsidR="007C4103" w:rsidRPr="009B19F4" w:rsidRDefault="007C4103" w:rsidP="007C4103">
      <w:pPr>
        <w:jc w:val="both"/>
        <w:rPr>
          <w:sz w:val="22"/>
          <w:szCs w:val="22"/>
        </w:rPr>
      </w:pPr>
      <w:r w:rsidRPr="009B19F4">
        <w:rPr>
          <w:sz w:val="22"/>
          <w:szCs w:val="22"/>
        </w:rPr>
        <w:t>The surveyors found that two dumpsters located outside of the facility needed to be emptied and that several bags of garbage were on top and around the dumpsters. The maintenance department has been instructed to maintain the area around the dumpsters and ensure that the trash is properly stored. The Administrator will monitor weekly for compliance.</w:t>
      </w:r>
      <w:r w:rsidR="003D19F7" w:rsidRPr="009B19F4">
        <w:rPr>
          <w:sz w:val="22"/>
          <w:szCs w:val="22"/>
        </w:rPr>
        <w:t>”</w:t>
      </w:r>
    </w:p>
    <w:p w:rsidR="007C4103" w:rsidRPr="009B19F4" w:rsidRDefault="007C4103" w:rsidP="007C4103">
      <w:pPr>
        <w:jc w:val="both"/>
        <w:rPr>
          <w:sz w:val="22"/>
          <w:szCs w:val="22"/>
        </w:rPr>
      </w:pPr>
    </w:p>
    <w:p w:rsidR="007C4103" w:rsidRPr="009B19F4" w:rsidRDefault="003D19F7" w:rsidP="007C4103">
      <w:pPr>
        <w:jc w:val="both"/>
        <w:rPr>
          <w:sz w:val="22"/>
          <w:szCs w:val="22"/>
        </w:rPr>
      </w:pPr>
      <w:r w:rsidRPr="009B19F4">
        <w:rPr>
          <w:sz w:val="22"/>
          <w:szCs w:val="22"/>
        </w:rPr>
        <w:t>“</w:t>
      </w:r>
      <w:r w:rsidR="007C4103" w:rsidRPr="009B19F4">
        <w:rPr>
          <w:sz w:val="22"/>
          <w:szCs w:val="22"/>
        </w:rPr>
        <w:t>The surveyors also found isolated incidences where medications such as ear wax drops, Refresh eye drops and other vitamins had expired in the facility. All medications have been reviewed for expiration and staff has been educated to ensure that this deficient practice does not occur again.</w:t>
      </w:r>
      <w:r w:rsidRPr="009B19F4">
        <w:rPr>
          <w:sz w:val="22"/>
          <w:szCs w:val="22"/>
        </w:rPr>
        <w:t>”</w:t>
      </w:r>
    </w:p>
    <w:p w:rsidR="007C4103" w:rsidRPr="009B19F4" w:rsidRDefault="007C4103" w:rsidP="007C4103">
      <w:pPr>
        <w:jc w:val="both"/>
        <w:rPr>
          <w:sz w:val="22"/>
          <w:szCs w:val="22"/>
        </w:rPr>
      </w:pPr>
    </w:p>
    <w:p w:rsidR="007C4103" w:rsidRPr="009B19F4" w:rsidRDefault="003D19F7" w:rsidP="007C4103">
      <w:pPr>
        <w:jc w:val="both"/>
        <w:rPr>
          <w:sz w:val="22"/>
          <w:szCs w:val="22"/>
        </w:rPr>
      </w:pPr>
      <w:r w:rsidRPr="009B19F4">
        <w:rPr>
          <w:sz w:val="22"/>
          <w:szCs w:val="22"/>
        </w:rPr>
        <w:t>“</w:t>
      </w:r>
      <w:r w:rsidR="007C4103" w:rsidRPr="009B19F4">
        <w:rPr>
          <w:sz w:val="22"/>
          <w:szCs w:val="22"/>
        </w:rPr>
        <w:t>The deficiencies have been addressed and MGNH achieved compliance on its February 19, 2014 follow-up visit.</w:t>
      </w:r>
      <w:r w:rsidRPr="009B19F4">
        <w:rPr>
          <w:sz w:val="22"/>
          <w:szCs w:val="22"/>
        </w:rPr>
        <w:t>”</w:t>
      </w:r>
    </w:p>
    <w:p w:rsidR="007C4103" w:rsidRPr="009B19F4" w:rsidRDefault="007C4103" w:rsidP="007C4103">
      <w:pPr>
        <w:jc w:val="both"/>
        <w:rPr>
          <w:i/>
          <w:sz w:val="22"/>
          <w:szCs w:val="22"/>
        </w:rPr>
      </w:pPr>
    </w:p>
    <w:p w:rsidR="007C4103" w:rsidRPr="009B19F4" w:rsidRDefault="003D19F7" w:rsidP="007C4103">
      <w:pPr>
        <w:jc w:val="both"/>
        <w:rPr>
          <w:sz w:val="22"/>
          <w:szCs w:val="22"/>
        </w:rPr>
      </w:pPr>
      <w:r w:rsidRPr="009B19F4">
        <w:rPr>
          <w:sz w:val="22"/>
          <w:szCs w:val="22"/>
        </w:rPr>
        <w:t>“</w:t>
      </w:r>
      <w:r w:rsidR="007C4103" w:rsidRPr="009B19F4">
        <w:rPr>
          <w:sz w:val="22"/>
          <w:szCs w:val="22"/>
        </w:rPr>
        <w:t>In addition, MGNH provides a continuum of care to meet the needs of its aging population. We provide the following services through our various on campus entities: adult day care, residential care, NF/SNF care, independent living apartments, rehabilitation services, skilled home care and a variety of housing options for the elderly and disabled.</w:t>
      </w:r>
      <w:r w:rsidRPr="009B19F4">
        <w:rPr>
          <w:sz w:val="22"/>
          <w:szCs w:val="22"/>
        </w:rPr>
        <w:t>”</w:t>
      </w:r>
    </w:p>
    <w:p w:rsidR="007C4103" w:rsidRPr="009B19F4" w:rsidRDefault="007C4103" w:rsidP="007C4103">
      <w:pPr>
        <w:jc w:val="both"/>
        <w:rPr>
          <w:sz w:val="22"/>
          <w:szCs w:val="22"/>
        </w:rPr>
      </w:pPr>
    </w:p>
    <w:p w:rsidR="007C4103" w:rsidRPr="009B19F4" w:rsidRDefault="003D19F7" w:rsidP="007C4103">
      <w:pPr>
        <w:jc w:val="both"/>
        <w:rPr>
          <w:sz w:val="22"/>
          <w:szCs w:val="22"/>
        </w:rPr>
      </w:pPr>
      <w:r w:rsidRPr="009B19F4">
        <w:rPr>
          <w:sz w:val="22"/>
          <w:szCs w:val="22"/>
        </w:rPr>
        <w:t>“</w:t>
      </w:r>
      <w:r w:rsidR="007C4103" w:rsidRPr="009B19F4">
        <w:rPr>
          <w:sz w:val="22"/>
          <w:szCs w:val="22"/>
        </w:rPr>
        <w:t>The management team has had significant experience with design, construction and management of similar projects as the facility has undergone several additions over the years.</w:t>
      </w:r>
      <w:r w:rsidRPr="009B19F4">
        <w:rPr>
          <w:sz w:val="22"/>
          <w:szCs w:val="22"/>
        </w:rPr>
        <w:t>”</w:t>
      </w:r>
    </w:p>
    <w:p w:rsidR="007C4103" w:rsidRPr="009B19F4" w:rsidRDefault="007C4103" w:rsidP="007C4103">
      <w:pPr>
        <w:jc w:val="both"/>
        <w:rPr>
          <w:sz w:val="22"/>
          <w:szCs w:val="22"/>
        </w:rPr>
      </w:pPr>
    </w:p>
    <w:p w:rsidR="007C4103" w:rsidRPr="009B19F4" w:rsidRDefault="003D19F7" w:rsidP="007C4103">
      <w:pPr>
        <w:jc w:val="both"/>
        <w:rPr>
          <w:sz w:val="22"/>
          <w:szCs w:val="22"/>
        </w:rPr>
      </w:pPr>
      <w:r w:rsidRPr="009B19F4">
        <w:rPr>
          <w:sz w:val="22"/>
          <w:szCs w:val="22"/>
        </w:rPr>
        <w:t>“</w:t>
      </w:r>
      <w:r w:rsidR="007C4103" w:rsidRPr="009B19F4">
        <w:rPr>
          <w:sz w:val="22"/>
          <w:szCs w:val="22"/>
        </w:rPr>
        <w:t>We believe there is sufficient evidence to support our ability to meet licensure, Medicare and Medicaid certification requirements.</w:t>
      </w:r>
      <w:r w:rsidRPr="009B19F4">
        <w:rPr>
          <w:sz w:val="22"/>
          <w:szCs w:val="22"/>
        </w:rPr>
        <w:t>”</w:t>
      </w:r>
    </w:p>
    <w:p w:rsidR="009A56DF" w:rsidRPr="009B19F4" w:rsidRDefault="009A56DF"/>
    <w:p w:rsidR="008E41AC" w:rsidRPr="009B19F4" w:rsidRDefault="00137E29" w:rsidP="000F59B6">
      <w:pPr>
        <w:jc w:val="both"/>
        <w:rPr>
          <w:b/>
        </w:rPr>
      </w:pPr>
      <w:r w:rsidRPr="009B19F4">
        <w:rPr>
          <w:b/>
        </w:rPr>
        <w:t xml:space="preserve">B. </w:t>
      </w:r>
      <w:r w:rsidR="006A7CB7" w:rsidRPr="006B35F7">
        <w:rPr>
          <w:b/>
          <w:u w:val="single"/>
        </w:rPr>
        <w:t>Certificate of Need Unit</w:t>
      </w:r>
      <w:r w:rsidR="008E41AC" w:rsidRPr="006B35F7">
        <w:rPr>
          <w:b/>
          <w:u w:val="single"/>
        </w:rPr>
        <w:t xml:space="preserve"> Discussion</w:t>
      </w:r>
    </w:p>
    <w:p w:rsidR="00FA54A5" w:rsidRPr="009B19F4" w:rsidRDefault="00FA54A5" w:rsidP="000F59B6">
      <w:pPr>
        <w:jc w:val="both"/>
        <w:rPr>
          <w:b/>
        </w:rPr>
      </w:pPr>
    </w:p>
    <w:p w:rsidR="00FA54A5" w:rsidRPr="00D46EA9" w:rsidRDefault="009B19F4" w:rsidP="00D46EA9">
      <w:pPr>
        <w:pStyle w:val="ListParagraph"/>
        <w:numPr>
          <w:ilvl w:val="0"/>
          <w:numId w:val="32"/>
        </w:numPr>
        <w:ind w:left="270" w:hanging="270"/>
        <w:jc w:val="both"/>
        <w:rPr>
          <w:b/>
        </w:rPr>
      </w:pPr>
      <w:r w:rsidRPr="00D46EA9">
        <w:rPr>
          <w:b/>
        </w:rPr>
        <w:t>CON</w:t>
      </w:r>
      <w:r w:rsidR="008E41AC" w:rsidRPr="00D46EA9">
        <w:rPr>
          <w:b/>
        </w:rPr>
        <w:t xml:space="preserve"> </w:t>
      </w:r>
      <w:r w:rsidR="00E7467A" w:rsidRPr="00D46EA9">
        <w:rPr>
          <w:b/>
        </w:rPr>
        <w:t>Standard</w:t>
      </w:r>
      <w:r w:rsidRPr="00D46EA9">
        <w:rPr>
          <w:b/>
        </w:rPr>
        <w:t>s</w:t>
      </w:r>
    </w:p>
    <w:p w:rsidR="00FA54A5" w:rsidRPr="009B19F4" w:rsidRDefault="00FA54A5" w:rsidP="007A659C">
      <w:pPr>
        <w:jc w:val="both"/>
        <w:rPr>
          <w:b/>
        </w:rPr>
      </w:pPr>
    </w:p>
    <w:p w:rsidR="00FA54A5" w:rsidRPr="009B19F4" w:rsidRDefault="00FA54A5" w:rsidP="007A565D">
      <w:pPr>
        <w:jc w:val="both"/>
        <w:rPr>
          <w:b/>
        </w:rPr>
      </w:pPr>
      <w:r w:rsidRPr="009B19F4">
        <w:t>Relevant standards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9B19F4" w:rsidRDefault="008E41AC" w:rsidP="000F59B6">
      <w:pPr>
        <w:jc w:val="both"/>
      </w:pPr>
    </w:p>
    <w:p w:rsidR="008E41AC" w:rsidRPr="00D46EA9" w:rsidRDefault="009B19F4" w:rsidP="00D46EA9">
      <w:pPr>
        <w:pStyle w:val="ListParagraph"/>
        <w:numPr>
          <w:ilvl w:val="0"/>
          <w:numId w:val="32"/>
        </w:numPr>
        <w:ind w:left="270" w:hanging="270"/>
        <w:jc w:val="both"/>
        <w:rPr>
          <w:b/>
        </w:rPr>
      </w:pPr>
      <w:r w:rsidRPr="00D46EA9">
        <w:rPr>
          <w:b/>
        </w:rPr>
        <w:t xml:space="preserve">CON </w:t>
      </w:r>
      <w:r w:rsidR="008F244E" w:rsidRPr="00D46EA9">
        <w:rPr>
          <w:b/>
        </w:rPr>
        <w:t>Unit Analysis</w:t>
      </w:r>
    </w:p>
    <w:p w:rsidR="008E41AC" w:rsidRPr="009B19F4" w:rsidRDefault="008E41AC" w:rsidP="000F59B6">
      <w:pPr>
        <w:jc w:val="both"/>
        <w:rPr>
          <w:b/>
          <w:sz w:val="16"/>
          <w:szCs w:val="16"/>
        </w:rPr>
      </w:pPr>
    </w:p>
    <w:p w:rsidR="00FA54A5" w:rsidRPr="009B19F4" w:rsidRDefault="006B3608" w:rsidP="00FA54A5">
      <w:pPr>
        <w:pStyle w:val="ListParagraph"/>
        <w:ind w:left="0"/>
        <w:jc w:val="both"/>
      </w:pPr>
      <w:r w:rsidRPr="009B19F4">
        <w:t>Maple Grove Nursing Home, Inc</w:t>
      </w:r>
      <w:r w:rsidR="009F3BAB" w:rsidRPr="009B19F4">
        <w:t>. (</w:t>
      </w:r>
      <w:r w:rsidRPr="009B19F4">
        <w:t>MGNH</w:t>
      </w:r>
      <w:r w:rsidR="009F3BAB" w:rsidRPr="009B19F4">
        <w:t>) is</w:t>
      </w:r>
      <w:r w:rsidR="00FA54A5" w:rsidRPr="009B19F4">
        <w:t xml:space="preserve"> licensed for </w:t>
      </w:r>
      <w:r w:rsidRPr="009B19F4">
        <w:t>86</w:t>
      </w:r>
      <w:r w:rsidR="00FA54A5" w:rsidRPr="009B19F4">
        <w:t xml:space="preserve"> NF/SNF beds and </w:t>
      </w:r>
      <w:r w:rsidRPr="009B19F4">
        <w:t>47</w:t>
      </w:r>
      <w:r w:rsidR="00FA54A5" w:rsidRPr="009B19F4">
        <w:t xml:space="preserve"> Level IV Residential Care beds. The facility is located at </w:t>
      </w:r>
      <w:r w:rsidRPr="009B19F4">
        <w:t>93 Military Street</w:t>
      </w:r>
      <w:r w:rsidR="00FA54A5" w:rsidRPr="009B19F4">
        <w:t xml:space="preserve"> in Ho</w:t>
      </w:r>
      <w:r w:rsidRPr="009B19F4">
        <w:t xml:space="preserve">ulton, </w:t>
      </w:r>
      <w:r w:rsidR="00FA54A5" w:rsidRPr="009B19F4">
        <w:t xml:space="preserve">Maine. The administrator is </w:t>
      </w:r>
      <w:r w:rsidRPr="009B19F4">
        <w:t>Brenda Brown</w:t>
      </w:r>
      <w:r w:rsidR="00FA54A5" w:rsidRPr="009B19F4">
        <w:t xml:space="preserve">. The license was issued on </w:t>
      </w:r>
      <w:r w:rsidRPr="009B19F4">
        <w:t>July 1, 2013</w:t>
      </w:r>
      <w:r w:rsidR="00FA54A5" w:rsidRPr="009B19F4">
        <w:t xml:space="preserve"> and is valid from </w:t>
      </w:r>
      <w:r w:rsidRPr="009B19F4">
        <w:t>July 1, 2013</w:t>
      </w:r>
      <w:r w:rsidR="00FA54A5" w:rsidRPr="009B19F4">
        <w:t xml:space="preserve"> through </w:t>
      </w:r>
      <w:r w:rsidRPr="009B19F4">
        <w:t>June 30, 2014</w:t>
      </w:r>
      <w:r w:rsidR="00FA54A5" w:rsidRPr="009B19F4">
        <w:t>.</w:t>
      </w:r>
    </w:p>
    <w:p w:rsidR="009B19F4" w:rsidRDefault="009B19F4" w:rsidP="00FA54A5">
      <w:pPr>
        <w:pStyle w:val="ListParagraph"/>
        <w:ind w:left="0"/>
        <w:jc w:val="both"/>
      </w:pPr>
    </w:p>
    <w:p w:rsidR="000C1C82" w:rsidRDefault="000C1C82" w:rsidP="00FA54A5">
      <w:pPr>
        <w:pStyle w:val="ListParagraph"/>
        <w:ind w:left="0"/>
        <w:jc w:val="both"/>
        <w:sectPr w:rsidR="000C1C82" w:rsidSect="00137E29">
          <w:pgSz w:w="12240" w:h="15840"/>
          <w:pgMar w:top="1440" w:right="1440" w:bottom="1440" w:left="1440" w:header="720" w:footer="720" w:gutter="0"/>
          <w:cols w:space="720"/>
          <w:docGrid w:linePitch="360"/>
        </w:sectPr>
      </w:pPr>
    </w:p>
    <w:p w:rsidR="000C1C82" w:rsidRDefault="000C1C82" w:rsidP="00FA54A5">
      <w:pPr>
        <w:pStyle w:val="ListParagraph"/>
        <w:ind w:left="0"/>
        <w:jc w:val="both"/>
      </w:pPr>
    </w:p>
    <w:p w:rsidR="00FA54A5" w:rsidRPr="009B19F4" w:rsidRDefault="006B3608" w:rsidP="00FA54A5">
      <w:pPr>
        <w:pStyle w:val="ListParagraph"/>
        <w:ind w:left="0"/>
        <w:jc w:val="both"/>
      </w:pPr>
      <w:r w:rsidRPr="009B19F4">
        <w:t>The applicant provided a summary of MGNF last completed survey data. CONU verified this survey data utilizing the</w:t>
      </w:r>
      <w:r w:rsidR="00FA54A5" w:rsidRPr="009B19F4">
        <w:t xml:space="preserve"> Medicare.gov website </w:t>
      </w:r>
      <w:r w:rsidRPr="009B19F4">
        <w:t xml:space="preserve">and DLRS files. This survey </w:t>
      </w:r>
      <w:r w:rsidR="00FA54A5" w:rsidRPr="009B19F4">
        <w:t>revealed the following ratings:</w:t>
      </w:r>
    </w:p>
    <w:p w:rsidR="00FA54A5" w:rsidRPr="009B19F4" w:rsidRDefault="00FA54A5" w:rsidP="00FA54A5">
      <w:pPr>
        <w:pStyle w:val="ListParagraph"/>
        <w:ind w:left="0"/>
        <w:jc w:val="both"/>
      </w:pPr>
    </w:p>
    <w:tbl>
      <w:tblPr>
        <w:tblW w:w="0" w:type="auto"/>
        <w:jc w:val="center"/>
        <w:tblInd w:w="1333" w:type="dxa"/>
        <w:tblLayout w:type="fixed"/>
        <w:tblCellMar>
          <w:left w:w="30" w:type="dxa"/>
          <w:right w:w="30" w:type="dxa"/>
        </w:tblCellMar>
        <w:tblLook w:val="0000" w:firstRow="0" w:lastRow="0" w:firstColumn="0" w:lastColumn="0" w:noHBand="0" w:noVBand="0"/>
      </w:tblPr>
      <w:tblGrid>
        <w:gridCol w:w="2391"/>
        <w:gridCol w:w="2723"/>
      </w:tblGrid>
      <w:tr w:rsidR="00FA54A5" w:rsidRPr="009B19F4" w:rsidTr="0064020C">
        <w:trPr>
          <w:trHeight w:val="290"/>
          <w:jc w:val="center"/>
        </w:trPr>
        <w:tc>
          <w:tcPr>
            <w:tcW w:w="5114" w:type="dxa"/>
            <w:gridSpan w:val="2"/>
            <w:tcBorders>
              <w:top w:val="single" w:sz="6" w:space="0" w:color="auto"/>
              <w:left w:val="single" w:sz="6" w:space="0" w:color="auto"/>
              <w:bottom w:val="nil"/>
              <w:right w:val="single" w:sz="6" w:space="0" w:color="auto"/>
            </w:tcBorders>
          </w:tcPr>
          <w:p w:rsidR="00FA54A5" w:rsidRPr="009B19F4" w:rsidRDefault="006B3608" w:rsidP="009B19F4">
            <w:pPr>
              <w:autoSpaceDE w:val="0"/>
              <w:autoSpaceDN w:val="0"/>
              <w:adjustRightInd w:val="0"/>
              <w:jc w:val="center"/>
              <w:rPr>
                <w:b/>
                <w:bCs/>
                <w:color w:val="000000"/>
              </w:rPr>
            </w:pPr>
            <w:r w:rsidRPr="009B19F4">
              <w:rPr>
                <w:b/>
                <w:bCs/>
                <w:color w:val="000000"/>
              </w:rPr>
              <w:t>Maple Grove Nursing Home,</w:t>
            </w:r>
            <w:r w:rsidR="00FA54A5" w:rsidRPr="009B19F4">
              <w:rPr>
                <w:b/>
                <w:bCs/>
                <w:color w:val="000000"/>
              </w:rPr>
              <w:t xml:space="preserve"> Inc.</w:t>
            </w:r>
          </w:p>
        </w:tc>
      </w:tr>
      <w:tr w:rsidR="00FA54A5" w:rsidRPr="009B19F4" w:rsidTr="0064020C">
        <w:trPr>
          <w:trHeight w:val="290"/>
          <w:jc w:val="center"/>
        </w:trPr>
        <w:tc>
          <w:tcPr>
            <w:tcW w:w="5114" w:type="dxa"/>
            <w:gridSpan w:val="2"/>
            <w:tcBorders>
              <w:top w:val="nil"/>
              <w:left w:val="single" w:sz="6" w:space="0" w:color="auto"/>
              <w:bottom w:val="single" w:sz="6" w:space="0" w:color="auto"/>
              <w:right w:val="single" w:sz="6" w:space="0" w:color="auto"/>
            </w:tcBorders>
          </w:tcPr>
          <w:p w:rsidR="00FA54A5" w:rsidRPr="009B19F4" w:rsidRDefault="00FA54A5" w:rsidP="009B19F4">
            <w:pPr>
              <w:autoSpaceDE w:val="0"/>
              <w:autoSpaceDN w:val="0"/>
              <w:adjustRightInd w:val="0"/>
              <w:jc w:val="center"/>
              <w:rPr>
                <w:b/>
                <w:bCs/>
                <w:color w:val="000000"/>
              </w:rPr>
            </w:pPr>
            <w:r w:rsidRPr="009B19F4">
              <w:rPr>
                <w:b/>
                <w:bCs/>
                <w:color w:val="000000"/>
              </w:rPr>
              <w:t>Nursing Home Compare Ratings</w:t>
            </w:r>
          </w:p>
        </w:tc>
      </w:tr>
      <w:tr w:rsidR="00FA54A5" w:rsidRPr="009B19F4" w:rsidTr="0064020C">
        <w:trPr>
          <w:trHeight w:val="290"/>
          <w:jc w:val="center"/>
        </w:trPr>
        <w:tc>
          <w:tcPr>
            <w:tcW w:w="2391" w:type="dxa"/>
            <w:tcBorders>
              <w:top w:val="single" w:sz="6" w:space="0" w:color="auto"/>
              <w:left w:val="single" w:sz="6" w:space="0" w:color="auto"/>
              <w:bottom w:val="single" w:sz="6" w:space="0" w:color="auto"/>
              <w:right w:val="single" w:sz="6" w:space="0" w:color="auto"/>
            </w:tcBorders>
          </w:tcPr>
          <w:p w:rsidR="00FA54A5" w:rsidRPr="009B19F4" w:rsidRDefault="00FA54A5" w:rsidP="009B19F4">
            <w:pPr>
              <w:autoSpaceDE w:val="0"/>
              <w:autoSpaceDN w:val="0"/>
              <w:adjustRightInd w:val="0"/>
              <w:jc w:val="center"/>
              <w:rPr>
                <w:b/>
                <w:bCs/>
                <w:color w:val="000000"/>
              </w:rPr>
            </w:pPr>
            <w:r w:rsidRPr="009B19F4">
              <w:rPr>
                <w:b/>
                <w:bCs/>
                <w:color w:val="000000"/>
              </w:rPr>
              <w:t>Category</w:t>
            </w:r>
          </w:p>
        </w:tc>
        <w:tc>
          <w:tcPr>
            <w:tcW w:w="2723" w:type="dxa"/>
            <w:tcBorders>
              <w:top w:val="single" w:sz="6" w:space="0" w:color="auto"/>
              <w:left w:val="single" w:sz="6" w:space="0" w:color="auto"/>
              <w:bottom w:val="single" w:sz="6" w:space="0" w:color="auto"/>
              <w:right w:val="single" w:sz="6" w:space="0" w:color="auto"/>
            </w:tcBorders>
          </w:tcPr>
          <w:p w:rsidR="00FA54A5" w:rsidRPr="009B19F4" w:rsidRDefault="00FA54A5" w:rsidP="009B19F4">
            <w:pPr>
              <w:autoSpaceDE w:val="0"/>
              <w:autoSpaceDN w:val="0"/>
              <w:adjustRightInd w:val="0"/>
              <w:jc w:val="center"/>
              <w:rPr>
                <w:b/>
                <w:bCs/>
                <w:color w:val="000000"/>
              </w:rPr>
            </w:pPr>
            <w:r w:rsidRPr="009B19F4">
              <w:rPr>
                <w:b/>
                <w:bCs/>
                <w:color w:val="000000"/>
              </w:rPr>
              <w:t>Ratings</w:t>
            </w:r>
          </w:p>
        </w:tc>
      </w:tr>
      <w:tr w:rsidR="00FA54A5" w:rsidRPr="009B19F4" w:rsidTr="0064020C">
        <w:trPr>
          <w:trHeight w:val="290"/>
          <w:jc w:val="center"/>
        </w:trPr>
        <w:tc>
          <w:tcPr>
            <w:tcW w:w="2391" w:type="dxa"/>
            <w:tcBorders>
              <w:top w:val="single" w:sz="6" w:space="0" w:color="auto"/>
              <w:left w:val="single" w:sz="6" w:space="0" w:color="auto"/>
              <w:bottom w:val="single" w:sz="6" w:space="0" w:color="auto"/>
              <w:right w:val="single" w:sz="6" w:space="0" w:color="auto"/>
            </w:tcBorders>
          </w:tcPr>
          <w:p w:rsidR="00FA54A5" w:rsidRPr="009B19F4" w:rsidRDefault="00FA54A5" w:rsidP="00FA54A5">
            <w:pPr>
              <w:autoSpaceDE w:val="0"/>
              <w:autoSpaceDN w:val="0"/>
              <w:adjustRightInd w:val="0"/>
              <w:jc w:val="both"/>
              <w:rPr>
                <w:color w:val="000000"/>
              </w:rPr>
            </w:pPr>
            <w:r w:rsidRPr="009B19F4">
              <w:rPr>
                <w:color w:val="000000"/>
              </w:rPr>
              <w:t>Overall</w:t>
            </w:r>
          </w:p>
        </w:tc>
        <w:tc>
          <w:tcPr>
            <w:tcW w:w="2723" w:type="dxa"/>
            <w:tcBorders>
              <w:top w:val="single" w:sz="6" w:space="0" w:color="auto"/>
              <w:left w:val="single" w:sz="6" w:space="0" w:color="auto"/>
              <w:bottom w:val="single" w:sz="6" w:space="0" w:color="auto"/>
              <w:right w:val="single" w:sz="6" w:space="0" w:color="auto"/>
            </w:tcBorders>
          </w:tcPr>
          <w:p w:rsidR="00FA54A5" w:rsidRPr="009B19F4" w:rsidRDefault="00FA54A5" w:rsidP="00FA54A5">
            <w:pPr>
              <w:autoSpaceDE w:val="0"/>
              <w:autoSpaceDN w:val="0"/>
              <w:adjustRightInd w:val="0"/>
              <w:jc w:val="both"/>
              <w:rPr>
                <w:color w:val="000000"/>
              </w:rPr>
            </w:pPr>
            <w:r w:rsidRPr="009B19F4">
              <w:rPr>
                <w:color w:val="000000"/>
              </w:rPr>
              <w:t>Much Above Average</w:t>
            </w:r>
          </w:p>
        </w:tc>
      </w:tr>
      <w:tr w:rsidR="00FA54A5" w:rsidRPr="009B19F4" w:rsidTr="0064020C">
        <w:trPr>
          <w:trHeight w:val="290"/>
          <w:jc w:val="center"/>
        </w:trPr>
        <w:tc>
          <w:tcPr>
            <w:tcW w:w="2391" w:type="dxa"/>
            <w:tcBorders>
              <w:top w:val="single" w:sz="6" w:space="0" w:color="auto"/>
              <w:left w:val="single" w:sz="6" w:space="0" w:color="auto"/>
              <w:bottom w:val="single" w:sz="6" w:space="0" w:color="auto"/>
              <w:right w:val="single" w:sz="6" w:space="0" w:color="auto"/>
            </w:tcBorders>
          </w:tcPr>
          <w:p w:rsidR="00FA54A5" w:rsidRPr="009B19F4" w:rsidRDefault="00FA54A5" w:rsidP="00FA54A5">
            <w:pPr>
              <w:autoSpaceDE w:val="0"/>
              <w:autoSpaceDN w:val="0"/>
              <w:adjustRightInd w:val="0"/>
              <w:jc w:val="both"/>
              <w:rPr>
                <w:color w:val="000000"/>
              </w:rPr>
            </w:pPr>
            <w:r w:rsidRPr="009B19F4">
              <w:rPr>
                <w:color w:val="000000"/>
              </w:rPr>
              <w:t>Health Inspections</w:t>
            </w:r>
          </w:p>
        </w:tc>
        <w:tc>
          <w:tcPr>
            <w:tcW w:w="2723" w:type="dxa"/>
            <w:tcBorders>
              <w:top w:val="single" w:sz="6" w:space="0" w:color="auto"/>
              <w:left w:val="single" w:sz="6" w:space="0" w:color="auto"/>
              <w:bottom w:val="single" w:sz="6" w:space="0" w:color="auto"/>
              <w:right w:val="single" w:sz="6" w:space="0" w:color="auto"/>
            </w:tcBorders>
          </w:tcPr>
          <w:p w:rsidR="00FA54A5" w:rsidRPr="009B19F4" w:rsidRDefault="00FA54A5" w:rsidP="00FA54A5">
            <w:pPr>
              <w:autoSpaceDE w:val="0"/>
              <w:autoSpaceDN w:val="0"/>
              <w:adjustRightInd w:val="0"/>
              <w:jc w:val="both"/>
              <w:rPr>
                <w:color w:val="000000"/>
              </w:rPr>
            </w:pPr>
            <w:r w:rsidRPr="009B19F4">
              <w:rPr>
                <w:color w:val="000000"/>
              </w:rPr>
              <w:t>Average</w:t>
            </w:r>
          </w:p>
        </w:tc>
      </w:tr>
      <w:tr w:rsidR="00FA54A5" w:rsidRPr="009B19F4" w:rsidTr="0064020C">
        <w:trPr>
          <w:trHeight w:val="290"/>
          <w:jc w:val="center"/>
        </w:trPr>
        <w:tc>
          <w:tcPr>
            <w:tcW w:w="2391" w:type="dxa"/>
            <w:tcBorders>
              <w:top w:val="single" w:sz="6" w:space="0" w:color="auto"/>
              <w:left w:val="single" w:sz="6" w:space="0" w:color="auto"/>
              <w:bottom w:val="single" w:sz="6" w:space="0" w:color="auto"/>
              <w:right w:val="single" w:sz="6" w:space="0" w:color="auto"/>
            </w:tcBorders>
          </w:tcPr>
          <w:p w:rsidR="00FA54A5" w:rsidRPr="009B19F4" w:rsidRDefault="00FA54A5" w:rsidP="00FA54A5">
            <w:pPr>
              <w:autoSpaceDE w:val="0"/>
              <w:autoSpaceDN w:val="0"/>
              <w:adjustRightInd w:val="0"/>
              <w:jc w:val="both"/>
              <w:rPr>
                <w:color w:val="000000"/>
              </w:rPr>
            </w:pPr>
            <w:r w:rsidRPr="009B19F4">
              <w:rPr>
                <w:color w:val="000000"/>
              </w:rPr>
              <w:t>Staffing</w:t>
            </w:r>
          </w:p>
        </w:tc>
        <w:tc>
          <w:tcPr>
            <w:tcW w:w="2723" w:type="dxa"/>
            <w:tcBorders>
              <w:top w:val="single" w:sz="6" w:space="0" w:color="auto"/>
              <w:left w:val="single" w:sz="6" w:space="0" w:color="auto"/>
              <w:bottom w:val="single" w:sz="6" w:space="0" w:color="auto"/>
              <w:right w:val="single" w:sz="6" w:space="0" w:color="auto"/>
            </w:tcBorders>
          </w:tcPr>
          <w:p w:rsidR="00FA54A5" w:rsidRPr="009B19F4" w:rsidRDefault="00FA54A5" w:rsidP="00FA54A5">
            <w:pPr>
              <w:autoSpaceDE w:val="0"/>
              <w:autoSpaceDN w:val="0"/>
              <w:adjustRightInd w:val="0"/>
              <w:jc w:val="both"/>
              <w:rPr>
                <w:color w:val="000000"/>
              </w:rPr>
            </w:pPr>
            <w:r w:rsidRPr="009B19F4">
              <w:rPr>
                <w:color w:val="000000"/>
              </w:rPr>
              <w:t>Above Average</w:t>
            </w:r>
          </w:p>
        </w:tc>
      </w:tr>
      <w:tr w:rsidR="00FA54A5" w:rsidRPr="009B19F4" w:rsidTr="0064020C">
        <w:trPr>
          <w:trHeight w:val="290"/>
          <w:jc w:val="center"/>
        </w:trPr>
        <w:tc>
          <w:tcPr>
            <w:tcW w:w="2391" w:type="dxa"/>
            <w:tcBorders>
              <w:top w:val="single" w:sz="6" w:space="0" w:color="auto"/>
              <w:left w:val="single" w:sz="6" w:space="0" w:color="auto"/>
              <w:bottom w:val="single" w:sz="6" w:space="0" w:color="auto"/>
              <w:right w:val="single" w:sz="6" w:space="0" w:color="auto"/>
            </w:tcBorders>
          </w:tcPr>
          <w:p w:rsidR="00FA54A5" w:rsidRPr="009B19F4" w:rsidRDefault="00FA54A5" w:rsidP="00FA54A5">
            <w:pPr>
              <w:autoSpaceDE w:val="0"/>
              <w:autoSpaceDN w:val="0"/>
              <w:adjustRightInd w:val="0"/>
              <w:jc w:val="both"/>
              <w:rPr>
                <w:color w:val="000000"/>
              </w:rPr>
            </w:pPr>
            <w:r w:rsidRPr="009B19F4">
              <w:rPr>
                <w:color w:val="000000"/>
              </w:rPr>
              <w:t>Quality Ratings</w:t>
            </w:r>
          </w:p>
        </w:tc>
        <w:tc>
          <w:tcPr>
            <w:tcW w:w="2723" w:type="dxa"/>
            <w:tcBorders>
              <w:top w:val="single" w:sz="6" w:space="0" w:color="auto"/>
              <w:left w:val="single" w:sz="6" w:space="0" w:color="auto"/>
              <w:bottom w:val="single" w:sz="6" w:space="0" w:color="auto"/>
              <w:right w:val="single" w:sz="6" w:space="0" w:color="auto"/>
            </w:tcBorders>
          </w:tcPr>
          <w:p w:rsidR="00FA54A5" w:rsidRPr="009B19F4" w:rsidRDefault="00FA54A5" w:rsidP="00FA54A5">
            <w:pPr>
              <w:autoSpaceDE w:val="0"/>
              <w:autoSpaceDN w:val="0"/>
              <w:adjustRightInd w:val="0"/>
              <w:jc w:val="both"/>
              <w:rPr>
                <w:color w:val="000000"/>
              </w:rPr>
            </w:pPr>
            <w:r w:rsidRPr="009B19F4">
              <w:rPr>
                <w:color w:val="000000"/>
              </w:rPr>
              <w:t>Much Above Average</w:t>
            </w:r>
          </w:p>
        </w:tc>
      </w:tr>
    </w:tbl>
    <w:p w:rsidR="00FA54A5" w:rsidRPr="009B19F4" w:rsidRDefault="00FA54A5" w:rsidP="00FA54A5">
      <w:pPr>
        <w:pStyle w:val="ListParagraph"/>
        <w:ind w:left="0"/>
        <w:jc w:val="both"/>
      </w:pPr>
    </w:p>
    <w:p w:rsidR="00FA54A5" w:rsidRPr="009B19F4" w:rsidRDefault="006B3608" w:rsidP="00FA54A5">
      <w:pPr>
        <w:jc w:val="both"/>
      </w:pPr>
      <w:r w:rsidRPr="009B19F4">
        <w:t>MGNH</w:t>
      </w:r>
      <w:r w:rsidR="00FA54A5" w:rsidRPr="009B19F4">
        <w:t xml:space="preserve"> scored “Average” or above in all four categories rated by CMS with an overall rating of “Much </w:t>
      </w:r>
      <w:proofErr w:type="gramStart"/>
      <w:r w:rsidR="00FA54A5" w:rsidRPr="009B19F4">
        <w:t>Above</w:t>
      </w:r>
      <w:proofErr w:type="gramEnd"/>
      <w:r w:rsidR="00FA54A5" w:rsidRPr="009B19F4">
        <w:t xml:space="preserve"> Average”. The last recertification survey was conducted on 1</w:t>
      </w:r>
      <w:r w:rsidRPr="009B19F4">
        <w:t>11/20/2013</w:t>
      </w:r>
      <w:r w:rsidR="00FA54A5" w:rsidRPr="009B19F4">
        <w:t xml:space="preserve">. The result of the survey was the identification of </w:t>
      </w:r>
      <w:r w:rsidR="003C30F1" w:rsidRPr="009B19F4">
        <w:t>two</w:t>
      </w:r>
      <w:r w:rsidR="00FA54A5" w:rsidRPr="009B19F4">
        <w:t xml:space="preserve"> deficiencies. </w:t>
      </w:r>
      <w:r w:rsidR="003C30F1" w:rsidRPr="009B19F4">
        <w:t xml:space="preserve">Both deficiencies were </w:t>
      </w:r>
      <w:r w:rsidR="00FA54A5" w:rsidRPr="009B19F4">
        <w:t>Level 2 (minimal harm or potential for actual harm)</w:t>
      </w:r>
      <w:r w:rsidR="003C30F1" w:rsidRPr="009B19F4">
        <w:t>.</w:t>
      </w:r>
      <w:r w:rsidR="00FA54A5" w:rsidRPr="009B19F4">
        <w:t xml:space="preserve"> The average number of health deficiencies identified during a recertification survey in Maine is 4.</w:t>
      </w:r>
      <w:r w:rsidR="00097575" w:rsidRPr="009B19F4">
        <w:t>3</w:t>
      </w:r>
      <w:r w:rsidR="00FA54A5" w:rsidRPr="009B19F4">
        <w:t xml:space="preserve"> and the average number of health deficiencies in the United States is 6.8.</w:t>
      </w:r>
    </w:p>
    <w:p w:rsidR="00FA54A5" w:rsidRPr="009B19F4" w:rsidRDefault="00FA54A5" w:rsidP="00FA54A5">
      <w:pPr>
        <w:jc w:val="both"/>
      </w:pPr>
    </w:p>
    <w:p w:rsidR="00FA54A5" w:rsidRPr="009B19F4" w:rsidRDefault="00FA54A5" w:rsidP="00FA54A5">
      <w:pPr>
        <w:jc w:val="both"/>
      </w:pPr>
      <w:r w:rsidRPr="009B19F4">
        <w:t>Inspectors determined that the nursing home failed to:</w:t>
      </w:r>
    </w:p>
    <w:p w:rsidR="00FA54A5" w:rsidRPr="009B19F4" w:rsidRDefault="00FA54A5" w:rsidP="00FA54A5">
      <w:pPr>
        <w:jc w:val="both"/>
      </w:pPr>
    </w:p>
    <w:p w:rsidR="00FA54A5" w:rsidRPr="009B19F4" w:rsidRDefault="00FA54A5" w:rsidP="00FA54A5">
      <w:pPr>
        <w:ind w:left="1440" w:hanging="720"/>
        <w:jc w:val="both"/>
      </w:pPr>
      <w:r w:rsidRPr="009B19F4">
        <w:rPr>
          <w:b/>
        </w:rPr>
        <w:t>1)</w:t>
      </w:r>
      <w:r w:rsidRPr="009B19F4">
        <w:tab/>
      </w:r>
      <w:r w:rsidR="000B137A" w:rsidRPr="009B19F4">
        <w:t>Ensure that garbage and refuse were disposed of in a manner to prevent pest infestation for 3 out of 3 survey days for 2 out of 3 dumpsters.</w:t>
      </w:r>
    </w:p>
    <w:p w:rsidR="00FA54A5" w:rsidRPr="009B19F4" w:rsidRDefault="00FA54A5" w:rsidP="00FA54A5">
      <w:pPr>
        <w:jc w:val="both"/>
      </w:pPr>
    </w:p>
    <w:p w:rsidR="00FA54A5" w:rsidRPr="009B19F4" w:rsidRDefault="00FA54A5" w:rsidP="00FA54A5">
      <w:pPr>
        <w:ind w:left="1440" w:hanging="720"/>
        <w:jc w:val="both"/>
      </w:pPr>
      <w:r w:rsidRPr="009B19F4">
        <w:rPr>
          <w:b/>
        </w:rPr>
        <w:t>2)</w:t>
      </w:r>
      <w:r w:rsidRPr="009B19F4">
        <w:tab/>
      </w:r>
      <w:r w:rsidR="000B137A" w:rsidRPr="009B19F4">
        <w:t>Ensure that expired medications were removed from use on 2 out of 2 medication carts and from 1 of 1 medication storage rooms.</w:t>
      </w:r>
    </w:p>
    <w:p w:rsidR="00FA54A5" w:rsidRPr="009B19F4" w:rsidRDefault="00FA54A5" w:rsidP="00FA54A5">
      <w:pPr>
        <w:jc w:val="both"/>
      </w:pPr>
    </w:p>
    <w:p w:rsidR="000B137A" w:rsidRPr="009B19F4" w:rsidRDefault="00FA54A5" w:rsidP="00FA54A5">
      <w:pPr>
        <w:jc w:val="both"/>
      </w:pPr>
      <w:r w:rsidRPr="009B19F4">
        <w:t>All deficiencies were corrected by 11/2</w:t>
      </w:r>
      <w:r w:rsidR="000B137A" w:rsidRPr="009B19F4">
        <w:t>1</w:t>
      </w:r>
      <w:r w:rsidRPr="009B19F4">
        <w:t>/201</w:t>
      </w:r>
      <w:r w:rsidR="000B137A" w:rsidRPr="009B19F4">
        <w:t>3.</w:t>
      </w:r>
    </w:p>
    <w:p w:rsidR="000B137A" w:rsidRPr="009B19F4" w:rsidRDefault="000B137A" w:rsidP="00FA54A5">
      <w:pPr>
        <w:jc w:val="both"/>
      </w:pPr>
    </w:p>
    <w:p w:rsidR="00FA54A5" w:rsidRPr="009B19F4" w:rsidRDefault="000B137A" w:rsidP="00FA54A5">
      <w:pPr>
        <w:jc w:val="both"/>
      </w:pPr>
      <w:r w:rsidRPr="009B19F4">
        <w:t xml:space="preserve">On December 23, 2013 a complaint survey was conducted and inspectors determined </w:t>
      </w:r>
      <w:r w:rsidR="009F3BAB">
        <w:t>that the nursing home failed to</w:t>
      </w:r>
      <w:r w:rsidRPr="009B19F4">
        <w:t>:</w:t>
      </w:r>
    </w:p>
    <w:p w:rsidR="000B137A" w:rsidRPr="009B19F4" w:rsidRDefault="000B137A" w:rsidP="00FA54A5">
      <w:pPr>
        <w:jc w:val="both"/>
      </w:pPr>
    </w:p>
    <w:p w:rsidR="000B137A" w:rsidRPr="009B19F4" w:rsidRDefault="000B137A" w:rsidP="000B137A">
      <w:pPr>
        <w:ind w:left="1350" w:hanging="675"/>
        <w:jc w:val="both"/>
      </w:pPr>
      <w:r w:rsidRPr="009B19F4">
        <w:rPr>
          <w:b/>
        </w:rPr>
        <w:t>1)</w:t>
      </w:r>
      <w:r w:rsidRPr="009B19F4">
        <w:tab/>
        <w:t>Ensure staff notified a legal guardian of changes in medications and treatments for   2 out of 5 residents.</w:t>
      </w:r>
    </w:p>
    <w:p w:rsidR="000B137A" w:rsidRPr="009B19F4" w:rsidRDefault="000B137A" w:rsidP="004D716B">
      <w:pPr>
        <w:jc w:val="both"/>
      </w:pPr>
    </w:p>
    <w:p w:rsidR="00FA54A5" w:rsidRPr="009B19F4" w:rsidRDefault="000B137A" w:rsidP="00FA54A5">
      <w:pPr>
        <w:jc w:val="both"/>
      </w:pPr>
      <w:r w:rsidRPr="009B19F4">
        <w:t>This deficiency was corrected on 1/22/2014.</w:t>
      </w:r>
    </w:p>
    <w:p w:rsidR="000B137A" w:rsidRPr="009B19F4" w:rsidRDefault="000B137A" w:rsidP="00FA54A5">
      <w:pPr>
        <w:jc w:val="both"/>
      </w:pPr>
    </w:p>
    <w:p w:rsidR="00FA54A5" w:rsidRPr="009B19F4" w:rsidRDefault="00FA54A5" w:rsidP="00FA54A5">
      <w:pPr>
        <w:jc w:val="both"/>
      </w:pPr>
      <w:r w:rsidRPr="009B19F4">
        <w:t xml:space="preserve">Survey data for this facility can be accessed at Medicare.gov </w:t>
      </w:r>
      <w:r w:rsidR="000B137A" w:rsidRPr="009B19F4">
        <w:t xml:space="preserve">or at DHHS DLRS </w:t>
      </w:r>
      <w:r w:rsidRPr="009B19F4">
        <w:t>and is on file at CONU.</w:t>
      </w:r>
    </w:p>
    <w:p w:rsidR="00FA54A5" w:rsidRPr="009B19F4" w:rsidRDefault="00FA54A5" w:rsidP="00FA54A5">
      <w:pPr>
        <w:jc w:val="both"/>
      </w:pPr>
    </w:p>
    <w:p w:rsidR="00FA54A5" w:rsidRPr="009B19F4" w:rsidRDefault="00FA54A5" w:rsidP="00FA54A5">
      <w:pPr>
        <w:jc w:val="both"/>
      </w:pPr>
      <w:r w:rsidRPr="009B19F4">
        <w:t>The commissioner can rely on data available to the department regarding the quality of health care provided by the applica</w:t>
      </w:r>
      <w:r w:rsidR="00FF21D3">
        <w:t>nt as allowed at M.R.S. 22 §337</w:t>
      </w:r>
      <w:r w:rsidRPr="009B19F4">
        <w:t>(3).</w:t>
      </w:r>
    </w:p>
    <w:p w:rsidR="00FA54A5" w:rsidRPr="009B19F4" w:rsidRDefault="00FA54A5" w:rsidP="00FA54A5">
      <w:pPr>
        <w:rPr>
          <w:b/>
        </w:rPr>
      </w:pPr>
    </w:p>
    <w:p w:rsidR="009B19F4" w:rsidRPr="009B19F4" w:rsidRDefault="009B19F4" w:rsidP="00FA54A5">
      <w:pPr>
        <w:rPr>
          <w:b/>
        </w:rPr>
        <w:sectPr w:rsidR="009B19F4" w:rsidRPr="009B19F4" w:rsidSect="00137E29">
          <w:pgSz w:w="12240" w:h="15840"/>
          <w:pgMar w:top="1440" w:right="1440" w:bottom="1440" w:left="1440" w:header="720" w:footer="720" w:gutter="0"/>
          <w:cols w:space="720"/>
          <w:docGrid w:linePitch="360"/>
        </w:sectPr>
      </w:pPr>
    </w:p>
    <w:p w:rsidR="000C1C82" w:rsidRDefault="000C1C82" w:rsidP="00FA54A5">
      <w:pPr>
        <w:rPr>
          <w:b/>
        </w:rPr>
      </w:pPr>
    </w:p>
    <w:p w:rsidR="00FA54A5" w:rsidRPr="009B19F4" w:rsidRDefault="00FA54A5" w:rsidP="00FA54A5">
      <w:pPr>
        <w:rPr>
          <w:b/>
        </w:rPr>
      </w:pPr>
      <w:r w:rsidRPr="009B19F4">
        <w:rPr>
          <w:b/>
        </w:rPr>
        <w:t>Deeming of Standard</w:t>
      </w:r>
    </w:p>
    <w:p w:rsidR="00FA54A5" w:rsidRPr="009B19F4" w:rsidRDefault="00FA54A5" w:rsidP="00FA54A5">
      <w:pPr>
        <w:rPr>
          <w:sz w:val="16"/>
          <w:szCs w:val="16"/>
        </w:rPr>
      </w:pPr>
    </w:p>
    <w:p w:rsidR="00FA54A5" w:rsidRPr="009B19F4" w:rsidRDefault="00FA54A5" w:rsidP="004D716B">
      <w:pPr>
        <w:jc w:val="both"/>
      </w:pPr>
      <w:r w:rsidRPr="009B19F4">
        <w:t>As provided for at 22 M.R.S. § 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FA54A5" w:rsidRPr="009B19F4" w:rsidRDefault="00FA54A5" w:rsidP="00FA54A5"/>
    <w:p w:rsidR="00FA54A5" w:rsidRDefault="000B137A" w:rsidP="004D716B">
      <w:pPr>
        <w:jc w:val="both"/>
      </w:pPr>
      <w:r w:rsidRPr="009B19F4">
        <w:t>MGNH</w:t>
      </w:r>
      <w:r w:rsidR="00FA54A5" w:rsidRPr="009B19F4">
        <w:t xml:space="preserve"> has been under the ownership of the </w:t>
      </w:r>
      <w:r w:rsidRPr="009B19F4">
        <w:t>Brown</w:t>
      </w:r>
      <w:r w:rsidR="00FA54A5" w:rsidRPr="009B19F4">
        <w:t xml:space="preserve"> family since 197</w:t>
      </w:r>
      <w:r w:rsidRPr="009B19F4">
        <w:t>2</w:t>
      </w:r>
      <w:r w:rsidR="00FA54A5" w:rsidRPr="009B19F4">
        <w:t xml:space="preserve"> and has been a provider of both SNF/NF beds and Level IV Residential Care beds for decades. The services provided by the applicant are consistent with applicable licensing and certification standards.</w:t>
      </w:r>
    </w:p>
    <w:p w:rsidR="00C75649" w:rsidRDefault="00C75649" w:rsidP="004D716B">
      <w:pPr>
        <w:jc w:val="both"/>
      </w:pPr>
    </w:p>
    <w:p w:rsidR="00C75649" w:rsidRPr="00C75649" w:rsidRDefault="00C75649" w:rsidP="004D716B">
      <w:pPr>
        <w:jc w:val="both"/>
        <w:rPr>
          <w:b/>
          <w:u w:val="single"/>
        </w:rPr>
      </w:pPr>
      <w:r w:rsidRPr="00C75649">
        <w:rPr>
          <w:b/>
          <w:u w:val="single"/>
        </w:rPr>
        <w:t>CONU Comment:</w:t>
      </w:r>
    </w:p>
    <w:p w:rsidR="00FA54A5" w:rsidRDefault="00C75649" w:rsidP="00FA54A5">
      <w:r>
        <w:t>No additional analysis is required for the Fit, Willing and Able standard as a result of the revised project.</w:t>
      </w:r>
    </w:p>
    <w:p w:rsidR="00C75649" w:rsidRPr="009B19F4" w:rsidRDefault="00C75649" w:rsidP="00FA54A5"/>
    <w:p w:rsidR="00FA54A5" w:rsidRPr="00D46EA9" w:rsidRDefault="004D716B" w:rsidP="00D46EA9">
      <w:pPr>
        <w:pStyle w:val="ListParagraph"/>
        <w:numPr>
          <w:ilvl w:val="0"/>
          <w:numId w:val="32"/>
        </w:numPr>
        <w:ind w:left="450" w:hanging="450"/>
        <w:rPr>
          <w:b/>
        </w:rPr>
      </w:pPr>
      <w:r w:rsidRPr="00D46EA9">
        <w:rPr>
          <w:b/>
        </w:rPr>
        <w:t>Conclusion</w:t>
      </w:r>
    </w:p>
    <w:p w:rsidR="00FA54A5" w:rsidRPr="009B19F4" w:rsidRDefault="00FA54A5" w:rsidP="00FA54A5">
      <w:pPr>
        <w:rPr>
          <w:b/>
          <w:sz w:val="16"/>
          <w:szCs w:val="16"/>
        </w:rPr>
      </w:pPr>
    </w:p>
    <w:p w:rsidR="00FA54A5" w:rsidRPr="009B19F4" w:rsidRDefault="00FA54A5" w:rsidP="004D716B">
      <w:pPr>
        <w:jc w:val="both"/>
      </w:pPr>
      <w:r w:rsidRPr="009B19F4">
        <w:t xml:space="preserve">The Certificate of Need Unit recommends 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AE3C39" w:rsidRPr="009B19F4" w:rsidRDefault="00AE3C39" w:rsidP="008E41AC">
      <w:pPr>
        <w:sectPr w:rsidR="00AE3C39" w:rsidRPr="009B19F4" w:rsidSect="00137E29">
          <w:pgSz w:w="12240" w:h="15840"/>
          <w:pgMar w:top="1440" w:right="1440" w:bottom="1440" w:left="1440" w:header="720" w:footer="720" w:gutter="0"/>
          <w:cols w:space="720"/>
          <w:docGrid w:linePitch="360"/>
        </w:sectPr>
      </w:pPr>
    </w:p>
    <w:p w:rsidR="00861AD4" w:rsidRPr="009B19F4" w:rsidRDefault="004336AF" w:rsidP="009B19F4">
      <w:pPr>
        <w:pStyle w:val="Heading1"/>
        <w:rPr>
          <w:rFonts w:ascii="Times New Roman" w:hAnsi="Times New Roman" w:cs="Times New Roman"/>
        </w:rPr>
      </w:pPr>
      <w:bookmarkStart w:id="14" w:name="_Ref195319937"/>
      <w:r w:rsidRPr="009B19F4">
        <w:rPr>
          <w:rFonts w:ascii="Times New Roman" w:hAnsi="Times New Roman" w:cs="Times New Roman"/>
        </w:rPr>
        <w:t xml:space="preserve">III. </w:t>
      </w:r>
      <w:bookmarkEnd w:id="14"/>
      <w:r w:rsidR="00237C8E" w:rsidRPr="009B19F4">
        <w:rPr>
          <w:rFonts w:ascii="Times New Roman" w:hAnsi="Times New Roman" w:cs="Times New Roman"/>
        </w:rPr>
        <w:t>Economic Feasibility</w:t>
      </w:r>
    </w:p>
    <w:p w:rsidR="00861AD4" w:rsidRPr="009B19F4" w:rsidRDefault="00861AD4" w:rsidP="005E5A17">
      <w:pPr>
        <w:rPr>
          <w:b/>
        </w:rPr>
      </w:pPr>
    </w:p>
    <w:p w:rsidR="00FF631B" w:rsidRPr="009B19F4" w:rsidRDefault="00137E29" w:rsidP="00861AD4">
      <w:pPr>
        <w:rPr>
          <w:b/>
        </w:rPr>
      </w:pPr>
      <w:r w:rsidRPr="009B19F4">
        <w:rPr>
          <w:b/>
        </w:rPr>
        <w:t xml:space="preserve">A. </w:t>
      </w:r>
      <w:r w:rsidR="00FF631B" w:rsidRPr="009B19F4">
        <w:rPr>
          <w:b/>
          <w:u w:val="single"/>
        </w:rPr>
        <w:t>From Applicant</w:t>
      </w:r>
    </w:p>
    <w:p w:rsidR="00137E29" w:rsidRPr="009B19F4" w:rsidRDefault="00137E29" w:rsidP="00861AD4">
      <w:pPr>
        <w:rPr>
          <w:b/>
          <w:sz w:val="22"/>
          <w:szCs w:val="22"/>
          <w:u w:val="single"/>
        </w:rPr>
      </w:pPr>
    </w:p>
    <w:p w:rsidR="007C4103" w:rsidRPr="009B19F4" w:rsidRDefault="003D19F7" w:rsidP="007C4103">
      <w:pPr>
        <w:jc w:val="both"/>
        <w:rPr>
          <w:sz w:val="22"/>
          <w:szCs w:val="22"/>
        </w:rPr>
      </w:pPr>
      <w:r w:rsidRPr="009B19F4">
        <w:rPr>
          <w:sz w:val="22"/>
          <w:szCs w:val="22"/>
        </w:rPr>
        <w:t>“</w:t>
      </w:r>
      <w:r w:rsidR="007C4103" w:rsidRPr="009B19F4">
        <w:rPr>
          <w:sz w:val="22"/>
          <w:szCs w:val="22"/>
        </w:rPr>
        <w:t>Relevant criteria for inclusion in this section are specific to the determination that the economic feasibility of the proposed services is demonstrated in terms of the:</w:t>
      </w:r>
    </w:p>
    <w:p w:rsidR="007C4103" w:rsidRPr="009B19F4" w:rsidRDefault="007C4103" w:rsidP="007C4103">
      <w:pPr>
        <w:jc w:val="both"/>
        <w:rPr>
          <w:sz w:val="22"/>
          <w:szCs w:val="22"/>
        </w:rPr>
      </w:pPr>
    </w:p>
    <w:p w:rsidR="007C4103" w:rsidRPr="009B19F4" w:rsidRDefault="007C4103" w:rsidP="007C4103">
      <w:pPr>
        <w:numPr>
          <w:ilvl w:val="0"/>
          <w:numId w:val="28"/>
        </w:numPr>
        <w:ind w:left="360"/>
        <w:jc w:val="both"/>
        <w:rPr>
          <w:sz w:val="22"/>
          <w:szCs w:val="22"/>
        </w:rPr>
      </w:pPr>
      <w:r w:rsidRPr="009B19F4">
        <w:rPr>
          <w:sz w:val="22"/>
          <w:szCs w:val="22"/>
        </w:rPr>
        <w:t>Capacity of the applicant to support the project financially over its useful life, in light of the rates the applicant expects to be able to charge for the services to be provided by the project; and</w:t>
      </w:r>
    </w:p>
    <w:p w:rsidR="007C4103" w:rsidRPr="009B19F4" w:rsidRDefault="007C4103" w:rsidP="007C4103">
      <w:pPr>
        <w:ind w:left="360"/>
        <w:jc w:val="both"/>
        <w:rPr>
          <w:sz w:val="22"/>
          <w:szCs w:val="22"/>
        </w:rPr>
      </w:pPr>
    </w:p>
    <w:p w:rsidR="007C4103" w:rsidRPr="009B19F4" w:rsidRDefault="007C4103" w:rsidP="007C4103">
      <w:pPr>
        <w:numPr>
          <w:ilvl w:val="0"/>
          <w:numId w:val="28"/>
        </w:numPr>
        <w:ind w:left="360"/>
        <w:jc w:val="both"/>
        <w:rPr>
          <w:sz w:val="22"/>
          <w:szCs w:val="22"/>
        </w:rPr>
      </w:pPr>
      <w:r w:rsidRPr="009B19F4">
        <w:rPr>
          <w:sz w:val="22"/>
          <w:szCs w:val="22"/>
        </w:rPr>
        <w:t>The applicant’s ability to establish and operate the project in accordance with existing and reasonably anticipated future changes in federal, state and local licensure and other applicable or potentially applicable rules.</w:t>
      </w:r>
      <w:r w:rsidR="003D19F7" w:rsidRPr="009B19F4">
        <w:rPr>
          <w:sz w:val="22"/>
          <w:szCs w:val="22"/>
        </w:rPr>
        <w:t>”</w:t>
      </w:r>
    </w:p>
    <w:p w:rsidR="007C4103" w:rsidRPr="009B19F4" w:rsidRDefault="007C4103" w:rsidP="007C4103">
      <w:pPr>
        <w:jc w:val="both"/>
        <w:rPr>
          <w:sz w:val="22"/>
          <w:szCs w:val="22"/>
          <w:u w:val="single"/>
        </w:rPr>
      </w:pPr>
    </w:p>
    <w:p w:rsidR="007C4103" w:rsidRPr="009B19F4" w:rsidRDefault="003D19F7" w:rsidP="007C4103">
      <w:pPr>
        <w:jc w:val="both"/>
        <w:rPr>
          <w:sz w:val="22"/>
          <w:szCs w:val="22"/>
        </w:rPr>
      </w:pPr>
      <w:r w:rsidRPr="009B19F4">
        <w:rPr>
          <w:sz w:val="22"/>
          <w:szCs w:val="22"/>
        </w:rPr>
        <w:t>“</w:t>
      </w:r>
      <w:r w:rsidR="007C4103" w:rsidRPr="009B19F4">
        <w:rPr>
          <w:sz w:val="22"/>
          <w:szCs w:val="22"/>
        </w:rPr>
        <w:t>Historically, MGNH has been at the forefront of providing quality services to the elderly and disabled in our community - continually evolving over the years to create a continuum of care for our residents in a cost effective manner. The following table provides a summary of MGNH’s 2011 and 2012 income statements which were excerpted from the reviewed financial statements.</w:t>
      </w:r>
      <w:r w:rsidRPr="009B19F4">
        <w:rPr>
          <w:sz w:val="22"/>
          <w:szCs w:val="22"/>
        </w:rPr>
        <w:t>”</w:t>
      </w:r>
    </w:p>
    <w:p w:rsidR="007C4103" w:rsidRPr="009B19F4" w:rsidRDefault="007C4103" w:rsidP="007C4103">
      <w:pPr>
        <w:jc w:val="both"/>
        <w:rPr>
          <w:sz w:val="22"/>
          <w:szCs w:val="22"/>
        </w:rPr>
      </w:pPr>
    </w:p>
    <w:tbl>
      <w:tblPr>
        <w:tblW w:w="0" w:type="auto"/>
        <w:jc w:val="center"/>
        <w:tblInd w:w="558" w:type="dxa"/>
        <w:tblLook w:val="04A0" w:firstRow="1" w:lastRow="0" w:firstColumn="1" w:lastColumn="0" w:noHBand="0" w:noVBand="1"/>
      </w:tblPr>
      <w:tblGrid>
        <w:gridCol w:w="4680"/>
        <w:gridCol w:w="1620"/>
        <w:gridCol w:w="1620"/>
      </w:tblGrid>
      <w:tr w:rsidR="007C4103" w:rsidRPr="009B19F4" w:rsidTr="003A2BF6">
        <w:trPr>
          <w:jc w:val="center"/>
        </w:trPr>
        <w:tc>
          <w:tcPr>
            <w:tcW w:w="4680" w:type="dxa"/>
            <w:shd w:val="clear" w:color="auto" w:fill="auto"/>
          </w:tcPr>
          <w:p w:rsidR="007C4103" w:rsidRPr="009B19F4" w:rsidRDefault="007C4103" w:rsidP="00FA54A5">
            <w:pPr>
              <w:jc w:val="both"/>
              <w:rPr>
                <w:sz w:val="22"/>
                <w:szCs w:val="22"/>
              </w:rPr>
            </w:pPr>
          </w:p>
        </w:tc>
        <w:tc>
          <w:tcPr>
            <w:tcW w:w="1620" w:type="dxa"/>
            <w:shd w:val="clear" w:color="auto" w:fill="auto"/>
          </w:tcPr>
          <w:p w:rsidR="007C4103" w:rsidRPr="009B19F4" w:rsidRDefault="007C4103" w:rsidP="00FA54A5">
            <w:pPr>
              <w:jc w:val="center"/>
              <w:rPr>
                <w:sz w:val="22"/>
                <w:szCs w:val="22"/>
                <w:u w:val="single"/>
              </w:rPr>
            </w:pPr>
            <w:r w:rsidRPr="009B19F4">
              <w:rPr>
                <w:sz w:val="22"/>
                <w:szCs w:val="22"/>
                <w:u w:val="single"/>
              </w:rPr>
              <w:t>2011</w:t>
            </w:r>
          </w:p>
        </w:tc>
        <w:tc>
          <w:tcPr>
            <w:tcW w:w="1620" w:type="dxa"/>
            <w:shd w:val="clear" w:color="auto" w:fill="auto"/>
          </w:tcPr>
          <w:p w:rsidR="007C4103" w:rsidRPr="009B19F4" w:rsidRDefault="007C4103" w:rsidP="00FA54A5">
            <w:pPr>
              <w:jc w:val="center"/>
              <w:rPr>
                <w:sz w:val="22"/>
                <w:szCs w:val="22"/>
                <w:u w:val="single"/>
              </w:rPr>
            </w:pPr>
            <w:r w:rsidRPr="009B19F4">
              <w:rPr>
                <w:sz w:val="22"/>
                <w:szCs w:val="22"/>
                <w:u w:val="single"/>
              </w:rPr>
              <w:t>2012</w:t>
            </w:r>
          </w:p>
        </w:tc>
      </w:tr>
      <w:tr w:rsidR="007C4103" w:rsidRPr="009B19F4" w:rsidTr="003A2BF6">
        <w:trPr>
          <w:jc w:val="center"/>
        </w:trPr>
        <w:tc>
          <w:tcPr>
            <w:tcW w:w="4680" w:type="dxa"/>
            <w:shd w:val="clear" w:color="auto" w:fill="auto"/>
          </w:tcPr>
          <w:p w:rsidR="007C4103" w:rsidRPr="009B19F4" w:rsidRDefault="007C4103" w:rsidP="00FA54A5">
            <w:pPr>
              <w:jc w:val="both"/>
              <w:rPr>
                <w:sz w:val="22"/>
                <w:szCs w:val="22"/>
              </w:rPr>
            </w:pPr>
          </w:p>
        </w:tc>
        <w:tc>
          <w:tcPr>
            <w:tcW w:w="1620" w:type="dxa"/>
            <w:shd w:val="clear" w:color="auto" w:fill="auto"/>
          </w:tcPr>
          <w:p w:rsidR="007C4103" w:rsidRPr="009B19F4" w:rsidRDefault="007C4103" w:rsidP="00FA54A5">
            <w:pPr>
              <w:jc w:val="both"/>
              <w:rPr>
                <w:sz w:val="22"/>
                <w:szCs w:val="22"/>
              </w:rPr>
            </w:pPr>
          </w:p>
        </w:tc>
        <w:tc>
          <w:tcPr>
            <w:tcW w:w="1620" w:type="dxa"/>
            <w:shd w:val="clear" w:color="auto" w:fill="auto"/>
          </w:tcPr>
          <w:p w:rsidR="007C4103" w:rsidRPr="009B19F4" w:rsidRDefault="007C4103" w:rsidP="00FA54A5">
            <w:pPr>
              <w:jc w:val="both"/>
              <w:rPr>
                <w:sz w:val="22"/>
                <w:szCs w:val="22"/>
              </w:rPr>
            </w:pPr>
          </w:p>
        </w:tc>
      </w:tr>
      <w:tr w:rsidR="007C4103" w:rsidRPr="009B19F4" w:rsidTr="003A2BF6">
        <w:trPr>
          <w:jc w:val="center"/>
        </w:trPr>
        <w:tc>
          <w:tcPr>
            <w:tcW w:w="4680" w:type="dxa"/>
            <w:shd w:val="clear" w:color="auto" w:fill="auto"/>
          </w:tcPr>
          <w:p w:rsidR="007C4103" w:rsidRPr="009B19F4" w:rsidRDefault="00464D4F" w:rsidP="00FA54A5">
            <w:pPr>
              <w:jc w:val="both"/>
              <w:rPr>
                <w:sz w:val="22"/>
                <w:szCs w:val="22"/>
              </w:rPr>
            </w:pPr>
            <w:r w:rsidRPr="009B19F4">
              <w:rPr>
                <w:sz w:val="22"/>
                <w:szCs w:val="22"/>
              </w:rPr>
              <w:t>“</w:t>
            </w:r>
            <w:r w:rsidR="007C4103" w:rsidRPr="009B19F4">
              <w:rPr>
                <w:sz w:val="22"/>
                <w:szCs w:val="22"/>
              </w:rPr>
              <w:t>Total operating income</w:t>
            </w:r>
          </w:p>
        </w:tc>
        <w:tc>
          <w:tcPr>
            <w:tcW w:w="1620" w:type="dxa"/>
            <w:shd w:val="clear" w:color="auto" w:fill="auto"/>
          </w:tcPr>
          <w:p w:rsidR="007C4103" w:rsidRPr="009B19F4" w:rsidRDefault="007C4103" w:rsidP="00FA54A5">
            <w:pPr>
              <w:tabs>
                <w:tab w:val="right" w:pos="170"/>
                <w:tab w:val="decimal" w:pos="1242"/>
              </w:tabs>
              <w:rPr>
                <w:sz w:val="22"/>
                <w:szCs w:val="22"/>
              </w:rPr>
            </w:pPr>
            <w:r w:rsidRPr="009B19F4">
              <w:rPr>
                <w:sz w:val="22"/>
                <w:szCs w:val="22"/>
              </w:rPr>
              <w:tab/>
              <w:t>$</w:t>
            </w:r>
            <w:r w:rsidRPr="009B19F4">
              <w:rPr>
                <w:sz w:val="22"/>
                <w:szCs w:val="22"/>
                <w:u w:val="single"/>
              </w:rPr>
              <w:tab/>
              <w:t>7,539,344</w:t>
            </w:r>
          </w:p>
        </w:tc>
        <w:tc>
          <w:tcPr>
            <w:tcW w:w="1620" w:type="dxa"/>
            <w:shd w:val="clear" w:color="auto" w:fill="auto"/>
          </w:tcPr>
          <w:p w:rsidR="007C4103" w:rsidRPr="009B19F4" w:rsidRDefault="007C4103" w:rsidP="00FA54A5">
            <w:pPr>
              <w:tabs>
                <w:tab w:val="right" w:pos="162"/>
                <w:tab w:val="decimal" w:pos="1242"/>
              </w:tabs>
              <w:rPr>
                <w:sz w:val="22"/>
                <w:szCs w:val="22"/>
              </w:rPr>
            </w:pPr>
            <w:r w:rsidRPr="009B19F4">
              <w:rPr>
                <w:sz w:val="22"/>
                <w:szCs w:val="22"/>
              </w:rPr>
              <w:tab/>
              <w:t>$</w:t>
            </w:r>
            <w:r w:rsidRPr="009B19F4">
              <w:rPr>
                <w:sz w:val="22"/>
                <w:szCs w:val="22"/>
                <w:u w:val="single"/>
              </w:rPr>
              <w:tab/>
              <w:t>7,950,700</w:t>
            </w:r>
          </w:p>
        </w:tc>
      </w:tr>
      <w:tr w:rsidR="007C4103" w:rsidRPr="009B19F4" w:rsidTr="003A2BF6">
        <w:trPr>
          <w:jc w:val="center"/>
        </w:trPr>
        <w:tc>
          <w:tcPr>
            <w:tcW w:w="4680" w:type="dxa"/>
            <w:shd w:val="clear" w:color="auto" w:fill="auto"/>
          </w:tcPr>
          <w:p w:rsidR="007C4103" w:rsidRPr="009B19F4" w:rsidRDefault="007C4103" w:rsidP="00FA54A5">
            <w:pPr>
              <w:jc w:val="both"/>
              <w:rPr>
                <w:sz w:val="22"/>
                <w:szCs w:val="22"/>
              </w:rPr>
            </w:pPr>
          </w:p>
        </w:tc>
        <w:tc>
          <w:tcPr>
            <w:tcW w:w="1620" w:type="dxa"/>
            <w:shd w:val="clear" w:color="auto" w:fill="auto"/>
          </w:tcPr>
          <w:p w:rsidR="007C4103" w:rsidRPr="009B19F4" w:rsidRDefault="007C4103" w:rsidP="00FA54A5">
            <w:pPr>
              <w:tabs>
                <w:tab w:val="right" w:pos="170"/>
                <w:tab w:val="decimal" w:pos="1242"/>
              </w:tabs>
              <w:rPr>
                <w:sz w:val="22"/>
                <w:szCs w:val="22"/>
              </w:rPr>
            </w:pPr>
          </w:p>
        </w:tc>
        <w:tc>
          <w:tcPr>
            <w:tcW w:w="1620" w:type="dxa"/>
            <w:shd w:val="clear" w:color="auto" w:fill="auto"/>
          </w:tcPr>
          <w:p w:rsidR="007C4103" w:rsidRPr="009B19F4" w:rsidRDefault="007C4103" w:rsidP="00FA54A5">
            <w:pPr>
              <w:tabs>
                <w:tab w:val="right" w:pos="162"/>
                <w:tab w:val="decimal" w:pos="1242"/>
              </w:tabs>
              <w:rPr>
                <w:sz w:val="22"/>
                <w:szCs w:val="22"/>
              </w:rPr>
            </w:pPr>
          </w:p>
        </w:tc>
      </w:tr>
      <w:tr w:rsidR="007C4103" w:rsidRPr="009B19F4" w:rsidTr="003A2BF6">
        <w:trPr>
          <w:jc w:val="center"/>
        </w:trPr>
        <w:tc>
          <w:tcPr>
            <w:tcW w:w="4680" w:type="dxa"/>
            <w:shd w:val="clear" w:color="auto" w:fill="auto"/>
          </w:tcPr>
          <w:p w:rsidR="007C4103" w:rsidRPr="009B19F4" w:rsidRDefault="007C4103" w:rsidP="00FA54A5">
            <w:pPr>
              <w:jc w:val="both"/>
              <w:rPr>
                <w:sz w:val="22"/>
                <w:szCs w:val="22"/>
              </w:rPr>
            </w:pPr>
            <w:r w:rsidRPr="009B19F4">
              <w:rPr>
                <w:sz w:val="22"/>
                <w:szCs w:val="22"/>
              </w:rPr>
              <w:t>Operating expenses</w:t>
            </w:r>
          </w:p>
        </w:tc>
        <w:tc>
          <w:tcPr>
            <w:tcW w:w="1620" w:type="dxa"/>
            <w:shd w:val="clear" w:color="auto" w:fill="auto"/>
          </w:tcPr>
          <w:p w:rsidR="007C4103" w:rsidRPr="009B19F4" w:rsidRDefault="007C4103" w:rsidP="00FA54A5">
            <w:pPr>
              <w:tabs>
                <w:tab w:val="right" w:pos="170"/>
                <w:tab w:val="decimal" w:pos="1242"/>
              </w:tabs>
              <w:rPr>
                <w:sz w:val="22"/>
                <w:szCs w:val="22"/>
              </w:rPr>
            </w:pPr>
          </w:p>
        </w:tc>
        <w:tc>
          <w:tcPr>
            <w:tcW w:w="1620" w:type="dxa"/>
            <w:shd w:val="clear" w:color="auto" w:fill="auto"/>
          </w:tcPr>
          <w:p w:rsidR="007C4103" w:rsidRPr="009B19F4" w:rsidRDefault="007C4103" w:rsidP="00FA54A5">
            <w:pPr>
              <w:tabs>
                <w:tab w:val="right" w:pos="162"/>
                <w:tab w:val="decimal" w:pos="1242"/>
              </w:tabs>
              <w:rPr>
                <w:sz w:val="22"/>
                <w:szCs w:val="22"/>
              </w:rPr>
            </w:pPr>
          </w:p>
        </w:tc>
      </w:tr>
      <w:tr w:rsidR="007C4103" w:rsidRPr="009B19F4" w:rsidTr="003A2BF6">
        <w:trPr>
          <w:jc w:val="center"/>
        </w:trPr>
        <w:tc>
          <w:tcPr>
            <w:tcW w:w="4680" w:type="dxa"/>
            <w:shd w:val="clear" w:color="auto" w:fill="auto"/>
          </w:tcPr>
          <w:p w:rsidR="007C4103" w:rsidRPr="009B19F4" w:rsidRDefault="007C4103" w:rsidP="00FA54A5">
            <w:pPr>
              <w:tabs>
                <w:tab w:val="left" w:pos="342"/>
              </w:tabs>
              <w:jc w:val="both"/>
              <w:rPr>
                <w:sz w:val="22"/>
                <w:szCs w:val="22"/>
              </w:rPr>
            </w:pPr>
            <w:r w:rsidRPr="009B19F4">
              <w:rPr>
                <w:sz w:val="22"/>
                <w:szCs w:val="22"/>
              </w:rPr>
              <w:tab/>
              <w:t>Nursing services</w:t>
            </w:r>
          </w:p>
        </w:tc>
        <w:tc>
          <w:tcPr>
            <w:tcW w:w="1620" w:type="dxa"/>
            <w:shd w:val="clear" w:color="auto" w:fill="auto"/>
          </w:tcPr>
          <w:p w:rsidR="007C4103" w:rsidRPr="009B19F4" w:rsidRDefault="007C4103" w:rsidP="00FA54A5">
            <w:pPr>
              <w:tabs>
                <w:tab w:val="right" w:pos="170"/>
                <w:tab w:val="decimal" w:pos="1242"/>
              </w:tabs>
              <w:rPr>
                <w:sz w:val="22"/>
                <w:szCs w:val="22"/>
              </w:rPr>
            </w:pPr>
            <w:r w:rsidRPr="009B19F4">
              <w:rPr>
                <w:sz w:val="22"/>
                <w:szCs w:val="22"/>
              </w:rPr>
              <w:tab/>
            </w:r>
            <w:r w:rsidRPr="009B19F4">
              <w:rPr>
                <w:sz w:val="22"/>
                <w:szCs w:val="22"/>
              </w:rPr>
              <w:tab/>
              <w:t>3,506,149</w:t>
            </w:r>
          </w:p>
        </w:tc>
        <w:tc>
          <w:tcPr>
            <w:tcW w:w="1620" w:type="dxa"/>
            <w:shd w:val="clear" w:color="auto" w:fill="auto"/>
          </w:tcPr>
          <w:p w:rsidR="007C4103" w:rsidRPr="009B19F4" w:rsidRDefault="007C4103" w:rsidP="00FA54A5">
            <w:pPr>
              <w:tabs>
                <w:tab w:val="right" w:pos="162"/>
                <w:tab w:val="decimal" w:pos="1242"/>
              </w:tabs>
              <w:rPr>
                <w:sz w:val="22"/>
                <w:szCs w:val="22"/>
              </w:rPr>
            </w:pPr>
            <w:r w:rsidRPr="009B19F4">
              <w:rPr>
                <w:sz w:val="22"/>
                <w:szCs w:val="22"/>
              </w:rPr>
              <w:tab/>
            </w:r>
            <w:r w:rsidRPr="009B19F4">
              <w:rPr>
                <w:sz w:val="22"/>
                <w:szCs w:val="22"/>
              </w:rPr>
              <w:tab/>
              <w:t>3,733,817</w:t>
            </w:r>
          </w:p>
        </w:tc>
      </w:tr>
      <w:tr w:rsidR="007C4103" w:rsidRPr="009B19F4" w:rsidTr="003A2BF6">
        <w:trPr>
          <w:jc w:val="center"/>
        </w:trPr>
        <w:tc>
          <w:tcPr>
            <w:tcW w:w="4680" w:type="dxa"/>
            <w:shd w:val="clear" w:color="auto" w:fill="auto"/>
          </w:tcPr>
          <w:p w:rsidR="007C4103" w:rsidRPr="009B19F4" w:rsidRDefault="007C4103" w:rsidP="00FA54A5">
            <w:pPr>
              <w:tabs>
                <w:tab w:val="left" w:pos="342"/>
              </w:tabs>
              <w:jc w:val="both"/>
              <w:rPr>
                <w:sz w:val="22"/>
                <w:szCs w:val="22"/>
              </w:rPr>
            </w:pPr>
            <w:r w:rsidRPr="009B19F4">
              <w:rPr>
                <w:sz w:val="22"/>
                <w:szCs w:val="22"/>
              </w:rPr>
              <w:tab/>
              <w:t>Recreation and social services</w:t>
            </w:r>
          </w:p>
        </w:tc>
        <w:tc>
          <w:tcPr>
            <w:tcW w:w="1620" w:type="dxa"/>
            <w:shd w:val="clear" w:color="auto" w:fill="auto"/>
          </w:tcPr>
          <w:p w:rsidR="007C4103" w:rsidRPr="009B19F4" w:rsidRDefault="007C4103" w:rsidP="00FA54A5">
            <w:pPr>
              <w:tabs>
                <w:tab w:val="right" w:pos="170"/>
                <w:tab w:val="decimal" w:pos="1242"/>
              </w:tabs>
              <w:rPr>
                <w:sz w:val="22"/>
                <w:szCs w:val="22"/>
              </w:rPr>
            </w:pPr>
            <w:r w:rsidRPr="009B19F4">
              <w:rPr>
                <w:sz w:val="22"/>
                <w:szCs w:val="22"/>
              </w:rPr>
              <w:tab/>
            </w:r>
            <w:r w:rsidRPr="009B19F4">
              <w:rPr>
                <w:sz w:val="22"/>
                <w:szCs w:val="22"/>
              </w:rPr>
              <w:tab/>
              <w:t>316,614</w:t>
            </w:r>
          </w:p>
        </w:tc>
        <w:tc>
          <w:tcPr>
            <w:tcW w:w="1620" w:type="dxa"/>
            <w:shd w:val="clear" w:color="auto" w:fill="auto"/>
          </w:tcPr>
          <w:p w:rsidR="007C4103" w:rsidRPr="009B19F4" w:rsidRDefault="007C4103" w:rsidP="00FA54A5">
            <w:pPr>
              <w:tabs>
                <w:tab w:val="right" w:pos="162"/>
                <w:tab w:val="decimal" w:pos="1242"/>
              </w:tabs>
              <w:rPr>
                <w:sz w:val="22"/>
                <w:szCs w:val="22"/>
              </w:rPr>
            </w:pPr>
            <w:r w:rsidRPr="009B19F4">
              <w:rPr>
                <w:sz w:val="22"/>
                <w:szCs w:val="22"/>
              </w:rPr>
              <w:tab/>
            </w:r>
            <w:r w:rsidRPr="009B19F4">
              <w:rPr>
                <w:sz w:val="22"/>
                <w:szCs w:val="22"/>
              </w:rPr>
              <w:tab/>
              <w:t>348,406</w:t>
            </w:r>
          </w:p>
        </w:tc>
      </w:tr>
      <w:tr w:rsidR="007C4103" w:rsidRPr="009B19F4" w:rsidTr="003A2BF6">
        <w:trPr>
          <w:jc w:val="center"/>
        </w:trPr>
        <w:tc>
          <w:tcPr>
            <w:tcW w:w="4680" w:type="dxa"/>
            <w:shd w:val="clear" w:color="auto" w:fill="auto"/>
          </w:tcPr>
          <w:p w:rsidR="007C4103" w:rsidRPr="009B19F4" w:rsidRDefault="007C4103" w:rsidP="00FA54A5">
            <w:pPr>
              <w:tabs>
                <w:tab w:val="left" w:pos="326"/>
              </w:tabs>
              <w:jc w:val="both"/>
              <w:rPr>
                <w:sz w:val="22"/>
                <w:szCs w:val="22"/>
              </w:rPr>
            </w:pPr>
            <w:r w:rsidRPr="009B19F4">
              <w:rPr>
                <w:sz w:val="22"/>
                <w:szCs w:val="22"/>
              </w:rPr>
              <w:tab/>
              <w:t>Dietary</w:t>
            </w:r>
          </w:p>
        </w:tc>
        <w:tc>
          <w:tcPr>
            <w:tcW w:w="1620" w:type="dxa"/>
            <w:shd w:val="clear" w:color="auto" w:fill="auto"/>
          </w:tcPr>
          <w:p w:rsidR="007C4103" w:rsidRPr="009B19F4" w:rsidRDefault="007C4103" w:rsidP="00FA54A5">
            <w:pPr>
              <w:tabs>
                <w:tab w:val="right" w:pos="170"/>
                <w:tab w:val="decimal" w:pos="1242"/>
              </w:tabs>
              <w:rPr>
                <w:sz w:val="22"/>
                <w:szCs w:val="22"/>
              </w:rPr>
            </w:pPr>
            <w:r w:rsidRPr="009B19F4">
              <w:rPr>
                <w:sz w:val="22"/>
                <w:szCs w:val="22"/>
              </w:rPr>
              <w:tab/>
            </w:r>
            <w:r w:rsidRPr="009B19F4">
              <w:rPr>
                <w:sz w:val="22"/>
                <w:szCs w:val="22"/>
              </w:rPr>
              <w:tab/>
              <w:t>664,490</w:t>
            </w:r>
          </w:p>
        </w:tc>
        <w:tc>
          <w:tcPr>
            <w:tcW w:w="1620" w:type="dxa"/>
            <w:shd w:val="clear" w:color="auto" w:fill="auto"/>
          </w:tcPr>
          <w:p w:rsidR="007C4103" w:rsidRPr="009B19F4" w:rsidRDefault="007C4103" w:rsidP="00FA54A5">
            <w:pPr>
              <w:tabs>
                <w:tab w:val="right" w:pos="162"/>
                <w:tab w:val="decimal" w:pos="1242"/>
              </w:tabs>
              <w:rPr>
                <w:sz w:val="22"/>
                <w:szCs w:val="22"/>
              </w:rPr>
            </w:pPr>
            <w:r w:rsidRPr="009B19F4">
              <w:rPr>
                <w:sz w:val="22"/>
                <w:szCs w:val="22"/>
              </w:rPr>
              <w:tab/>
            </w:r>
            <w:r w:rsidRPr="009B19F4">
              <w:rPr>
                <w:sz w:val="22"/>
                <w:szCs w:val="22"/>
              </w:rPr>
              <w:tab/>
              <w:t>685,068</w:t>
            </w:r>
          </w:p>
        </w:tc>
      </w:tr>
      <w:tr w:rsidR="007C4103" w:rsidRPr="009B19F4" w:rsidTr="003A2BF6">
        <w:trPr>
          <w:jc w:val="center"/>
        </w:trPr>
        <w:tc>
          <w:tcPr>
            <w:tcW w:w="4680" w:type="dxa"/>
            <w:shd w:val="clear" w:color="auto" w:fill="auto"/>
          </w:tcPr>
          <w:p w:rsidR="007C4103" w:rsidRPr="009B19F4" w:rsidRDefault="007C4103" w:rsidP="00FA54A5">
            <w:pPr>
              <w:tabs>
                <w:tab w:val="left" w:pos="326"/>
              </w:tabs>
              <w:jc w:val="both"/>
              <w:rPr>
                <w:sz w:val="22"/>
                <w:szCs w:val="22"/>
              </w:rPr>
            </w:pPr>
            <w:r w:rsidRPr="009B19F4">
              <w:rPr>
                <w:sz w:val="22"/>
                <w:szCs w:val="22"/>
              </w:rPr>
              <w:tab/>
              <w:t>Laundry</w:t>
            </w:r>
          </w:p>
        </w:tc>
        <w:tc>
          <w:tcPr>
            <w:tcW w:w="1620" w:type="dxa"/>
            <w:shd w:val="clear" w:color="auto" w:fill="auto"/>
          </w:tcPr>
          <w:p w:rsidR="007C4103" w:rsidRPr="009B19F4" w:rsidRDefault="007C4103" w:rsidP="00FA54A5">
            <w:pPr>
              <w:tabs>
                <w:tab w:val="right" w:pos="170"/>
                <w:tab w:val="decimal" w:pos="1242"/>
              </w:tabs>
              <w:rPr>
                <w:sz w:val="22"/>
                <w:szCs w:val="22"/>
              </w:rPr>
            </w:pPr>
            <w:r w:rsidRPr="009B19F4">
              <w:rPr>
                <w:sz w:val="22"/>
                <w:szCs w:val="22"/>
              </w:rPr>
              <w:tab/>
            </w:r>
            <w:r w:rsidRPr="009B19F4">
              <w:rPr>
                <w:sz w:val="22"/>
                <w:szCs w:val="22"/>
              </w:rPr>
              <w:tab/>
              <w:t>102,266</w:t>
            </w:r>
          </w:p>
        </w:tc>
        <w:tc>
          <w:tcPr>
            <w:tcW w:w="1620" w:type="dxa"/>
            <w:shd w:val="clear" w:color="auto" w:fill="auto"/>
          </w:tcPr>
          <w:p w:rsidR="007C4103" w:rsidRPr="009B19F4" w:rsidRDefault="007C4103" w:rsidP="00FA54A5">
            <w:pPr>
              <w:tabs>
                <w:tab w:val="right" w:pos="162"/>
                <w:tab w:val="decimal" w:pos="1242"/>
              </w:tabs>
              <w:rPr>
                <w:sz w:val="22"/>
                <w:szCs w:val="22"/>
              </w:rPr>
            </w:pPr>
            <w:r w:rsidRPr="009B19F4">
              <w:rPr>
                <w:sz w:val="22"/>
                <w:szCs w:val="22"/>
              </w:rPr>
              <w:tab/>
            </w:r>
            <w:r w:rsidRPr="009B19F4">
              <w:rPr>
                <w:sz w:val="22"/>
                <w:szCs w:val="22"/>
              </w:rPr>
              <w:tab/>
              <w:t>95,568</w:t>
            </w:r>
          </w:p>
        </w:tc>
      </w:tr>
      <w:tr w:rsidR="007C4103" w:rsidRPr="009B19F4" w:rsidTr="003A2BF6">
        <w:trPr>
          <w:jc w:val="center"/>
        </w:trPr>
        <w:tc>
          <w:tcPr>
            <w:tcW w:w="4680" w:type="dxa"/>
            <w:shd w:val="clear" w:color="auto" w:fill="auto"/>
          </w:tcPr>
          <w:p w:rsidR="007C4103" w:rsidRPr="009B19F4" w:rsidRDefault="007C4103" w:rsidP="00FA54A5">
            <w:pPr>
              <w:tabs>
                <w:tab w:val="left" w:pos="326"/>
              </w:tabs>
              <w:jc w:val="both"/>
              <w:rPr>
                <w:sz w:val="22"/>
                <w:szCs w:val="22"/>
              </w:rPr>
            </w:pPr>
            <w:r w:rsidRPr="009B19F4">
              <w:rPr>
                <w:sz w:val="22"/>
                <w:szCs w:val="22"/>
              </w:rPr>
              <w:tab/>
              <w:t>Housekeeping</w:t>
            </w:r>
          </w:p>
        </w:tc>
        <w:tc>
          <w:tcPr>
            <w:tcW w:w="1620" w:type="dxa"/>
            <w:shd w:val="clear" w:color="auto" w:fill="auto"/>
          </w:tcPr>
          <w:p w:rsidR="007C4103" w:rsidRPr="009B19F4" w:rsidRDefault="007C4103" w:rsidP="00FA54A5">
            <w:pPr>
              <w:tabs>
                <w:tab w:val="right" w:pos="170"/>
                <w:tab w:val="decimal" w:pos="1242"/>
              </w:tabs>
              <w:rPr>
                <w:sz w:val="22"/>
                <w:szCs w:val="22"/>
              </w:rPr>
            </w:pPr>
            <w:r w:rsidRPr="009B19F4">
              <w:rPr>
                <w:sz w:val="22"/>
                <w:szCs w:val="22"/>
              </w:rPr>
              <w:tab/>
            </w:r>
            <w:r w:rsidRPr="009B19F4">
              <w:rPr>
                <w:sz w:val="22"/>
                <w:szCs w:val="22"/>
              </w:rPr>
              <w:tab/>
              <w:t>191,336</w:t>
            </w:r>
          </w:p>
        </w:tc>
        <w:tc>
          <w:tcPr>
            <w:tcW w:w="1620" w:type="dxa"/>
            <w:shd w:val="clear" w:color="auto" w:fill="auto"/>
          </w:tcPr>
          <w:p w:rsidR="007C4103" w:rsidRPr="009B19F4" w:rsidRDefault="007C4103" w:rsidP="00FA54A5">
            <w:pPr>
              <w:tabs>
                <w:tab w:val="right" w:pos="162"/>
                <w:tab w:val="decimal" w:pos="1242"/>
              </w:tabs>
              <w:rPr>
                <w:sz w:val="22"/>
                <w:szCs w:val="22"/>
              </w:rPr>
            </w:pPr>
            <w:r w:rsidRPr="009B19F4">
              <w:rPr>
                <w:sz w:val="22"/>
                <w:szCs w:val="22"/>
              </w:rPr>
              <w:tab/>
            </w:r>
            <w:r w:rsidRPr="009B19F4">
              <w:rPr>
                <w:sz w:val="22"/>
                <w:szCs w:val="22"/>
              </w:rPr>
              <w:tab/>
              <w:t>230,838</w:t>
            </w:r>
          </w:p>
        </w:tc>
      </w:tr>
      <w:tr w:rsidR="007C4103" w:rsidRPr="009B19F4" w:rsidTr="003A2BF6">
        <w:trPr>
          <w:jc w:val="center"/>
        </w:trPr>
        <w:tc>
          <w:tcPr>
            <w:tcW w:w="4680" w:type="dxa"/>
            <w:shd w:val="clear" w:color="auto" w:fill="auto"/>
          </w:tcPr>
          <w:p w:rsidR="007C4103" w:rsidRPr="009B19F4" w:rsidRDefault="007C4103" w:rsidP="00FA54A5">
            <w:pPr>
              <w:tabs>
                <w:tab w:val="left" w:pos="326"/>
              </w:tabs>
              <w:jc w:val="both"/>
              <w:rPr>
                <w:sz w:val="22"/>
                <w:szCs w:val="22"/>
              </w:rPr>
            </w:pPr>
            <w:r w:rsidRPr="009B19F4">
              <w:rPr>
                <w:sz w:val="22"/>
                <w:szCs w:val="22"/>
              </w:rPr>
              <w:tab/>
              <w:t>Plant operations and maintenance</w:t>
            </w:r>
          </w:p>
        </w:tc>
        <w:tc>
          <w:tcPr>
            <w:tcW w:w="1620" w:type="dxa"/>
            <w:shd w:val="clear" w:color="auto" w:fill="auto"/>
          </w:tcPr>
          <w:p w:rsidR="007C4103" w:rsidRPr="009B19F4" w:rsidRDefault="007C4103" w:rsidP="00FA54A5">
            <w:pPr>
              <w:tabs>
                <w:tab w:val="right" w:pos="170"/>
                <w:tab w:val="decimal" w:pos="1242"/>
              </w:tabs>
              <w:rPr>
                <w:sz w:val="22"/>
                <w:szCs w:val="22"/>
              </w:rPr>
            </w:pPr>
            <w:r w:rsidRPr="009B19F4">
              <w:rPr>
                <w:sz w:val="22"/>
                <w:szCs w:val="22"/>
              </w:rPr>
              <w:tab/>
            </w:r>
            <w:r w:rsidRPr="009B19F4">
              <w:rPr>
                <w:sz w:val="22"/>
                <w:szCs w:val="22"/>
              </w:rPr>
              <w:tab/>
              <w:t>511,521</w:t>
            </w:r>
          </w:p>
        </w:tc>
        <w:tc>
          <w:tcPr>
            <w:tcW w:w="1620" w:type="dxa"/>
            <w:shd w:val="clear" w:color="auto" w:fill="auto"/>
          </w:tcPr>
          <w:p w:rsidR="007C4103" w:rsidRPr="009B19F4" w:rsidRDefault="007C4103" w:rsidP="00FA54A5">
            <w:pPr>
              <w:tabs>
                <w:tab w:val="right" w:pos="162"/>
                <w:tab w:val="decimal" w:pos="1242"/>
              </w:tabs>
              <w:rPr>
                <w:sz w:val="22"/>
                <w:szCs w:val="22"/>
              </w:rPr>
            </w:pPr>
            <w:r w:rsidRPr="009B19F4">
              <w:rPr>
                <w:sz w:val="22"/>
                <w:szCs w:val="22"/>
              </w:rPr>
              <w:tab/>
            </w:r>
            <w:r w:rsidRPr="009B19F4">
              <w:rPr>
                <w:sz w:val="22"/>
                <w:szCs w:val="22"/>
              </w:rPr>
              <w:tab/>
              <w:t>502,423</w:t>
            </w:r>
          </w:p>
        </w:tc>
      </w:tr>
      <w:tr w:rsidR="007C4103" w:rsidRPr="009B19F4" w:rsidTr="003A2BF6">
        <w:trPr>
          <w:jc w:val="center"/>
        </w:trPr>
        <w:tc>
          <w:tcPr>
            <w:tcW w:w="4680" w:type="dxa"/>
            <w:shd w:val="clear" w:color="auto" w:fill="auto"/>
          </w:tcPr>
          <w:p w:rsidR="007C4103" w:rsidRPr="009B19F4" w:rsidRDefault="007C4103" w:rsidP="00FA54A5">
            <w:pPr>
              <w:tabs>
                <w:tab w:val="left" w:pos="326"/>
              </w:tabs>
              <w:jc w:val="both"/>
              <w:rPr>
                <w:sz w:val="22"/>
                <w:szCs w:val="22"/>
              </w:rPr>
            </w:pPr>
            <w:r w:rsidRPr="009B19F4">
              <w:rPr>
                <w:sz w:val="22"/>
                <w:szCs w:val="22"/>
              </w:rPr>
              <w:tab/>
              <w:t>Administration</w:t>
            </w:r>
          </w:p>
        </w:tc>
        <w:tc>
          <w:tcPr>
            <w:tcW w:w="1620" w:type="dxa"/>
            <w:shd w:val="clear" w:color="auto" w:fill="auto"/>
          </w:tcPr>
          <w:p w:rsidR="007C4103" w:rsidRPr="009B19F4" w:rsidRDefault="007C4103" w:rsidP="00FA54A5">
            <w:pPr>
              <w:tabs>
                <w:tab w:val="right" w:pos="170"/>
                <w:tab w:val="decimal" w:pos="1242"/>
              </w:tabs>
              <w:rPr>
                <w:sz w:val="22"/>
                <w:szCs w:val="22"/>
              </w:rPr>
            </w:pPr>
            <w:r w:rsidRPr="009B19F4">
              <w:rPr>
                <w:sz w:val="22"/>
                <w:szCs w:val="22"/>
              </w:rPr>
              <w:tab/>
            </w:r>
            <w:r w:rsidRPr="009B19F4">
              <w:rPr>
                <w:sz w:val="22"/>
                <w:szCs w:val="22"/>
              </w:rPr>
              <w:tab/>
              <w:t>1,893,588</w:t>
            </w:r>
          </w:p>
        </w:tc>
        <w:tc>
          <w:tcPr>
            <w:tcW w:w="1620" w:type="dxa"/>
            <w:shd w:val="clear" w:color="auto" w:fill="auto"/>
          </w:tcPr>
          <w:p w:rsidR="007C4103" w:rsidRPr="009B19F4" w:rsidRDefault="007C4103" w:rsidP="00FA54A5">
            <w:pPr>
              <w:tabs>
                <w:tab w:val="right" w:pos="162"/>
                <w:tab w:val="decimal" w:pos="1242"/>
              </w:tabs>
              <w:rPr>
                <w:sz w:val="22"/>
                <w:szCs w:val="22"/>
              </w:rPr>
            </w:pPr>
            <w:r w:rsidRPr="009B19F4">
              <w:rPr>
                <w:sz w:val="22"/>
                <w:szCs w:val="22"/>
              </w:rPr>
              <w:tab/>
            </w:r>
            <w:r w:rsidRPr="009B19F4">
              <w:rPr>
                <w:sz w:val="22"/>
                <w:szCs w:val="22"/>
              </w:rPr>
              <w:tab/>
              <w:t>1,992,186</w:t>
            </w:r>
          </w:p>
        </w:tc>
      </w:tr>
      <w:tr w:rsidR="007C4103" w:rsidRPr="009B19F4" w:rsidTr="003A2BF6">
        <w:trPr>
          <w:jc w:val="center"/>
        </w:trPr>
        <w:tc>
          <w:tcPr>
            <w:tcW w:w="4680" w:type="dxa"/>
            <w:shd w:val="clear" w:color="auto" w:fill="auto"/>
          </w:tcPr>
          <w:p w:rsidR="007C4103" w:rsidRPr="009B19F4" w:rsidRDefault="007C4103" w:rsidP="00FA54A5">
            <w:pPr>
              <w:tabs>
                <w:tab w:val="left" w:pos="326"/>
              </w:tabs>
              <w:jc w:val="both"/>
              <w:rPr>
                <w:sz w:val="22"/>
                <w:szCs w:val="22"/>
              </w:rPr>
            </w:pPr>
            <w:r w:rsidRPr="009B19F4">
              <w:rPr>
                <w:sz w:val="22"/>
                <w:szCs w:val="22"/>
              </w:rPr>
              <w:tab/>
              <w:t>Depreciation and amortization</w:t>
            </w:r>
          </w:p>
        </w:tc>
        <w:tc>
          <w:tcPr>
            <w:tcW w:w="1620" w:type="dxa"/>
            <w:shd w:val="clear" w:color="auto" w:fill="auto"/>
          </w:tcPr>
          <w:p w:rsidR="007C4103" w:rsidRPr="009B19F4" w:rsidRDefault="007C4103" w:rsidP="00FA54A5">
            <w:pPr>
              <w:tabs>
                <w:tab w:val="right" w:pos="170"/>
                <w:tab w:val="decimal" w:pos="1242"/>
              </w:tabs>
              <w:rPr>
                <w:sz w:val="22"/>
                <w:szCs w:val="22"/>
              </w:rPr>
            </w:pPr>
            <w:r w:rsidRPr="009B19F4">
              <w:rPr>
                <w:sz w:val="22"/>
                <w:szCs w:val="22"/>
              </w:rPr>
              <w:tab/>
            </w:r>
            <w:r w:rsidRPr="009B19F4">
              <w:rPr>
                <w:sz w:val="22"/>
                <w:szCs w:val="22"/>
              </w:rPr>
              <w:tab/>
              <w:t>263,184</w:t>
            </w:r>
          </w:p>
        </w:tc>
        <w:tc>
          <w:tcPr>
            <w:tcW w:w="1620" w:type="dxa"/>
            <w:shd w:val="clear" w:color="auto" w:fill="auto"/>
          </w:tcPr>
          <w:p w:rsidR="007C4103" w:rsidRPr="009B19F4" w:rsidRDefault="007C4103" w:rsidP="00FA54A5">
            <w:pPr>
              <w:tabs>
                <w:tab w:val="right" w:pos="162"/>
                <w:tab w:val="decimal" w:pos="1242"/>
              </w:tabs>
              <w:rPr>
                <w:sz w:val="22"/>
                <w:szCs w:val="22"/>
              </w:rPr>
            </w:pPr>
            <w:r w:rsidRPr="009B19F4">
              <w:rPr>
                <w:sz w:val="22"/>
                <w:szCs w:val="22"/>
              </w:rPr>
              <w:tab/>
            </w:r>
            <w:r w:rsidRPr="009B19F4">
              <w:rPr>
                <w:sz w:val="22"/>
                <w:szCs w:val="22"/>
              </w:rPr>
              <w:tab/>
              <w:t>257,697</w:t>
            </w:r>
          </w:p>
        </w:tc>
      </w:tr>
      <w:tr w:rsidR="007C4103" w:rsidRPr="009B19F4" w:rsidTr="003A2BF6">
        <w:trPr>
          <w:jc w:val="center"/>
        </w:trPr>
        <w:tc>
          <w:tcPr>
            <w:tcW w:w="4680" w:type="dxa"/>
            <w:shd w:val="clear" w:color="auto" w:fill="auto"/>
          </w:tcPr>
          <w:p w:rsidR="007C4103" w:rsidRPr="009B19F4" w:rsidRDefault="007C4103" w:rsidP="00FA54A5">
            <w:pPr>
              <w:tabs>
                <w:tab w:val="left" w:pos="326"/>
              </w:tabs>
              <w:jc w:val="both"/>
              <w:rPr>
                <w:sz w:val="22"/>
                <w:szCs w:val="22"/>
              </w:rPr>
            </w:pPr>
            <w:r w:rsidRPr="009B19F4">
              <w:rPr>
                <w:sz w:val="22"/>
                <w:szCs w:val="22"/>
              </w:rPr>
              <w:tab/>
              <w:t>Interest expense</w:t>
            </w:r>
          </w:p>
        </w:tc>
        <w:tc>
          <w:tcPr>
            <w:tcW w:w="1620" w:type="dxa"/>
            <w:shd w:val="clear" w:color="auto" w:fill="auto"/>
          </w:tcPr>
          <w:p w:rsidR="007C4103" w:rsidRPr="009B19F4" w:rsidRDefault="007C4103" w:rsidP="00FA54A5">
            <w:pPr>
              <w:tabs>
                <w:tab w:val="right" w:pos="170"/>
                <w:tab w:val="decimal" w:pos="1242"/>
              </w:tabs>
              <w:rPr>
                <w:sz w:val="22"/>
                <w:szCs w:val="22"/>
                <w:u w:val="single"/>
              </w:rPr>
            </w:pPr>
            <w:r w:rsidRPr="009B19F4">
              <w:rPr>
                <w:sz w:val="22"/>
                <w:szCs w:val="22"/>
              </w:rPr>
              <w:tab/>
            </w:r>
            <w:r w:rsidRPr="009B19F4">
              <w:rPr>
                <w:sz w:val="22"/>
                <w:szCs w:val="22"/>
                <w:u w:val="single"/>
              </w:rPr>
              <w:tab/>
              <w:t>73,749</w:t>
            </w:r>
          </w:p>
        </w:tc>
        <w:tc>
          <w:tcPr>
            <w:tcW w:w="1620" w:type="dxa"/>
            <w:shd w:val="clear" w:color="auto" w:fill="auto"/>
          </w:tcPr>
          <w:p w:rsidR="007C4103" w:rsidRPr="009B19F4" w:rsidRDefault="007C4103" w:rsidP="00FA54A5">
            <w:pPr>
              <w:tabs>
                <w:tab w:val="right" w:pos="162"/>
                <w:tab w:val="decimal" w:pos="1242"/>
              </w:tabs>
              <w:rPr>
                <w:sz w:val="22"/>
                <w:szCs w:val="22"/>
                <w:u w:val="single"/>
              </w:rPr>
            </w:pPr>
            <w:r w:rsidRPr="009B19F4">
              <w:rPr>
                <w:sz w:val="22"/>
                <w:szCs w:val="22"/>
              </w:rPr>
              <w:tab/>
            </w:r>
            <w:r w:rsidRPr="009B19F4">
              <w:rPr>
                <w:sz w:val="22"/>
                <w:szCs w:val="22"/>
                <w:u w:val="single"/>
              </w:rPr>
              <w:tab/>
              <w:t>79,617</w:t>
            </w:r>
          </w:p>
        </w:tc>
      </w:tr>
      <w:tr w:rsidR="007C4103" w:rsidRPr="009B19F4" w:rsidTr="003A2BF6">
        <w:trPr>
          <w:jc w:val="center"/>
        </w:trPr>
        <w:tc>
          <w:tcPr>
            <w:tcW w:w="4680" w:type="dxa"/>
            <w:shd w:val="clear" w:color="auto" w:fill="auto"/>
          </w:tcPr>
          <w:p w:rsidR="007C4103" w:rsidRPr="009B19F4" w:rsidRDefault="007C4103" w:rsidP="00FA54A5">
            <w:pPr>
              <w:jc w:val="both"/>
              <w:rPr>
                <w:sz w:val="22"/>
                <w:szCs w:val="22"/>
              </w:rPr>
            </w:pPr>
          </w:p>
        </w:tc>
        <w:tc>
          <w:tcPr>
            <w:tcW w:w="1620" w:type="dxa"/>
            <w:shd w:val="clear" w:color="auto" w:fill="auto"/>
          </w:tcPr>
          <w:p w:rsidR="007C4103" w:rsidRPr="009B19F4" w:rsidRDefault="007C4103" w:rsidP="00FA54A5">
            <w:pPr>
              <w:tabs>
                <w:tab w:val="right" w:pos="170"/>
                <w:tab w:val="decimal" w:pos="1242"/>
              </w:tabs>
              <w:rPr>
                <w:sz w:val="22"/>
                <w:szCs w:val="22"/>
              </w:rPr>
            </w:pPr>
          </w:p>
        </w:tc>
        <w:tc>
          <w:tcPr>
            <w:tcW w:w="1620" w:type="dxa"/>
            <w:shd w:val="clear" w:color="auto" w:fill="auto"/>
          </w:tcPr>
          <w:p w:rsidR="007C4103" w:rsidRPr="009B19F4" w:rsidRDefault="007C4103" w:rsidP="00FA54A5">
            <w:pPr>
              <w:tabs>
                <w:tab w:val="right" w:pos="162"/>
                <w:tab w:val="decimal" w:pos="1242"/>
              </w:tabs>
              <w:rPr>
                <w:sz w:val="22"/>
                <w:szCs w:val="22"/>
              </w:rPr>
            </w:pPr>
          </w:p>
        </w:tc>
      </w:tr>
      <w:tr w:rsidR="007C4103" w:rsidRPr="009B19F4" w:rsidTr="003A2BF6">
        <w:trPr>
          <w:jc w:val="center"/>
        </w:trPr>
        <w:tc>
          <w:tcPr>
            <w:tcW w:w="4680" w:type="dxa"/>
            <w:shd w:val="clear" w:color="auto" w:fill="auto"/>
          </w:tcPr>
          <w:p w:rsidR="007C4103" w:rsidRPr="009B19F4" w:rsidRDefault="007C4103" w:rsidP="00FA54A5">
            <w:pPr>
              <w:tabs>
                <w:tab w:val="left" w:pos="741"/>
              </w:tabs>
              <w:jc w:val="both"/>
              <w:rPr>
                <w:sz w:val="22"/>
                <w:szCs w:val="22"/>
              </w:rPr>
            </w:pPr>
            <w:r w:rsidRPr="009B19F4">
              <w:rPr>
                <w:sz w:val="22"/>
                <w:szCs w:val="22"/>
              </w:rPr>
              <w:tab/>
              <w:t>Total operating expenses</w:t>
            </w:r>
          </w:p>
        </w:tc>
        <w:tc>
          <w:tcPr>
            <w:tcW w:w="1620" w:type="dxa"/>
            <w:shd w:val="clear" w:color="auto" w:fill="auto"/>
          </w:tcPr>
          <w:p w:rsidR="007C4103" w:rsidRPr="009B19F4" w:rsidRDefault="007C4103" w:rsidP="00FA54A5">
            <w:pPr>
              <w:tabs>
                <w:tab w:val="right" w:pos="170"/>
                <w:tab w:val="decimal" w:pos="1242"/>
              </w:tabs>
              <w:rPr>
                <w:sz w:val="22"/>
                <w:szCs w:val="22"/>
                <w:u w:val="single"/>
              </w:rPr>
            </w:pPr>
            <w:r w:rsidRPr="009B19F4">
              <w:rPr>
                <w:sz w:val="22"/>
                <w:szCs w:val="22"/>
              </w:rPr>
              <w:tab/>
            </w:r>
            <w:r w:rsidRPr="009B19F4">
              <w:rPr>
                <w:sz w:val="22"/>
                <w:szCs w:val="22"/>
                <w:u w:val="single"/>
              </w:rPr>
              <w:tab/>
              <w:t>7,522,897</w:t>
            </w:r>
          </w:p>
        </w:tc>
        <w:tc>
          <w:tcPr>
            <w:tcW w:w="1620" w:type="dxa"/>
            <w:shd w:val="clear" w:color="auto" w:fill="auto"/>
          </w:tcPr>
          <w:p w:rsidR="007C4103" w:rsidRPr="009B19F4" w:rsidRDefault="007C4103" w:rsidP="00FA54A5">
            <w:pPr>
              <w:tabs>
                <w:tab w:val="right" w:pos="162"/>
                <w:tab w:val="decimal" w:pos="1242"/>
              </w:tabs>
              <w:rPr>
                <w:sz w:val="22"/>
                <w:szCs w:val="22"/>
                <w:u w:val="single"/>
              </w:rPr>
            </w:pPr>
            <w:r w:rsidRPr="009B19F4">
              <w:rPr>
                <w:sz w:val="22"/>
                <w:szCs w:val="22"/>
              </w:rPr>
              <w:tab/>
            </w:r>
            <w:r w:rsidRPr="009B19F4">
              <w:rPr>
                <w:sz w:val="22"/>
                <w:szCs w:val="22"/>
                <w:u w:val="single"/>
              </w:rPr>
              <w:tab/>
              <w:t>7,925,620</w:t>
            </w:r>
          </w:p>
        </w:tc>
      </w:tr>
      <w:tr w:rsidR="007C4103" w:rsidRPr="009B19F4" w:rsidTr="003A2BF6">
        <w:trPr>
          <w:jc w:val="center"/>
        </w:trPr>
        <w:tc>
          <w:tcPr>
            <w:tcW w:w="4680" w:type="dxa"/>
            <w:shd w:val="clear" w:color="auto" w:fill="auto"/>
          </w:tcPr>
          <w:p w:rsidR="007C4103" w:rsidRPr="009B19F4" w:rsidRDefault="007C4103" w:rsidP="00FA54A5">
            <w:pPr>
              <w:jc w:val="both"/>
              <w:rPr>
                <w:sz w:val="22"/>
                <w:szCs w:val="22"/>
              </w:rPr>
            </w:pPr>
          </w:p>
        </w:tc>
        <w:tc>
          <w:tcPr>
            <w:tcW w:w="1620" w:type="dxa"/>
            <w:shd w:val="clear" w:color="auto" w:fill="auto"/>
          </w:tcPr>
          <w:p w:rsidR="007C4103" w:rsidRPr="009B19F4" w:rsidRDefault="007C4103" w:rsidP="00FA54A5">
            <w:pPr>
              <w:tabs>
                <w:tab w:val="right" w:pos="170"/>
                <w:tab w:val="decimal" w:pos="1242"/>
              </w:tabs>
              <w:rPr>
                <w:sz w:val="22"/>
                <w:szCs w:val="22"/>
              </w:rPr>
            </w:pPr>
          </w:p>
        </w:tc>
        <w:tc>
          <w:tcPr>
            <w:tcW w:w="1620" w:type="dxa"/>
            <w:shd w:val="clear" w:color="auto" w:fill="auto"/>
          </w:tcPr>
          <w:p w:rsidR="007C4103" w:rsidRPr="009B19F4" w:rsidRDefault="007C4103" w:rsidP="00FA54A5">
            <w:pPr>
              <w:tabs>
                <w:tab w:val="right" w:pos="162"/>
                <w:tab w:val="decimal" w:pos="1242"/>
              </w:tabs>
              <w:rPr>
                <w:sz w:val="22"/>
                <w:szCs w:val="22"/>
              </w:rPr>
            </w:pPr>
          </w:p>
        </w:tc>
      </w:tr>
      <w:tr w:rsidR="007C4103" w:rsidRPr="009B19F4" w:rsidTr="003A2BF6">
        <w:trPr>
          <w:jc w:val="center"/>
        </w:trPr>
        <w:tc>
          <w:tcPr>
            <w:tcW w:w="4680" w:type="dxa"/>
            <w:shd w:val="clear" w:color="auto" w:fill="auto"/>
          </w:tcPr>
          <w:p w:rsidR="007C4103" w:rsidRPr="009B19F4" w:rsidRDefault="007C4103" w:rsidP="00FA54A5">
            <w:pPr>
              <w:tabs>
                <w:tab w:val="left" w:pos="738"/>
              </w:tabs>
              <w:jc w:val="both"/>
              <w:rPr>
                <w:sz w:val="22"/>
                <w:szCs w:val="22"/>
              </w:rPr>
            </w:pPr>
            <w:r w:rsidRPr="009B19F4">
              <w:rPr>
                <w:sz w:val="22"/>
                <w:szCs w:val="22"/>
              </w:rPr>
              <w:tab/>
              <w:t>Operating income</w:t>
            </w:r>
          </w:p>
        </w:tc>
        <w:tc>
          <w:tcPr>
            <w:tcW w:w="1620" w:type="dxa"/>
            <w:shd w:val="clear" w:color="auto" w:fill="auto"/>
          </w:tcPr>
          <w:p w:rsidR="007C4103" w:rsidRPr="009B19F4" w:rsidRDefault="007C4103" w:rsidP="00FA54A5">
            <w:pPr>
              <w:tabs>
                <w:tab w:val="right" w:pos="170"/>
                <w:tab w:val="decimal" w:pos="1242"/>
              </w:tabs>
              <w:rPr>
                <w:sz w:val="22"/>
                <w:szCs w:val="22"/>
              </w:rPr>
            </w:pPr>
            <w:r w:rsidRPr="009B19F4">
              <w:rPr>
                <w:sz w:val="22"/>
                <w:szCs w:val="22"/>
              </w:rPr>
              <w:tab/>
              <w:t>$</w:t>
            </w:r>
            <w:r w:rsidRPr="009B19F4">
              <w:rPr>
                <w:sz w:val="22"/>
                <w:szCs w:val="22"/>
                <w:u w:val="double"/>
              </w:rPr>
              <w:tab/>
              <w:t>16,447</w:t>
            </w:r>
          </w:p>
        </w:tc>
        <w:tc>
          <w:tcPr>
            <w:tcW w:w="1620" w:type="dxa"/>
            <w:shd w:val="clear" w:color="auto" w:fill="auto"/>
          </w:tcPr>
          <w:p w:rsidR="007C4103" w:rsidRPr="009B19F4" w:rsidRDefault="007C4103" w:rsidP="00FA54A5">
            <w:pPr>
              <w:tabs>
                <w:tab w:val="right" w:pos="162"/>
                <w:tab w:val="decimal" w:pos="1242"/>
              </w:tabs>
              <w:rPr>
                <w:sz w:val="22"/>
                <w:szCs w:val="22"/>
              </w:rPr>
            </w:pPr>
            <w:r w:rsidRPr="009B19F4">
              <w:rPr>
                <w:sz w:val="22"/>
                <w:szCs w:val="22"/>
              </w:rPr>
              <w:tab/>
              <w:t>$</w:t>
            </w:r>
            <w:r w:rsidRPr="009B19F4">
              <w:rPr>
                <w:sz w:val="22"/>
                <w:szCs w:val="22"/>
                <w:u w:val="double"/>
              </w:rPr>
              <w:tab/>
              <w:t>25,080</w:t>
            </w:r>
          </w:p>
        </w:tc>
      </w:tr>
    </w:tbl>
    <w:p w:rsidR="007C4103" w:rsidRPr="009B19F4" w:rsidRDefault="007C4103" w:rsidP="007C4103">
      <w:pPr>
        <w:ind w:left="720"/>
        <w:jc w:val="both"/>
        <w:rPr>
          <w:sz w:val="22"/>
          <w:szCs w:val="22"/>
        </w:rPr>
      </w:pPr>
    </w:p>
    <w:p w:rsidR="007C4103" w:rsidRPr="009B19F4" w:rsidRDefault="007C4103" w:rsidP="007C4103">
      <w:pPr>
        <w:ind w:left="540"/>
        <w:jc w:val="both"/>
        <w:rPr>
          <w:sz w:val="22"/>
          <w:szCs w:val="22"/>
        </w:rPr>
      </w:pPr>
      <w:r w:rsidRPr="009B19F4">
        <w:rPr>
          <w:sz w:val="22"/>
          <w:szCs w:val="22"/>
        </w:rPr>
        <w:t>Note: The 2011 and 2012 financial statements were reviewed by BerryDunn with their reports dated August 6, 2012 and May 15, 2013, respectively. (See Exhibits V and VI)</w:t>
      </w:r>
      <w:r w:rsidR="00464D4F" w:rsidRPr="009B19F4">
        <w:rPr>
          <w:sz w:val="22"/>
          <w:szCs w:val="22"/>
        </w:rPr>
        <w:t>”</w:t>
      </w:r>
    </w:p>
    <w:p w:rsidR="009B19F4" w:rsidRDefault="009B19F4" w:rsidP="007C4103">
      <w:pPr>
        <w:jc w:val="both"/>
        <w:rPr>
          <w:sz w:val="22"/>
          <w:szCs w:val="22"/>
        </w:rPr>
      </w:pPr>
    </w:p>
    <w:p w:rsidR="007C4103" w:rsidRPr="009B19F4" w:rsidRDefault="00464D4F" w:rsidP="007C4103">
      <w:pPr>
        <w:jc w:val="both"/>
        <w:rPr>
          <w:sz w:val="22"/>
          <w:szCs w:val="22"/>
        </w:rPr>
      </w:pPr>
      <w:r w:rsidRPr="009B19F4">
        <w:rPr>
          <w:sz w:val="22"/>
          <w:szCs w:val="22"/>
        </w:rPr>
        <w:t>“</w:t>
      </w:r>
      <w:r w:rsidR="007C4103" w:rsidRPr="009B19F4">
        <w:rPr>
          <w:sz w:val="22"/>
          <w:szCs w:val="22"/>
        </w:rPr>
        <w:t>We have prepared proforma cost reports for Phase I (2014) and Phase II (2015), the first full year of operations, (see Exhibits VII and VIII) to facilitate the establishment of rates for the facility and calculation of MaineCare neutrality.</w:t>
      </w:r>
      <w:r w:rsidRPr="009B19F4">
        <w:rPr>
          <w:sz w:val="22"/>
          <w:szCs w:val="22"/>
        </w:rPr>
        <w:t>”</w:t>
      </w:r>
    </w:p>
    <w:p w:rsidR="007C4103" w:rsidRPr="009B19F4" w:rsidRDefault="007C4103" w:rsidP="007C4103">
      <w:pPr>
        <w:jc w:val="both"/>
        <w:rPr>
          <w:sz w:val="22"/>
          <w:szCs w:val="22"/>
        </w:rPr>
      </w:pPr>
    </w:p>
    <w:p w:rsidR="0064020C" w:rsidRDefault="0064020C" w:rsidP="007C4103">
      <w:pPr>
        <w:jc w:val="both"/>
        <w:rPr>
          <w:sz w:val="22"/>
          <w:szCs w:val="22"/>
        </w:rPr>
        <w:sectPr w:rsidR="0064020C" w:rsidSect="009C2B70">
          <w:headerReference w:type="default" r:id="rId18"/>
          <w:pgSz w:w="12240" w:h="15840"/>
          <w:pgMar w:top="1440" w:right="1440" w:bottom="1440" w:left="1440" w:header="720" w:footer="720" w:gutter="0"/>
          <w:cols w:space="720"/>
          <w:docGrid w:linePitch="360"/>
        </w:sectPr>
      </w:pPr>
    </w:p>
    <w:p w:rsidR="0064020C" w:rsidRPr="0064020C" w:rsidRDefault="0064020C" w:rsidP="007C4103">
      <w:pPr>
        <w:jc w:val="both"/>
        <w:rPr>
          <w:sz w:val="10"/>
          <w:szCs w:val="10"/>
        </w:rPr>
      </w:pPr>
    </w:p>
    <w:p w:rsidR="007C4103" w:rsidRPr="009B19F4" w:rsidRDefault="00464D4F" w:rsidP="007C4103">
      <w:pPr>
        <w:jc w:val="both"/>
        <w:rPr>
          <w:sz w:val="22"/>
          <w:szCs w:val="22"/>
        </w:rPr>
      </w:pPr>
      <w:r w:rsidRPr="009B19F4">
        <w:rPr>
          <w:sz w:val="22"/>
          <w:szCs w:val="22"/>
        </w:rPr>
        <w:t>“</w:t>
      </w:r>
      <w:r w:rsidR="007C4103" w:rsidRPr="009B19F4">
        <w:rPr>
          <w:sz w:val="22"/>
          <w:szCs w:val="22"/>
        </w:rPr>
        <w:t>Significant assumptions for operations are as follows with a complete list of assumptions for both Phase I and Phase II included at Exhibits IX and X, respectively.</w:t>
      </w:r>
      <w:r w:rsidRPr="009B19F4">
        <w:rPr>
          <w:sz w:val="22"/>
          <w:szCs w:val="22"/>
        </w:rPr>
        <w:t>”</w:t>
      </w:r>
    </w:p>
    <w:p w:rsidR="009B19F4" w:rsidRPr="0064020C" w:rsidRDefault="009B19F4" w:rsidP="007C4103">
      <w:pPr>
        <w:jc w:val="both"/>
        <w:rPr>
          <w:sz w:val="10"/>
          <w:szCs w:val="10"/>
        </w:rPr>
      </w:pPr>
    </w:p>
    <w:p w:rsidR="007C4103" w:rsidRPr="009B19F4" w:rsidRDefault="00464D4F" w:rsidP="007C4103">
      <w:pPr>
        <w:jc w:val="both"/>
        <w:rPr>
          <w:sz w:val="22"/>
          <w:szCs w:val="22"/>
        </w:rPr>
      </w:pPr>
      <w:r w:rsidRPr="009B19F4">
        <w:rPr>
          <w:sz w:val="22"/>
          <w:szCs w:val="22"/>
        </w:rPr>
        <w:t>“</w:t>
      </w:r>
      <w:r w:rsidR="007C4103" w:rsidRPr="009B19F4">
        <w:rPr>
          <w:sz w:val="22"/>
          <w:szCs w:val="22"/>
        </w:rPr>
        <w:t>The proforma cost reports assume an occupancy percentage (95%) and payor mix consistent with 2012 (see Exhibit XI for a copy of the 2012 “as</w:t>
      </w:r>
      <w:r w:rsidR="004D716B">
        <w:rPr>
          <w:sz w:val="22"/>
          <w:szCs w:val="22"/>
        </w:rPr>
        <w:t xml:space="preserve"> filed” MaineCare cost report).”</w:t>
      </w:r>
    </w:p>
    <w:p w:rsidR="004D716B" w:rsidRPr="0064020C" w:rsidRDefault="004D716B" w:rsidP="007C4103">
      <w:pPr>
        <w:jc w:val="both"/>
        <w:rPr>
          <w:sz w:val="10"/>
          <w:szCs w:val="10"/>
        </w:rPr>
      </w:pPr>
    </w:p>
    <w:p w:rsidR="007C4103" w:rsidRPr="009B19F4" w:rsidRDefault="004D716B" w:rsidP="007C4103">
      <w:pPr>
        <w:jc w:val="both"/>
        <w:rPr>
          <w:sz w:val="22"/>
          <w:szCs w:val="22"/>
        </w:rPr>
      </w:pPr>
      <w:r>
        <w:rPr>
          <w:sz w:val="22"/>
          <w:szCs w:val="22"/>
        </w:rPr>
        <w:t>“</w:t>
      </w:r>
      <w:r w:rsidR="007C4103" w:rsidRPr="009B19F4">
        <w:rPr>
          <w:sz w:val="22"/>
          <w:szCs w:val="22"/>
        </w:rPr>
        <w:t>Total facility MaineCare census is projected to be approximately 71%. Given the current economic environment and State of Maine budget challenges, we anticipate no increases in MaineCare rates during Years 2 and 3. Therefore, the financial projections include no inflationary increases in MaineCare rates during Years 2 and 3 of operations.</w:t>
      </w:r>
      <w:r w:rsidR="00464D4F" w:rsidRPr="009B19F4">
        <w:rPr>
          <w:sz w:val="22"/>
          <w:szCs w:val="22"/>
        </w:rPr>
        <w:t>”</w:t>
      </w:r>
    </w:p>
    <w:p w:rsidR="007C4103" w:rsidRPr="0064020C" w:rsidRDefault="007C4103" w:rsidP="007C4103">
      <w:pPr>
        <w:jc w:val="both"/>
        <w:rPr>
          <w:sz w:val="10"/>
          <w:szCs w:val="10"/>
        </w:rPr>
      </w:pPr>
    </w:p>
    <w:p w:rsidR="007C4103" w:rsidRPr="009B19F4" w:rsidRDefault="00464D4F" w:rsidP="007C4103">
      <w:pPr>
        <w:jc w:val="both"/>
        <w:rPr>
          <w:sz w:val="22"/>
          <w:szCs w:val="22"/>
        </w:rPr>
      </w:pPr>
      <w:r w:rsidRPr="009B19F4">
        <w:rPr>
          <w:sz w:val="22"/>
          <w:szCs w:val="22"/>
        </w:rPr>
        <w:t>“</w:t>
      </w:r>
      <w:r w:rsidR="007C4103" w:rsidRPr="009B19F4">
        <w:rPr>
          <w:sz w:val="22"/>
          <w:szCs w:val="22"/>
        </w:rPr>
        <w:t>We are projecting our operating expenses to increase approximately 2.3% in Years 2 and 3, excluding fixed costs which are anticipated to remain relatively consistent with Year 1. A summary of all staffing, hours, rates and related benefits are included in Exhibits VII and VIII.</w:t>
      </w:r>
      <w:r w:rsidRPr="009B19F4">
        <w:rPr>
          <w:sz w:val="22"/>
          <w:szCs w:val="22"/>
        </w:rPr>
        <w:t>”</w:t>
      </w:r>
    </w:p>
    <w:p w:rsidR="007C4103" w:rsidRPr="0064020C" w:rsidRDefault="007C4103" w:rsidP="007C4103">
      <w:pPr>
        <w:jc w:val="both"/>
        <w:rPr>
          <w:sz w:val="10"/>
          <w:szCs w:val="10"/>
        </w:rPr>
      </w:pPr>
    </w:p>
    <w:p w:rsidR="007C4103" w:rsidRPr="009B19F4" w:rsidRDefault="00464D4F" w:rsidP="007C4103">
      <w:pPr>
        <w:jc w:val="both"/>
        <w:rPr>
          <w:sz w:val="22"/>
          <w:szCs w:val="22"/>
        </w:rPr>
      </w:pPr>
      <w:r w:rsidRPr="009B19F4">
        <w:rPr>
          <w:sz w:val="22"/>
          <w:szCs w:val="22"/>
        </w:rPr>
        <w:t>“</w:t>
      </w:r>
      <w:r w:rsidR="007C4103" w:rsidRPr="009B19F4">
        <w:rPr>
          <w:sz w:val="22"/>
          <w:szCs w:val="22"/>
        </w:rPr>
        <w:t>The additional revenue generated from the conversion and additional beds is anticipated to be approximately $1,756,000, and is based on rates in effect subsequent to Medicare sequestration implemented April 1, 2013, the proforma cost report rates for MaineCare and existing rates for commercial payors and private payors. We do not anticipate any significant changes in rates due to sequestration and/or flat funding in Years 2 and 3. Additional costs are projected to be approximately $1,300,000.</w:t>
      </w:r>
      <w:r w:rsidRPr="009B19F4">
        <w:rPr>
          <w:sz w:val="22"/>
          <w:szCs w:val="22"/>
        </w:rPr>
        <w:t>”</w:t>
      </w:r>
    </w:p>
    <w:p w:rsidR="007C4103" w:rsidRPr="0064020C" w:rsidRDefault="007C4103" w:rsidP="007C4103">
      <w:pPr>
        <w:jc w:val="both"/>
        <w:rPr>
          <w:sz w:val="10"/>
          <w:szCs w:val="10"/>
        </w:rPr>
      </w:pPr>
    </w:p>
    <w:p w:rsidR="007C4103" w:rsidRPr="009B19F4" w:rsidRDefault="00464D4F" w:rsidP="007C4103">
      <w:pPr>
        <w:jc w:val="both"/>
        <w:rPr>
          <w:sz w:val="22"/>
          <w:szCs w:val="22"/>
        </w:rPr>
      </w:pPr>
      <w:r w:rsidRPr="009B19F4">
        <w:rPr>
          <w:sz w:val="22"/>
          <w:szCs w:val="22"/>
        </w:rPr>
        <w:t>“</w:t>
      </w:r>
      <w:r w:rsidR="007C4103" w:rsidRPr="009B19F4">
        <w:rPr>
          <w:sz w:val="22"/>
          <w:szCs w:val="22"/>
        </w:rPr>
        <w:t>MGNH will continue to operate a 34-bed PNMI Appendix C residential care unit. Although the proposed new model DHHS has set forth for this program includes significant administrative and payment changes for the program, we do not anticipate the changes will have a significant financial impact on the financial operations of the facility. We have not included any assumptions relative to the current proposed changes to this program within the financial projections.</w:t>
      </w:r>
      <w:r w:rsidRPr="009B19F4">
        <w:rPr>
          <w:sz w:val="22"/>
          <w:szCs w:val="22"/>
        </w:rPr>
        <w:t>”</w:t>
      </w:r>
    </w:p>
    <w:p w:rsidR="007C4103" w:rsidRPr="0064020C" w:rsidRDefault="007C4103" w:rsidP="0064020C">
      <w:pPr>
        <w:jc w:val="both"/>
        <w:rPr>
          <w:sz w:val="10"/>
          <w:szCs w:val="10"/>
        </w:rPr>
      </w:pPr>
    </w:p>
    <w:p w:rsidR="007C4103" w:rsidRPr="009B19F4" w:rsidRDefault="00464D4F" w:rsidP="007C4103">
      <w:pPr>
        <w:jc w:val="both"/>
        <w:rPr>
          <w:sz w:val="22"/>
          <w:szCs w:val="22"/>
        </w:rPr>
      </w:pPr>
      <w:r w:rsidRPr="009B19F4">
        <w:rPr>
          <w:sz w:val="22"/>
          <w:szCs w:val="22"/>
        </w:rPr>
        <w:t>“</w:t>
      </w:r>
      <w:r w:rsidR="007C4103" w:rsidRPr="009B19F4">
        <w:rPr>
          <w:sz w:val="22"/>
          <w:szCs w:val="22"/>
        </w:rPr>
        <w:t>MGNH has obtained a verbal commitment from Machias Savings Bank to finance the proposed project subject to CON approval. The proforma cost reports were prepared assuming 100% financing of construction costs.</w:t>
      </w:r>
      <w:r w:rsidRPr="009B19F4">
        <w:rPr>
          <w:sz w:val="22"/>
          <w:szCs w:val="22"/>
        </w:rPr>
        <w:t>”</w:t>
      </w:r>
    </w:p>
    <w:p w:rsidR="007C4103" w:rsidRPr="0064020C" w:rsidRDefault="007C4103" w:rsidP="007C4103">
      <w:pPr>
        <w:jc w:val="both"/>
        <w:rPr>
          <w:sz w:val="10"/>
          <w:szCs w:val="10"/>
        </w:rPr>
      </w:pPr>
    </w:p>
    <w:p w:rsidR="007C4103" w:rsidRPr="009B19F4" w:rsidRDefault="00464D4F" w:rsidP="007C4103">
      <w:pPr>
        <w:jc w:val="both"/>
        <w:rPr>
          <w:sz w:val="22"/>
          <w:szCs w:val="22"/>
        </w:rPr>
      </w:pPr>
      <w:r w:rsidRPr="009B19F4">
        <w:rPr>
          <w:sz w:val="22"/>
          <w:szCs w:val="22"/>
        </w:rPr>
        <w:t>“</w:t>
      </w:r>
      <w:r w:rsidR="007C4103" w:rsidRPr="009B19F4">
        <w:rPr>
          <w:sz w:val="22"/>
          <w:szCs w:val="22"/>
        </w:rPr>
        <w:t>The increased reimbursement rates in Year 1, as a result of the conversion and additional beds, will allow us to better align our payment with our costs while achieving neutrality (see Exhibit XII for MaineCare neutrality analysis).</w:t>
      </w:r>
      <w:r w:rsidRPr="009B19F4">
        <w:rPr>
          <w:sz w:val="22"/>
          <w:szCs w:val="22"/>
        </w:rPr>
        <w:t>”</w:t>
      </w:r>
    </w:p>
    <w:p w:rsidR="007C4103" w:rsidRPr="0064020C" w:rsidRDefault="007C4103" w:rsidP="0064020C">
      <w:pPr>
        <w:jc w:val="both"/>
        <w:rPr>
          <w:sz w:val="16"/>
          <w:szCs w:val="16"/>
        </w:rPr>
      </w:pPr>
    </w:p>
    <w:p w:rsidR="007C4103" w:rsidRPr="009B19F4" w:rsidRDefault="00464D4F" w:rsidP="007C4103">
      <w:pPr>
        <w:jc w:val="both"/>
        <w:rPr>
          <w:sz w:val="22"/>
          <w:szCs w:val="22"/>
        </w:rPr>
      </w:pPr>
      <w:r w:rsidRPr="009B19F4">
        <w:rPr>
          <w:sz w:val="22"/>
          <w:szCs w:val="22"/>
        </w:rPr>
        <w:t>“</w:t>
      </w:r>
      <w:r w:rsidR="007C4103" w:rsidRPr="009B19F4">
        <w:rPr>
          <w:sz w:val="22"/>
          <w:szCs w:val="22"/>
        </w:rPr>
        <w:t>In summary, the overall projected increases in revenue will adequately cover the additional costs in Year 1 and subsequent years.</w:t>
      </w:r>
      <w:r w:rsidRPr="009B19F4">
        <w:rPr>
          <w:sz w:val="22"/>
          <w:szCs w:val="22"/>
        </w:rPr>
        <w:t>”</w:t>
      </w:r>
      <w:r w:rsidR="007C4103" w:rsidRPr="009B19F4">
        <w:rPr>
          <w:sz w:val="22"/>
          <w:szCs w:val="22"/>
        </w:rPr>
        <w:t xml:space="preserve"> </w:t>
      </w:r>
    </w:p>
    <w:p w:rsidR="00A01541" w:rsidRPr="0064020C" w:rsidRDefault="00A01541" w:rsidP="008C20DE">
      <w:pPr>
        <w:jc w:val="both"/>
        <w:rPr>
          <w:b/>
          <w:sz w:val="10"/>
          <w:szCs w:val="10"/>
          <w:u w:val="single"/>
        </w:rPr>
      </w:pPr>
    </w:p>
    <w:p w:rsidR="008E41AC" w:rsidRPr="009B19F4" w:rsidRDefault="009C2B70" w:rsidP="008C20DE">
      <w:pPr>
        <w:jc w:val="both"/>
        <w:rPr>
          <w:b/>
        </w:rPr>
      </w:pPr>
      <w:r w:rsidRPr="009B19F4">
        <w:rPr>
          <w:b/>
        </w:rPr>
        <w:t xml:space="preserve">B. </w:t>
      </w:r>
      <w:r w:rsidR="008F244E" w:rsidRPr="006B35F7">
        <w:rPr>
          <w:b/>
          <w:u w:val="single"/>
        </w:rPr>
        <w:t>Certificate of Need Unit Discussion</w:t>
      </w:r>
    </w:p>
    <w:p w:rsidR="008E41AC" w:rsidRPr="0064020C" w:rsidRDefault="008E41AC" w:rsidP="008C20DE">
      <w:pPr>
        <w:jc w:val="both"/>
        <w:rPr>
          <w:sz w:val="10"/>
          <w:szCs w:val="10"/>
        </w:rPr>
      </w:pPr>
    </w:p>
    <w:p w:rsidR="007A565D" w:rsidRDefault="007A565D" w:rsidP="007A565D">
      <w:pPr>
        <w:pStyle w:val="ListParagraph"/>
        <w:keepNext/>
        <w:ind w:left="270"/>
        <w:jc w:val="both"/>
        <w:rPr>
          <w:b/>
        </w:rPr>
      </w:pPr>
    </w:p>
    <w:p w:rsidR="009D7AC0" w:rsidRPr="00D46EA9" w:rsidRDefault="009D7AC0" w:rsidP="00D46EA9">
      <w:pPr>
        <w:pStyle w:val="ListParagraph"/>
        <w:keepNext/>
        <w:numPr>
          <w:ilvl w:val="0"/>
          <w:numId w:val="33"/>
        </w:numPr>
        <w:ind w:left="270" w:hanging="270"/>
        <w:jc w:val="both"/>
        <w:rPr>
          <w:b/>
        </w:rPr>
      </w:pPr>
      <w:r w:rsidRPr="00D46EA9">
        <w:rPr>
          <w:b/>
        </w:rPr>
        <w:t>CON Standard</w:t>
      </w:r>
      <w:r w:rsidR="009B19F4" w:rsidRPr="00D46EA9">
        <w:rPr>
          <w:b/>
        </w:rPr>
        <w:t>s</w:t>
      </w:r>
    </w:p>
    <w:p w:rsidR="001445FA" w:rsidRPr="0064020C" w:rsidRDefault="001445FA" w:rsidP="006E3BB1">
      <w:pPr>
        <w:keepNext/>
        <w:jc w:val="both"/>
        <w:rPr>
          <w:sz w:val="10"/>
          <w:szCs w:val="10"/>
        </w:rPr>
      </w:pPr>
    </w:p>
    <w:p w:rsidR="001445FA" w:rsidRPr="009B19F4" w:rsidRDefault="001445FA" w:rsidP="001445FA">
      <w:pPr>
        <w:jc w:val="both"/>
      </w:pPr>
      <w:r w:rsidRPr="009B19F4">
        <w:t xml:space="preserve">Relevant standards for inclusion in this section are specific to the determination that the economic feasibility of the proposed services is demonstrated in terms of the: </w:t>
      </w:r>
    </w:p>
    <w:p w:rsidR="001445FA" w:rsidRPr="0064020C" w:rsidRDefault="001445FA" w:rsidP="001445FA">
      <w:pPr>
        <w:jc w:val="both"/>
        <w:rPr>
          <w:sz w:val="16"/>
          <w:szCs w:val="16"/>
        </w:rPr>
      </w:pPr>
    </w:p>
    <w:p w:rsidR="001445FA" w:rsidRPr="009B19F4" w:rsidRDefault="001445FA" w:rsidP="001445FA">
      <w:pPr>
        <w:numPr>
          <w:ilvl w:val="0"/>
          <w:numId w:val="1"/>
        </w:numPr>
        <w:jc w:val="both"/>
        <w:rPr>
          <w:sz w:val="22"/>
          <w:szCs w:val="22"/>
        </w:rPr>
      </w:pPr>
      <w:r w:rsidRPr="009B19F4">
        <w:t>Capacity of the applicant to support the project financially over its useful life, in light of the rates the applicant expects to be able to charge for the services to be provided by the project; and</w:t>
      </w:r>
    </w:p>
    <w:p w:rsidR="001445FA" w:rsidRPr="009B19F4" w:rsidRDefault="001445FA" w:rsidP="001445FA">
      <w:pPr>
        <w:ind w:left="720"/>
        <w:jc w:val="both"/>
        <w:rPr>
          <w:sz w:val="16"/>
          <w:szCs w:val="16"/>
        </w:rPr>
      </w:pPr>
    </w:p>
    <w:p w:rsidR="001445FA" w:rsidRPr="009B19F4" w:rsidRDefault="001445FA" w:rsidP="001445FA">
      <w:pPr>
        <w:numPr>
          <w:ilvl w:val="0"/>
          <w:numId w:val="1"/>
        </w:numPr>
        <w:jc w:val="both"/>
      </w:pPr>
      <w:r w:rsidRPr="009B19F4">
        <w:t>The applicant's ability to establish and operate the project in accordance with existing and reasonably anticipated future changes in federal, state and local licensure and other applicable or potentially applicable rules.</w:t>
      </w:r>
      <w:r w:rsidRPr="009B19F4">
        <w:rPr>
          <w:b/>
        </w:rPr>
        <w:t xml:space="preserve"> </w:t>
      </w:r>
    </w:p>
    <w:p w:rsidR="001445FA" w:rsidRPr="004D716B" w:rsidRDefault="001445FA" w:rsidP="001445FA">
      <w:pPr>
        <w:jc w:val="both"/>
        <w:rPr>
          <w:b/>
          <w:sz w:val="10"/>
          <w:szCs w:val="10"/>
        </w:rPr>
      </w:pPr>
    </w:p>
    <w:p w:rsidR="0064020C" w:rsidRDefault="0064020C" w:rsidP="006E3BB1">
      <w:pPr>
        <w:jc w:val="both"/>
        <w:rPr>
          <w:b/>
        </w:rPr>
        <w:sectPr w:rsidR="0064020C" w:rsidSect="009C2B70">
          <w:pgSz w:w="12240" w:h="15840"/>
          <w:pgMar w:top="1440" w:right="1440" w:bottom="1440" w:left="1440" w:header="720" w:footer="720" w:gutter="0"/>
          <w:cols w:space="720"/>
          <w:docGrid w:linePitch="360"/>
        </w:sectPr>
      </w:pPr>
    </w:p>
    <w:p w:rsidR="0064020C" w:rsidRPr="0064020C" w:rsidRDefault="0064020C" w:rsidP="006E3BB1">
      <w:pPr>
        <w:jc w:val="both"/>
        <w:rPr>
          <w:b/>
          <w:sz w:val="10"/>
          <w:szCs w:val="10"/>
        </w:rPr>
      </w:pPr>
    </w:p>
    <w:p w:rsidR="007A565D" w:rsidRDefault="007A565D" w:rsidP="007A565D">
      <w:pPr>
        <w:pStyle w:val="ListParagraph"/>
        <w:tabs>
          <w:tab w:val="left" w:pos="270"/>
        </w:tabs>
        <w:ind w:left="270"/>
        <w:jc w:val="both"/>
        <w:rPr>
          <w:b/>
        </w:rPr>
      </w:pPr>
    </w:p>
    <w:p w:rsidR="00354259" w:rsidRPr="00D46EA9" w:rsidRDefault="009B19F4" w:rsidP="00D46EA9">
      <w:pPr>
        <w:pStyle w:val="ListParagraph"/>
        <w:numPr>
          <w:ilvl w:val="0"/>
          <w:numId w:val="33"/>
        </w:numPr>
        <w:tabs>
          <w:tab w:val="left" w:pos="270"/>
        </w:tabs>
        <w:ind w:left="270" w:hanging="270"/>
        <w:jc w:val="both"/>
        <w:rPr>
          <w:b/>
        </w:rPr>
      </w:pPr>
      <w:r w:rsidRPr="00D46EA9">
        <w:rPr>
          <w:b/>
        </w:rPr>
        <w:t>CON</w:t>
      </w:r>
      <w:r w:rsidR="008F244E" w:rsidRPr="00D46EA9">
        <w:rPr>
          <w:b/>
        </w:rPr>
        <w:t xml:space="preserve"> Unit An</w:t>
      </w:r>
      <w:r w:rsidR="00654D8C" w:rsidRPr="00D46EA9">
        <w:rPr>
          <w:b/>
        </w:rPr>
        <w:t>alysis</w:t>
      </w:r>
    </w:p>
    <w:p w:rsidR="00354259" w:rsidRPr="004D716B" w:rsidRDefault="00354259" w:rsidP="008C20DE">
      <w:pPr>
        <w:jc w:val="both"/>
        <w:rPr>
          <w:b/>
          <w:sz w:val="10"/>
          <w:szCs w:val="10"/>
          <w:u w:val="single"/>
        </w:rPr>
      </w:pPr>
    </w:p>
    <w:p w:rsidR="001445FA" w:rsidRPr="009B19F4" w:rsidRDefault="001445FA" w:rsidP="001445FA">
      <w:pPr>
        <w:jc w:val="both"/>
        <w:rPr>
          <w:b/>
          <w:u w:val="single"/>
        </w:rPr>
      </w:pPr>
      <w:r w:rsidRPr="009B19F4">
        <w:rPr>
          <w:b/>
          <w:u w:val="single"/>
        </w:rPr>
        <w:t>Financial Feasibility and Staffing</w:t>
      </w:r>
    </w:p>
    <w:p w:rsidR="001445FA" w:rsidRPr="004D716B" w:rsidRDefault="001445FA" w:rsidP="001445FA">
      <w:pPr>
        <w:jc w:val="both"/>
        <w:rPr>
          <w:sz w:val="10"/>
          <w:szCs w:val="10"/>
          <w:u w:val="single"/>
        </w:rPr>
      </w:pPr>
    </w:p>
    <w:p w:rsidR="001445FA" w:rsidRPr="009B19F4" w:rsidRDefault="001445FA" w:rsidP="001445FA">
      <w:pPr>
        <w:jc w:val="both"/>
      </w:pPr>
      <w:r w:rsidRPr="009B19F4">
        <w:t xml:space="preserve">The applicant provided a pro-forma cost report that represents the change in the provided service level. The applicant is proposing to convert </w:t>
      </w:r>
      <w:r w:rsidR="00D05B8A" w:rsidRPr="009B19F4">
        <w:t>thirteen residential care beds</w:t>
      </w:r>
      <w:r w:rsidRPr="009B19F4">
        <w:t xml:space="preserve"> to </w:t>
      </w:r>
      <w:r w:rsidR="00D05B8A" w:rsidRPr="009B19F4">
        <w:t>thirteen</w:t>
      </w:r>
      <w:r w:rsidRPr="009B19F4">
        <w:t xml:space="preserve"> SNF/NF beds</w:t>
      </w:r>
      <w:r w:rsidR="00D05B8A" w:rsidRPr="009B19F4">
        <w:t xml:space="preserve"> and add an additional twelve SNF/NF beds. </w:t>
      </w:r>
      <w:r w:rsidRPr="009B19F4">
        <w:t xml:space="preserve">  The pro-forma cost report </w:t>
      </w:r>
      <w:r w:rsidR="002C6C17" w:rsidRPr="009B19F4">
        <w:t>includes the applicants projections of increased staffing levels</w:t>
      </w:r>
      <w:r w:rsidRPr="009B19F4">
        <w:t xml:space="preserve"> required to perform the services required by the occupants of the additional SNF/NF beds. </w:t>
      </w:r>
      <w:r w:rsidR="002C6C17" w:rsidRPr="009B19F4">
        <w:t xml:space="preserve">CONU reviewed the underlying assumptions used in the preparation of this cost report regarding financing, construction budgets, depreciation/amortization expense and projected payor mix and found them reasonable. Future reimbursement will ultimately be determined by DHHS Rate Setting and DHHS Audit. </w:t>
      </w:r>
      <w:r w:rsidRPr="009B19F4">
        <w:t xml:space="preserve">The </w:t>
      </w:r>
      <w:r w:rsidR="002C6C17" w:rsidRPr="009B19F4">
        <w:t xml:space="preserve">increase in </w:t>
      </w:r>
      <w:r w:rsidRPr="009B19F4">
        <w:t>SNF/NF care as well as the analysis of need located in Section IV of this analysis supports the applicants’ assertion that this project is financially feasible and will maintain the financial stability of this facility.</w:t>
      </w:r>
    </w:p>
    <w:p w:rsidR="001445FA" w:rsidRPr="004D716B" w:rsidRDefault="001445FA" w:rsidP="001445FA">
      <w:pPr>
        <w:jc w:val="both"/>
        <w:rPr>
          <w:sz w:val="10"/>
          <w:szCs w:val="10"/>
        </w:rPr>
      </w:pPr>
    </w:p>
    <w:p w:rsidR="001445FA" w:rsidRPr="009B19F4" w:rsidRDefault="001445FA" w:rsidP="001445FA">
      <w:pPr>
        <w:jc w:val="both"/>
        <w:rPr>
          <w:b/>
          <w:u w:val="single"/>
        </w:rPr>
      </w:pPr>
      <w:r w:rsidRPr="009B19F4">
        <w:rPr>
          <w:b/>
          <w:u w:val="single"/>
        </w:rPr>
        <w:t>MaineCare Neutrality</w:t>
      </w:r>
    </w:p>
    <w:p w:rsidR="001445FA" w:rsidRPr="004D716B" w:rsidRDefault="001445FA" w:rsidP="001445FA">
      <w:pPr>
        <w:jc w:val="both"/>
        <w:rPr>
          <w:b/>
          <w:sz w:val="10"/>
          <w:szCs w:val="10"/>
        </w:rPr>
      </w:pPr>
    </w:p>
    <w:p w:rsidR="001445FA" w:rsidRPr="009B19F4" w:rsidRDefault="001445FA" w:rsidP="001445FA">
      <w:pPr>
        <w:jc w:val="both"/>
      </w:pPr>
      <w:r w:rsidRPr="009B19F4">
        <w:t xml:space="preserve">This project is subject to MaineCare neutrality. MaineCare neutrality is computed by comparing the utilization of MaineCare resources between </w:t>
      </w:r>
      <w:r w:rsidR="00B71783" w:rsidRPr="009B19F4">
        <w:t xml:space="preserve">Maple Groves </w:t>
      </w:r>
      <w:r w:rsidRPr="009B19F4">
        <w:t xml:space="preserve">current </w:t>
      </w:r>
      <w:r w:rsidR="00B71783" w:rsidRPr="009B19F4">
        <w:t>86</w:t>
      </w:r>
      <w:r w:rsidRPr="009B19F4">
        <w:t xml:space="preserve"> bed NF/SNF and </w:t>
      </w:r>
      <w:r w:rsidR="00B71783" w:rsidRPr="009B19F4">
        <w:t>47</w:t>
      </w:r>
      <w:r w:rsidRPr="009B19F4">
        <w:t xml:space="preserve"> bed RCF bed capacity and the proposed </w:t>
      </w:r>
      <w:r w:rsidR="00B71783" w:rsidRPr="009B19F4">
        <w:t>111</w:t>
      </w:r>
      <w:r w:rsidRPr="009B19F4">
        <w:t xml:space="preserve"> </w:t>
      </w:r>
      <w:r w:rsidR="005F6D2C" w:rsidRPr="009B19F4">
        <w:t>SNF/NF</w:t>
      </w:r>
      <w:r w:rsidRPr="009B19F4">
        <w:t xml:space="preserve"> bed</w:t>
      </w:r>
      <w:r w:rsidR="00B71783" w:rsidRPr="009B19F4">
        <w:t xml:space="preserve"> and 34 bed RCF </w:t>
      </w:r>
      <w:r w:rsidRPr="009B19F4">
        <w:t xml:space="preserve"> capacity. The current calculated MaineCare utilization for </w:t>
      </w:r>
      <w:r w:rsidR="005F6D2C" w:rsidRPr="009B19F4">
        <w:t>SNF/NF</w:t>
      </w:r>
      <w:r w:rsidRPr="009B19F4">
        <w:t xml:space="preserve"> is $</w:t>
      </w:r>
      <w:r w:rsidR="00AC0408" w:rsidRPr="009B19F4">
        <w:t>4,</w:t>
      </w:r>
      <w:r w:rsidR="005E412C" w:rsidRPr="009B19F4">
        <w:t>780,226 and the RCF is $1,874</w:t>
      </w:r>
      <w:r w:rsidR="00782270" w:rsidRPr="009B19F4">
        <w:t>,</w:t>
      </w:r>
      <w:r w:rsidR="005E412C" w:rsidRPr="009B19F4">
        <w:t>673 for a total utilization of $6,654,899</w:t>
      </w:r>
      <w:r w:rsidRPr="009B19F4">
        <w:t>. The proposed calculated MaineCare utilization is $</w:t>
      </w:r>
      <w:r w:rsidR="005F6D2C" w:rsidRPr="009B19F4">
        <w:t>6,592,054 for SNF/NF and $1,429,831 for RCF for a total utilization of $8,021,884</w:t>
      </w:r>
      <w:r w:rsidRPr="009B19F4">
        <w:t>. This increase in MaineCare utilization is $</w:t>
      </w:r>
      <w:r w:rsidR="005F6D2C" w:rsidRPr="009B19F4">
        <w:t>1,366,986</w:t>
      </w:r>
      <w:r w:rsidRPr="009B19F4">
        <w:t xml:space="preserve"> which is based on 95% occupancy. </w:t>
      </w:r>
    </w:p>
    <w:p w:rsidR="001445FA" w:rsidRPr="004D716B" w:rsidRDefault="001445FA" w:rsidP="001445FA">
      <w:pPr>
        <w:jc w:val="both"/>
        <w:rPr>
          <w:sz w:val="10"/>
          <w:szCs w:val="10"/>
        </w:rPr>
      </w:pPr>
    </w:p>
    <w:p w:rsidR="001445FA" w:rsidRPr="009B19F4" w:rsidRDefault="001445FA" w:rsidP="001445FA">
      <w:pPr>
        <w:jc w:val="both"/>
      </w:pPr>
      <w:r w:rsidRPr="009B19F4">
        <w:t>The resources available for the project are listed in Table 1: Sources and Uses of MaineCare Funding. The applicant identified two sources of revenue for offsetting the project’s annual expenses.</w:t>
      </w:r>
    </w:p>
    <w:p w:rsidR="001445FA" w:rsidRPr="004D716B" w:rsidRDefault="001445FA" w:rsidP="001445FA">
      <w:pPr>
        <w:jc w:val="both"/>
        <w:rPr>
          <w:sz w:val="10"/>
          <w:szCs w:val="10"/>
        </w:rPr>
      </w:pPr>
    </w:p>
    <w:p w:rsidR="001445FA" w:rsidRPr="009B19F4" w:rsidRDefault="001445FA" w:rsidP="001445FA">
      <w:pPr>
        <w:jc w:val="both"/>
        <w:rPr>
          <w:b/>
        </w:rPr>
      </w:pPr>
      <w:r w:rsidRPr="009B19F4">
        <w:rPr>
          <w:b/>
        </w:rPr>
        <w:t>Table 1: Sources and Uses of MaineCare Funding:</w:t>
      </w:r>
    </w:p>
    <w:tbl>
      <w:tblPr>
        <w:tblW w:w="9483" w:type="dxa"/>
        <w:tblInd w:w="93" w:type="dxa"/>
        <w:tblLook w:val="04A0" w:firstRow="1" w:lastRow="0" w:firstColumn="1" w:lastColumn="0" w:noHBand="0" w:noVBand="1"/>
      </w:tblPr>
      <w:tblGrid>
        <w:gridCol w:w="2625"/>
        <w:gridCol w:w="2060"/>
        <w:gridCol w:w="699"/>
        <w:gridCol w:w="1547"/>
        <w:gridCol w:w="1274"/>
        <w:gridCol w:w="1278"/>
      </w:tblGrid>
      <w:tr w:rsidR="00FC2A6D" w:rsidRPr="009B19F4" w:rsidTr="004D716B">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A6D" w:rsidRPr="009B19F4" w:rsidRDefault="001A7C83" w:rsidP="001A7C83">
            <w:pPr>
              <w:jc w:val="center"/>
              <w:rPr>
                <w:b/>
                <w:color w:val="000000"/>
                <w:sz w:val="22"/>
                <w:szCs w:val="22"/>
              </w:rPr>
            </w:pPr>
            <w:r>
              <w:rPr>
                <w:b/>
                <w:color w:val="000000"/>
                <w:sz w:val="22"/>
                <w:szCs w:val="22"/>
              </w:rPr>
              <w:t>Source</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b/>
                <w:color w:val="000000"/>
                <w:sz w:val="22"/>
                <w:szCs w:val="22"/>
              </w:rPr>
            </w:pPr>
            <w:r w:rsidRPr="009B19F4">
              <w:rPr>
                <w:b/>
                <w:color w:val="000000"/>
                <w:sz w:val="22"/>
                <w:szCs w:val="22"/>
              </w:rPr>
              <w:t>Facility</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b/>
                <w:color w:val="000000"/>
                <w:sz w:val="22"/>
                <w:szCs w:val="22"/>
              </w:rPr>
            </w:pPr>
            <w:r w:rsidRPr="009B19F4">
              <w:rPr>
                <w:b/>
                <w:color w:val="000000"/>
                <w:sz w:val="22"/>
                <w:szCs w:val="22"/>
              </w:rPr>
              <w:t># of Beds</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b/>
                <w:color w:val="000000"/>
                <w:sz w:val="22"/>
                <w:szCs w:val="22"/>
              </w:rPr>
            </w:pPr>
            <w:r w:rsidRPr="009B19F4">
              <w:rPr>
                <w:b/>
                <w:color w:val="000000"/>
                <w:sz w:val="22"/>
                <w:szCs w:val="22"/>
              </w:rPr>
              <w:t>$ Value</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b/>
                <w:color w:val="000000"/>
                <w:sz w:val="22"/>
                <w:szCs w:val="22"/>
              </w:rPr>
            </w:pPr>
            <w:r w:rsidRPr="009B19F4">
              <w:rPr>
                <w:b/>
                <w:color w:val="000000"/>
                <w:sz w:val="22"/>
                <w:szCs w:val="22"/>
              </w:rPr>
              <w:t>Allocated Beds</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b/>
                <w:color w:val="000000"/>
                <w:sz w:val="22"/>
                <w:szCs w:val="22"/>
              </w:rPr>
            </w:pPr>
            <w:r w:rsidRPr="009B19F4">
              <w:rPr>
                <w:b/>
                <w:color w:val="000000"/>
                <w:sz w:val="22"/>
                <w:szCs w:val="22"/>
              </w:rPr>
              <w:t>$ value</w:t>
            </w:r>
          </w:p>
        </w:tc>
      </w:tr>
      <w:tr w:rsidR="00FC2A6D" w:rsidRPr="009B19F4" w:rsidTr="004D716B">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C2A6D" w:rsidRPr="009B19F4" w:rsidRDefault="00FC2A6D" w:rsidP="001A7C83">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84C58">
            <w:pPr>
              <w:ind w:right="-98"/>
              <w:rPr>
                <w:color w:val="000000"/>
                <w:sz w:val="22"/>
                <w:szCs w:val="22"/>
              </w:rPr>
            </w:pPr>
            <w:r w:rsidRPr="009B19F4">
              <w:rPr>
                <w:color w:val="000000"/>
                <w:sz w:val="22"/>
                <w:szCs w:val="22"/>
              </w:rPr>
              <w:t xml:space="preserve">The Houlton </w:t>
            </w:r>
            <w:r w:rsidR="008E08D6" w:rsidRPr="009B19F4">
              <w:rPr>
                <w:color w:val="000000"/>
                <w:sz w:val="22"/>
                <w:szCs w:val="22"/>
              </w:rPr>
              <w:t>Reg</w:t>
            </w:r>
            <w:r w:rsidR="008E08D6">
              <w:rPr>
                <w:color w:val="000000"/>
                <w:sz w:val="22"/>
                <w:szCs w:val="22"/>
              </w:rPr>
              <w:t>.</w:t>
            </w:r>
          </w:p>
        </w:tc>
        <w:tc>
          <w:tcPr>
            <w:tcW w:w="699"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color w:val="000000"/>
                <w:sz w:val="22"/>
                <w:szCs w:val="22"/>
              </w:rPr>
            </w:pPr>
            <w:r w:rsidRPr="009B19F4">
              <w:rPr>
                <w:color w:val="000000"/>
                <w:sz w:val="22"/>
                <w:szCs w:val="22"/>
              </w:rPr>
              <w:t>28</w:t>
            </w:r>
          </w:p>
        </w:tc>
        <w:tc>
          <w:tcPr>
            <w:tcW w:w="1547"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jc w:val="right"/>
              <w:rPr>
                <w:color w:val="000000"/>
                <w:sz w:val="22"/>
                <w:szCs w:val="22"/>
              </w:rPr>
            </w:pPr>
            <w:r w:rsidRPr="009B19F4">
              <w:rPr>
                <w:color w:val="000000"/>
                <w:sz w:val="22"/>
                <w:szCs w:val="22"/>
              </w:rPr>
              <w:t xml:space="preserve">$844,800 </w:t>
            </w:r>
          </w:p>
        </w:tc>
        <w:tc>
          <w:tcPr>
            <w:tcW w:w="1274"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color w:val="000000"/>
                <w:sz w:val="22"/>
                <w:szCs w:val="22"/>
              </w:rPr>
            </w:pPr>
            <w:r w:rsidRPr="009B19F4">
              <w:rPr>
                <w:color w:val="000000"/>
                <w:sz w:val="22"/>
                <w:szCs w:val="22"/>
              </w:rPr>
              <w:t>28</w:t>
            </w:r>
          </w:p>
        </w:tc>
        <w:tc>
          <w:tcPr>
            <w:tcW w:w="1278"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jc w:val="right"/>
              <w:rPr>
                <w:color w:val="000000"/>
                <w:sz w:val="22"/>
                <w:szCs w:val="22"/>
              </w:rPr>
            </w:pPr>
            <w:r w:rsidRPr="009B19F4">
              <w:rPr>
                <w:color w:val="000000"/>
                <w:sz w:val="22"/>
                <w:szCs w:val="22"/>
              </w:rPr>
              <w:t xml:space="preserve">$844,800 </w:t>
            </w:r>
          </w:p>
        </w:tc>
      </w:tr>
      <w:tr w:rsidR="00FC2A6D" w:rsidRPr="009B19F4" w:rsidTr="004D716B">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C2A6D" w:rsidRPr="009B19F4" w:rsidRDefault="00FC2A6D" w:rsidP="001A7C83">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rPr>
                <w:color w:val="000000"/>
                <w:sz w:val="22"/>
                <w:szCs w:val="22"/>
              </w:rPr>
            </w:pPr>
            <w:r w:rsidRPr="009B19F4">
              <w:rPr>
                <w:color w:val="000000"/>
                <w:sz w:val="22"/>
                <w:szCs w:val="22"/>
              </w:rPr>
              <w:t>Prog</w:t>
            </w:r>
            <w:r w:rsidR="008E08D6">
              <w:rPr>
                <w:color w:val="000000"/>
                <w:sz w:val="22"/>
                <w:szCs w:val="22"/>
              </w:rPr>
              <w:t>.</w:t>
            </w:r>
            <w:r w:rsidRPr="009B19F4">
              <w:rPr>
                <w:color w:val="000000"/>
                <w:sz w:val="22"/>
                <w:szCs w:val="22"/>
              </w:rPr>
              <w:t xml:space="preserve"> Care Fac</w:t>
            </w:r>
            <w:r w:rsidR="008E08D6">
              <w:rPr>
                <w:color w:val="000000"/>
                <w:sz w:val="22"/>
                <w:szCs w:val="22"/>
              </w:rPr>
              <w:t>.</w:t>
            </w:r>
          </w:p>
        </w:tc>
        <w:tc>
          <w:tcPr>
            <w:tcW w:w="699"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color w:val="000000"/>
                <w:sz w:val="22"/>
                <w:szCs w:val="22"/>
              </w:rPr>
            </w:pPr>
          </w:p>
        </w:tc>
        <w:tc>
          <w:tcPr>
            <w:tcW w:w="1547"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rPr>
                <w:color w:val="000000"/>
                <w:sz w:val="22"/>
                <w:szCs w:val="22"/>
              </w:rPr>
            </w:pPr>
            <w:r w:rsidRPr="009B19F4">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color w:val="000000"/>
                <w:sz w:val="22"/>
                <w:szCs w:val="22"/>
              </w:rPr>
            </w:pPr>
          </w:p>
        </w:tc>
        <w:tc>
          <w:tcPr>
            <w:tcW w:w="1278"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rPr>
                <w:color w:val="000000"/>
                <w:sz w:val="22"/>
                <w:szCs w:val="22"/>
              </w:rPr>
            </w:pPr>
            <w:r w:rsidRPr="009B19F4">
              <w:rPr>
                <w:color w:val="000000"/>
                <w:sz w:val="22"/>
                <w:szCs w:val="22"/>
              </w:rPr>
              <w:t> </w:t>
            </w:r>
          </w:p>
        </w:tc>
      </w:tr>
      <w:tr w:rsidR="00FC2A6D" w:rsidRPr="009B19F4" w:rsidTr="004D716B">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C2A6D" w:rsidRPr="009B19F4" w:rsidRDefault="00FC2A6D" w:rsidP="001A7C83">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rPr>
                <w:color w:val="000000"/>
                <w:sz w:val="22"/>
                <w:szCs w:val="22"/>
              </w:rPr>
            </w:pPr>
            <w:r w:rsidRPr="009B19F4">
              <w:rPr>
                <w:color w:val="000000"/>
                <w:sz w:val="22"/>
                <w:szCs w:val="22"/>
              </w:rPr>
              <w:t>Total</w:t>
            </w:r>
          </w:p>
        </w:tc>
        <w:tc>
          <w:tcPr>
            <w:tcW w:w="699"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color w:val="000000"/>
                <w:sz w:val="22"/>
                <w:szCs w:val="22"/>
              </w:rPr>
            </w:pPr>
            <w:r w:rsidRPr="009B19F4">
              <w:rPr>
                <w:color w:val="000000"/>
                <w:sz w:val="22"/>
                <w:szCs w:val="22"/>
              </w:rPr>
              <w:t>28</w:t>
            </w:r>
          </w:p>
        </w:tc>
        <w:tc>
          <w:tcPr>
            <w:tcW w:w="1547"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jc w:val="right"/>
              <w:rPr>
                <w:color w:val="000000"/>
                <w:sz w:val="22"/>
                <w:szCs w:val="22"/>
              </w:rPr>
            </w:pPr>
            <w:r w:rsidRPr="009B19F4">
              <w:rPr>
                <w:color w:val="000000"/>
                <w:sz w:val="22"/>
                <w:szCs w:val="22"/>
              </w:rPr>
              <w:t xml:space="preserve">$844,800 </w:t>
            </w:r>
          </w:p>
        </w:tc>
        <w:tc>
          <w:tcPr>
            <w:tcW w:w="1274"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color w:val="000000"/>
                <w:sz w:val="22"/>
                <w:szCs w:val="22"/>
              </w:rPr>
            </w:pPr>
            <w:r w:rsidRPr="009B19F4">
              <w:rPr>
                <w:color w:val="000000"/>
                <w:sz w:val="22"/>
                <w:szCs w:val="22"/>
              </w:rPr>
              <w:t>28</w:t>
            </w:r>
          </w:p>
        </w:tc>
        <w:tc>
          <w:tcPr>
            <w:tcW w:w="1278"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jc w:val="right"/>
              <w:rPr>
                <w:color w:val="000000"/>
                <w:sz w:val="22"/>
                <w:szCs w:val="22"/>
              </w:rPr>
            </w:pPr>
            <w:r w:rsidRPr="009B19F4">
              <w:rPr>
                <w:color w:val="000000"/>
                <w:sz w:val="22"/>
                <w:szCs w:val="22"/>
              </w:rPr>
              <w:t xml:space="preserve">$844,800 </w:t>
            </w:r>
          </w:p>
        </w:tc>
      </w:tr>
      <w:tr w:rsidR="00FC2A6D" w:rsidRPr="009B19F4" w:rsidTr="004D716B">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C2A6D" w:rsidRPr="009B19F4" w:rsidRDefault="00FC2A6D" w:rsidP="001A7C83">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rPr>
                <w:color w:val="000000"/>
                <w:sz w:val="22"/>
                <w:szCs w:val="22"/>
              </w:rPr>
            </w:pPr>
            <w:r w:rsidRPr="009B19F4">
              <w:rPr>
                <w:color w:val="000000"/>
                <w:sz w:val="22"/>
                <w:szCs w:val="22"/>
              </w:rPr>
              <w:t> </w:t>
            </w:r>
          </w:p>
        </w:tc>
        <w:tc>
          <w:tcPr>
            <w:tcW w:w="699"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color w:val="000000"/>
                <w:sz w:val="22"/>
                <w:szCs w:val="22"/>
              </w:rPr>
            </w:pPr>
          </w:p>
        </w:tc>
        <w:tc>
          <w:tcPr>
            <w:tcW w:w="1547"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rPr>
                <w:color w:val="000000"/>
                <w:sz w:val="22"/>
                <w:szCs w:val="22"/>
              </w:rPr>
            </w:pPr>
            <w:r w:rsidRPr="009B19F4">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color w:val="000000"/>
                <w:sz w:val="22"/>
                <w:szCs w:val="22"/>
              </w:rPr>
            </w:pPr>
          </w:p>
        </w:tc>
        <w:tc>
          <w:tcPr>
            <w:tcW w:w="1278"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rPr>
                <w:color w:val="000000"/>
                <w:sz w:val="22"/>
                <w:szCs w:val="22"/>
              </w:rPr>
            </w:pPr>
            <w:r w:rsidRPr="009B19F4">
              <w:rPr>
                <w:color w:val="000000"/>
                <w:sz w:val="22"/>
                <w:szCs w:val="22"/>
              </w:rPr>
              <w:t> </w:t>
            </w:r>
          </w:p>
        </w:tc>
      </w:tr>
      <w:tr w:rsidR="00FC2A6D" w:rsidRPr="009B19F4" w:rsidTr="004D716B">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C2A6D" w:rsidRPr="009B19F4" w:rsidRDefault="001A7C83" w:rsidP="001A7C83">
            <w:pPr>
              <w:rPr>
                <w:b/>
                <w:color w:val="000000"/>
                <w:sz w:val="22"/>
                <w:szCs w:val="22"/>
              </w:rPr>
            </w:pPr>
            <w:r>
              <w:rPr>
                <w:b/>
                <w:color w:val="000000"/>
                <w:sz w:val="22"/>
                <w:szCs w:val="22"/>
              </w:rPr>
              <w:t>Use</w:t>
            </w:r>
          </w:p>
        </w:tc>
        <w:tc>
          <w:tcPr>
            <w:tcW w:w="2060"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rPr>
                <w:b/>
                <w:color w:val="000000"/>
                <w:sz w:val="22"/>
                <w:szCs w:val="22"/>
              </w:rPr>
            </w:pPr>
            <w:r w:rsidRPr="009B19F4">
              <w:rPr>
                <w:b/>
                <w:color w:val="000000"/>
                <w:sz w:val="22"/>
                <w:szCs w:val="22"/>
              </w:rPr>
              <w:t>Madigan SNF/NF</w:t>
            </w:r>
          </w:p>
        </w:tc>
        <w:tc>
          <w:tcPr>
            <w:tcW w:w="699"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b/>
                <w:color w:val="000000"/>
                <w:sz w:val="22"/>
                <w:szCs w:val="22"/>
              </w:rPr>
            </w:pPr>
            <w:r w:rsidRPr="009B19F4">
              <w:rPr>
                <w:b/>
                <w:color w:val="000000"/>
                <w:sz w:val="22"/>
                <w:szCs w:val="22"/>
              </w:rPr>
              <w:t>25</w:t>
            </w:r>
          </w:p>
        </w:tc>
        <w:tc>
          <w:tcPr>
            <w:tcW w:w="1547"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jc w:val="right"/>
              <w:rPr>
                <w:b/>
                <w:color w:val="000000"/>
                <w:sz w:val="22"/>
                <w:szCs w:val="22"/>
              </w:rPr>
            </w:pPr>
            <w:r w:rsidRPr="009B19F4">
              <w:rPr>
                <w:b/>
                <w:color w:val="000000"/>
                <w:sz w:val="22"/>
                <w:szCs w:val="22"/>
              </w:rPr>
              <w:t xml:space="preserve">$1,366,986 </w:t>
            </w:r>
          </w:p>
        </w:tc>
        <w:tc>
          <w:tcPr>
            <w:tcW w:w="1274"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b/>
                <w:color w:val="000000"/>
                <w:sz w:val="22"/>
                <w:szCs w:val="22"/>
              </w:rPr>
            </w:pPr>
            <w:r w:rsidRPr="009B19F4">
              <w:rPr>
                <w:b/>
                <w:color w:val="000000"/>
                <w:sz w:val="22"/>
                <w:szCs w:val="22"/>
              </w:rPr>
              <w:t>25</w:t>
            </w:r>
          </w:p>
        </w:tc>
        <w:tc>
          <w:tcPr>
            <w:tcW w:w="1278"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jc w:val="right"/>
              <w:rPr>
                <w:b/>
                <w:color w:val="000000"/>
                <w:sz w:val="22"/>
                <w:szCs w:val="22"/>
              </w:rPr>
            </w:pPr>
            <w:r w:rsidRPr="009B19F4">
              <w:rPr>
                <w:b/>
                <w:color w:val="000000"/>
                <w:sz w:val="22"/>
                <w:szCs w:val="22"/>
              </w:rPr>
              <w:t xml:space="preserve">$1,366,986 </w:t>
            </w:r>
          </w:p>
        </w:tc>
      </w:tr>
      <w:tr w:rsidR="00FC2A6D" w:rsidRPr="009B19F4" w:rsidTr="004D716B">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C2A6D" w:rsidRPr="009B19F4" w:rsidRDefault="00FC2A6D" w:rsidP="001A7C83">
            <w:pPr>
              <w:rPr>
                <w:b/>
                <w:color w:val="000000"/>
                <w:sz w:val="22"/>
                <w:szCs w:val="22"/>
              </w:rPr>
            </w:pPr>
            <w:r w:rsidRPr="009B19F4">
              <w:rPr>
                <w:b/>
                <w:color w:val="000000"/>
                <w:sz w:val="22"/>
                <w:szCs w:val="22"/>
              </w:rPr>
              <w:t>Additional Resources Required</w:t>
            </w:r>
          </w:p>
        </w:tc>
        <w:tc>
          <w:tcPr>
            <w:tcW w:w="2060"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rPr>
                <w:color w:val="000000"/>
                <w:sz w:val="22"/>
                <w:szCs w:val="22"/>
              </w:rPr>
            </w:pPr>
            <w:r w:rsidRPr="009B19F4">
              <w:rPr>
                <w:color w:val="000000"/>
                <w:sz w:val="22"/>
                <w:szCs w:val="22"/>
              </w:rPr>
              <w:t> </w:t>
            </w:r>
          </w:p>
        </w:tc>
        <w:tc>
          <w:tcPr>
            <w:tcW w:w="699"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color w:val="000000"/>
                <w:sz w:val="22"/>
                <w:szCs w:val="22"/>
              </w:rPr>
            </w:pPr>
          </w:p>
        </w:tc>
        <w:tc>
          <w:tcPr>
            <w:tcW w:w="1547"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jc w:val="right"/>
              <w:rPr>
                <w:color w:val="000000"/>
                <w:sz w:val="22"/>
                <w:szCs w:val="22"/>
              </w:rPr>
            </w:pPr>
            <w:r w:rsidRPr="009B19F4">
              <w:rPr>
                <w:color w:val="FF0000"/>
                <w:sz w:val="22"/>
                <w:szCs w:val="22"/>
              </w:rPr>
              <w:t>($522,186)</w:t>
            </w:r>
          </w:p>
        </w:tc>
        <w:tc>
          <w:tcPr>
            <w:tcW w:w="1274"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rsidP="004D716B">
            <w:pPr>
              <w:jc w:val="center"/>
              <w:rPr>
                <w:color w:val="000000"/>
                <w:sz w:val="22"/>
                <w:szCs w:val="22"/>
              </w:rPr>
            </w:pPr>
          </w:p>
        </w:tc>
        <w:tc>
          <w:tcPr>
            <w:tcW w:w="1278" w:type="dxa"/>
            <w:tcBorders>
              <w:top w:val="nil"/>
              <w:left w:val="nil"/>
              <w:bottom w:val="single" w:sz="4" w:space="0" w:color="auto"/>
              <w:right w:val="single" w:sz="4" w:space="0" w:color="auto"/>
            </w:tcBorders>
            <w:shd w:val="clear" w:color="auto" w:fill="auto"/>
            <w:noWrap/>
            <w:vAlign w:val="bottom"/>
            <w:hideMark/>
          </w:tcPr>
          <w:p w:rsidR="00FC2A6D" w:rsidRPr="009B19F4" w:rsidRDefault="00FC2A6D">
            <w:pPr>
              <w:jc w:val="right"/>
              <w:rPr>
                <w:color w:val="000000"/>
                <w:sz w:val="22"/>
                <w:szCs w:val="22"/>
              </w:rPr>
            </w:pPr>
            <w:r w:rsidRPr="009B19F4">
              <w:rPr>
                <w:color w:val="FF0000"/>
                <w:sz w:val="22"/>
                <w:szCs w:val="22"/>
              </w:rPr>
              <w:t>($522,186)</w:t>
            </w:r>
          </w:p>
        </w:tc>
      </w:tr>
    </w:tbl>
    <w:p w:rsidR="001445FA" w:rsidRPr="004D716B" w:rsidRDefault="001445FA" w:rsidP="001445FA">
      <w:pPr>
        <w:jc w:val="both"/>
        <w:rPr>
          <w:b/>
          <w:sz w:val="10"/>
          <w:szCs w:val="10"/>
        </w:rPr>
      </w:pPr>
    </w:p>
    <w:p w:rsidR="001445FA" w:rsidRPr="009B19F4" w:rsidRDefault="001445FA" w:rsidP="001445FA">
      <w:pPr>
        <w:jc w:val="both"/>
      </w:pPr>
      <w:r w:rsidRPr="009B19F4">
        <w:t>The chart indicates that the revenue stream from 2</w:t>
      </w:r>
      <w:r w:rsidR="00AC0408" w:rsidRPr="009B19F4">
        <w:t>8</w:t>
      </w:r>
      <w:r w:rsidRPr="009B19F4">
        <w:t xml:space="preserve"> beds would </w:t>
      </w:r>
      <w:r w:rsidR="00D44F23" w:rsidRPr="009B19F4">
        <w:t xml:space="preserve">only partially </w:t>
      </w:r>
      <w:r w:rsidRPr="009B19F4">
        <w:t>offset the potential costs of the 2</w:t>
      </w:r>
      <w:r w:rsidR="00AC0408" w:rsidRPr="009B19F4">
        <w:t>5</w:t>
      </w:r>
      <w:r w:rsidRPr="009B19F4">
        <w:t xml:space="preserve"> new SNF/NF beds.  The value of the revenue stream is $</w:t>
      </w:r>
      <w:r w:rsidR="00AC0408" w:rsidRPr="009B19F4">
        <w:t>844,800</w:t>
      </w:r>
      <w:r w:rsidRPr="009B19F4">
        <w:t>.  The expected costs to the MaineCare program are calculated to be $</w:t>
      </w:r>
      <w:r w:rsidR="00D44F23" w:rsidRPr="009B19F4">
        <w:t>1,366,986</w:t>
      </w:r>
      <w:r w:rsidRPr="009B19F4">
        <w:t xml:space="preserve">. </w:t>
      </w:r>
      <w:r w:rsidR="00D44F23" w:rsidRPr="009B19F4">
        <w:t>An additional $522,186 in resources would be required to achieve MaineCare neutrality.</w:t>
      </w:r>
    </w:p>
    <w:p w:rsidR="000C1C82" w:rsidRDefault="000C1C82" w:rsidP="001445FA">
      <w:pPr>
        <w:jc w:val="both"/>
        <w:rPr>
          <w:b/>
          <w:u w:val="single"/>
        </w:rPr>
      </w:pPr>
    </w:p>
    <w:p w:rsidR="0064020C" w:rsidRDefault="0064020C" w:rsidP="001445FA">
      <w:pPr>
        <w:jc w:val="both"/>
        <w:rPr>
          <w:b/>
          <w:u w:val="single"/>
        </w:rPr>
        <w:sectPr w:rsidR="0064020C" w:rsidSect="009C2B70">
          <w:pgSz w:w="12240" w:h="15840"/>
          <w:pgMar w:top="1440" w:right="1440" w:bottom="1440" w:left="1440" w:header="720" w:footer="720" w:gutter="0"/>
          <w:cols w:space="720"/>
          <w:docGrid w:linePitch="360"/>
        </w:sectPr>
      </w:pPr>
    </w:p>
    <w:p w:rsidR="0064020C" w:rsidRPr="007A565D" w:rsidRDefault="0064020C" w:rsidP="001445FA">
      <w:pPr>
        <w:jc w:val="both"/>
        <w:rPr>
          <w:b/>
          <w:sz w:val="16"/>
          <w:szCs w:val="16"/>
          <w:u w:val="single"/>
        </w:rPr>
      </w:pPr>
    </w:p>
    <w:p w:rsidR="001445FA" w:rsidRPr="009B19F4" w:rsidRDefault="001445FA" w:rsidP="001445FA">
      <w:pPr>
        <w:jc w:val="both"/>
        <w:rPr>
          <w:b/>
          <w:u w:val="single"/>
        </w:rPr>
      </w:pPr>
      <w:r w:rsidRPr="009B19F4">
        <w:rPr>
          <w:b/>
          <w:u w:val="single"/>
        </w:rPr>
        <w:t>Changing Laws and Regulations</w:t>
      </w:r>
    </w:p>
    <w:p w:rsidR="001445FA" w:rsidRPr="007A565D" w:rsidRDefault="001445FA" w:rsidP="001445FA">
      <w:pPr>
        <w:jc w:val="both"/>
        <w:rPr>
          <w:b/>
          <w:sz w:val="16"/>
          <w:szCs w:val="16"/>
          <w:u w:val="single"/>
        </w:rPr>
      </w:pPr>
    </w:p>
    <w:p w:rsidR="001445FA" w:rsidRPr="009B19F4" w:rsidRDefault="001445FA" w:rsidP="001445FA">
      <w:pPr>
        <w:jc w:val="both"/>
      </w:pPr>
      <w:r w:rsidRPr="009B19F4">
        <w:t xml:space="preserve">Certificate of Need Unit staff is not aware of any imminent or proposed changes in laws and regulations that would impact the project, except for federal health care reform as part of the Affordable Care act (ACA). The impact of health reform as part of the ACA has not been determined. </w:t>
      </w:r>
    </w:p>
    <w:p w:rsidR="001445FA" w:rsidRPr="007A565D" w:rsidRDefault="001445FA" w:rsidP="001445FA">
      <w:pPr>
        <w:jc w:val="both"/>
        <w:rPr>
          <w:sz w:val="16"/>
          <w:szCs w:val="16"/>
        </w:rPr>
      </w:pPr>
    </w:p>
    <w:p w:rsidR="001445FA" w:rsidRPr="004D716B" w:rsidRDefault="001445FA" w:rsidP="001445FA">
      <w:pPr>
        <w:jc w:val="both"/>
        <w:rPr>
          <w:b/>
        </w:rPr>
      </w:pPr>
      <w:r w:rsidRPr="004D716B">
        <w:rPr>
          <w:b/>
        </w:rPr>
        <w:t>Deeming of Standard</w:t>
      </w:r>
    </w:p>
    <w:p w:rsidR="001445FA" w:rsidRPr="007A565D" w:rsidRDefault="001445FA" w:rsidP="001445FA">
      <w:pPr>
        <w:jc w:val="both"/>
        <w:rPr>
          <w:b/>
          <w:sz w:val="16"/>
          <w:szCs w:val="16"/>
          <w:u w:val="single"/>
        </w:rPr>
      </w:pPr>
    </w:p>
    <w:p w:rsidR="001445FA" w:rsidRPr="009B19F4" w:rsidRDefault="001445FA" w:rsidP="001445FA">
      <w:pPr>
        <w:jc w:val="both"/>
      </w:pPr>
      <w:r w:rsidRPr="009B19F4">
        <w:t>As provided for at 22 M.R.S. § 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the applicable licensing and certification standards.</w:t>
      </w:r>
    </w:p>
    <w:p w:rsidR="001445FA" w:rsidRPr="007A565D" w:rsidRDefault="001445FA" w:rsidP="001445FA">
      <w:pPr>
        <w:jc w:val="both"/>
        <w:rPr>
          <w:sz w:val="16"/>
          <w:szCs w:val="16"/>
        </w:rPr>
      </w:pPr>
    </w:p>
    <w:p w:rsidR="009C2B70" w:rsidRDefault="001445FA" w:rsidP="005D5F8D">
      <w:pPr>
        <w:jc w:val="both"/>
      </w:pPr>
      <w:r w:rsidRPr="009B19F4">
        <w:t xml:space="preserve">The applicant has operated a mixed level of care facility with a total of </w:t>
      </w:r>
      <w:r w:rsidR="005D5F8D" w:rsidRPr="009B19F4">
        <w:t>133</w:t>
      </w:r>
      <w:r w:rsidRPr="009B19F4">
        <w:t xml:space="preserve"> beds (</w:t>
      </w:r>
      <w:r w:rsidR="005D5F8D" w:rsidRPr="009B19F4">
        <w:t>86</w:t>
      </w:r>
      <w:r w:rsidRPr="009B19F4">
        <w:t xml:space="preserve"> SNF/NF</w:t>
      </w:r>
      <w:r w:rsidR="005D5F8D" w:rsidRPr="009B19F4">
        <w:t xml:space="preserve"> and 47</w:t>
      </w:r>
      <w:r w:rsidRPr="009B19F4">
        <w:t xml:space="preserve"> RCF</w:t>
      </w:r>
      <w:r w:rsidR="005D5F8D" w:rsidRPr="009B19F4">
        <w:t>)</w:t>
      </w:r>
      <w:r w:rsidRPr="009B19F4">
        <w:t>. If this application were to be approved the applicant would be operating a mix</w:t>
      </w:r>
      <w:r w:rsidR="005D5F8D" w:rsidRPr="009B19F4">
        <w:t>ed level of care facility with 145 beds (111</w:t>
      </w:r>
      <w:r w:rsidRPr="009B19F4">
        <w:t xml:space="preserve"> SNF/NF </w:t>
      </w:r>
      <w:r w:rsidR="005D5F8D" w:rsidRPr="009B19F4">
        <w:t>and 34 RCF)</w:t>
      </w:r>
      <w:r w:rsidRPr="009B19F4">
        <w:t>. The operations are of a similar size and scope.  Schedule L of the applicants pro forma cost report demonstrates the need for additional nursing staff to handle the increase in the SNF/NF census.</w:t>
      </w:r>
    </w:p>
    <w:p w:rsidR="00C75649" w:rsidRPr="007A565D" w:rsidRDefault="00C75649" w:rsidP="005D5F8D">
      <w:pPr>
        <w:jc w:val="both"/>
        <w:rPr>
          <w:sz w:val="16"/>
          <w:szCs w:val="16"/>
        </w:rPr>
      </w:pPr>
    </w:p>
    <w:p w:rsidR="00C75649" w:rsidRDefault="00C75649" w:rsidP="005D5F8D">
      <w:pPr>
        <w:jc w:val="both"/>
        <w:rPr>
          <w:b/>
          <w:u w:val="single"/>
        </w:rPr>
      </w:pPr>
      <w:r w:rsidRPr="00C75649">
        <w:rPr>
          <w:b/>
          <w:u w:val="single"/>
        </w:rPr>
        <w:t>CONU Comment:</w:t>
      </w:r>
    </w:p>
    <w:p w:rsidR="00C75649" w:rsidRDefault="00C75649" w:rsidP="005D5F8D">
      <w:pPr>
        <w:jc w:val="both"/>
      </w:pPr>
      <w:r>
        <w:t>The revised information provided by the applicant changes the results of the MaineCare neutrality calculation as f</w:t>
      </w:r>
      <w:r w:rsidR="00FF26E6">
        <w:t>ollows:</w:t>
      </w:r>
    </w:p>
    <w:p w:rsidR="00FF26E6" w:rsidRPr="007A565D" w:rsidRDefault="00FF26E6" w:rsidP="005D5F8D">
      <w:pPr>
        <w:jc w:val="both"/>
        <w:rPr>
          <w:sz w:val="16"/>
          <w:szCs w:val="16"/>
        </w:rPr>
      </w:pPr>
    </w:p>
    <w:p w:rsidR="00FF26E6" w:rsidRPr="009B19F4" w:rsidRDefault="00FF26E6" w:rsidP="00FF26E6">
      <w:pPr>
        <w:jc w:val="both"/>
        <w:rPr>
          <w:b/>
        </w:rPr>
      </w:pPr>
      <w:r w:rsidRPr="009B19F4">
        <w:rPr>
          <w:b/>
        </w:rPr>
        <w:t>Table 1: Sources and Uses of MaineCare Funding:</w:t>
      </w:r>
    </w:p>
    <w:tbl>
      <w:tblPr>
        <w:tblW w:w="9483" w:type="dxa"/>
        <w:tblInd w:w="93" w:type="dxa"/>
        <w:tblLook w:val="04A0" w:firstRow="1" w:lastRow="0" w:firstColumn="1" w:lastColumn="0" w:noHBand="0" w:noVBand="1"/>
      </w:tblPr>
      <w:tblGrid>
        <w:gridCol w:w="2625"/>
        <w:gridCol w:w="2060"/>
        <w:gridCol w:w="699"/>
        <w:gridCol w:w="1547"/>
        <w:gridCol w:w="1274"/>
        <w:gridCol w:w="1278"/>
      </w:tblGrid>
      <w:tr w:rsidR="00FF26E6" w:rsidRPr="009B19F4" w:rsidTr="007A565D">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6E6" w:rsidRPr="009B19F4" w:rsidRDefault="00FF26E6" w:rsidP="007A565D">
            <w:pPr>
              <w:jc w:val="center"/>
              <w:rPr>
                <w:b/>
                <w:color w:val="000000"/>
                <w:sz w:val="22"/>
                <w:szCs w:val="22"/>
              </w:rPr>
            </w:pPr>
            <w:r>
              <w:rPr>
                <w:b/>
                <w:color w:val="000000"/>
                <w:sz w:val="22"/>
                <w:szCs w:val="22"/>
              </w:rPr>
              <w:t>Source</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b/>
                <w:color w:val="000000"/>
                <w:sz w:val="22"/>
                <w:szCs w:val="22"/>
              </w:rPr>
            </w:pPr>
            <w:r w:rsidRPr="009B19F4">
              <w:rPr>
                <w:b/>
                <w:color w:val="000000"/>
                <w:sz w:val="22"/>
                <w:szCs w:val="22"/>
              </w:rPr>
              <w:t>Facility</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b/>
                <w:color w:val="000000"/>
                <w:sz w:val="22"/>
                <w:szCs w:val="22"/>
              </w:rPr>
            </w:pPr>
            <w:r w:rsidRPr="009B19F4">
              <w:rPr>
                <w:b/>
                <w:color w:val="000000"/>
                <w:sz w:val="22"/>
                <w:szCs w:val="22"/>
              </w:rPr>
              <w:t># of Beds</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b/>
                <w:color w:val="000000"/>
                <w:sz w:val="22"/>
                <w:szCs w:val="22"/>
              </w:rPr>
            </w:pPr>
            <w:r w:rsidRPr="009B19F4">
              <w:rPr>
                <w:b/>
                <w:color w:val="000000"/>
                <w:sz w:val="22"/>
                <w:szCs w:val="22"/>
              </w:rPr>
              <w:t>$ Value</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b/>
                <w:color w:val="000000"/>
                <w:sz w:val="22"/>
                <w:szCs w:val="22"/>
              </w:rPr>
            </w:pPr>
            <w:r w:rsidRPr="009B19F4">
              <w:rPr>
                <w:b/>
                <w:color w:val="000000"/>
                <w:sz w:val="22"/>
                <w:szCs w:val="22"/>
              </w:rPr>
              <w:t>Allocated Beds</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b/>
                <w:color w:val="000000"/>
                <w:sz w:val="22"/>
                <w:szCs w:val="22"/>
              </w:rPr>
            </w:pPr>
            <w:r w:rsidRPr="009B19F4">
              <w:rPr>
                <w:b/>
                <w:color w:val="000000"/>
                <w:sz w:val="22"/>
                <w:szCs w:val="22"/>
              </w:rPr>
              <w:t>$ value</w:t>
            </w:r>
          </w:p>
        </w:tc>
      </w:tr>
      <w:tr w:rsidR="00FF26E6" w:rsidRPr="009B19F4" w:rsidTr="007A565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ind w:right="-98"/>
              <w:rPr>
                <w:color w:val="000000"/>
                <w:sz w:val="22"/>
                <w:szCs w:val="22"/>
              </w:rPr>
            </w:pPr>
            <w:r w:rsidRPr="009B19F4">
              <w:rPr>
                <w:color w:val="000000"/>
                <w:sz w:val="22"/>
                <w:szCs w:val="22"/>
              </w:rPr>
              <w:t>The Houlton Reg</w:t>
            </w:r>
            <w:r>
              <w:rPr>
                <w:color w:val="000000"/>
                <w:sz w:val="22"/>
                <w:szCs w:val="22"/>
              </w:rPr>
              <w:t>.</w:t>
            </w:r>
          </w:p>
        </w:tc>
        <w:tc>
          <w:tcPr>
            <w:tcW w:w="699"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color w:val="000000"/>
                <w:sz w:val="22"/>
                <w:szCs w:val="22"/>
              </w:rPr>
            </w:pPr>
            <w:r w:rsidRPr="009B19F4">
              <w:rPr>
                <w:color w:val="000000"/>
                <w:sz w:val="22"/>
                <w:szCs w:val="22"/>
              </w:rPr>
              <w:t>28</w:t>
            </w:r>
          </w:p>
        </w:tc>
        <w:tc>
          <w:tcPr>
            <w:tcW w:w="1547"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right"/>
              <w:rPr>
                <w:color w:val="000000"/>
                <w:sz w:val="22"/>
                <w:szCs w:val="22"/>
              </w:rPr>
            </w:pPr>
            <w:r w:rsidRPr="009B19F4">
              <w:rPr>
                <w:color w:val="000000"/>
                <w:sz w:val="22"/>
                <w:szCs w:val="22"/>
              </w:rPr>
              <w:t xml:space="preserve">$844,800 </w:t>
            </w:r>
          </w:p>
        </w:tc>
        <w:tc>
          <w:tcPr>
            <w:tcW w:w="1274"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color w:val="000000"/>
                <w:sz w:val="22"/>
                <w:szCs w:val="22"/>
              </w:rPr>
            </w:pPr>
            <w:r w:rsidRPr="009B19F4">
              <w:rPr>
                <w:color w:val="000000"/>
                <w:sz w:val="22"/>
                <w:szCs w:val="22"/>
              </w:rPr>
              <w:t>28</w:t>
            </w:r>
          </w:p>
        </w:tc>
        <w:tc>
          <w:tcPr>
            <w:tcW w:w="1278"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right"/>
              <w:rPr>
                <w:color w:val="000000"/>
                <w:sz w:val="22"/>
                <w:szCs w:val="22"/>
              </w:rPr>
            </w:pPr>
            <w:r w:rsidRPr="009B19F4">
              <w:rPr>
                <w:color w:val="000000"/>
                <w:sz w:val="22"/>
                <w:szCs w:val="22"/>
              </w:rPr>
              <w:t xml:space="preserve">$844,800 </w:t>
            </w:r>
          </w:p>
        </w:tc>
      </w:tr>
      <w:tr w:rsidR="00FF26E6" w:rsidRPr="009B19F4" w:rsidTr="007A565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proofErr w:type="spellStart"/>
            <w:r w:rsidRPr="009B19F4">
              <w:rPr>
                <w:color w:val="000000"/>
                <w:sz w:val="22"/>
                <w:szCs w:val="22"/>
              </w:rPr>
              <w:t>Prog</w:t>
            </w:r>
            <w:proofErr w:type="spellEnd"/>
            <w:r>
              <w:rPr>
                <w:color w:val="000000"/>
                <w:sz w:val="22"/>
                <w:szCs w:val="22"/>
              </w:rPr>
              <w:t>.</w:t>
            </w:r>
            <w:r w:rsidRPr="009B19F4">
              <w:rPr>
                <w:color w:val="000000"/>
                <w:sz w:val="22"/>
                <w:szCs w:val="22"/>
              </w:rPr>
              <w:t xml:space="preserve"> Care Fac</w:t>
            </w:r>
            <w:r>
              <w:rPr>
                <w:color w:val="000000"/>
                <w:sz w:val="22"/>
                <w:szCs w:val="22"/>
              </w:rPr>
              <w:t>.</w:t>
            </w:r>
          </w:p>
        </w:tc>
        <w:tc>
          <w:tcPr>
            <w:tcW w:w="699"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color w:val="000000"/>
                <w:sz w:val="22"/>
                <w:szCs w:val="22"/>
              </w:rPr>
            </w:pPr>
          </w:p>
        </w:tc>
        <w:tc>
          <w:tcPr>
            <w:tcW w:w="1547"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r w:rsidRPr="009B19F4">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color w:val="000000"/>
                <w:sz w:val="22"/>
                <w:szCs w:val="22"/>
              </w:rPr>
            </w:pPr>
          </w:p>
        </w:tc>
        <w:tc>
          <w:tcPr>
            <w:tcW w:w="1278"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r w:rsidRPr="009B19F4">
              <w:rPr>
                <w:color w:val="000000"/>
                <w:sz w:val="22"/>
                <w:szCs w:val="22"/>
              </w:rPr>
              <w:t> </w:t>
            </w:r>
          </w:p>
        </w:tc>
      </w:tr>
      <w:tr w:rsidR="00FF26E6" w:rsidRPr="009B19F4" w:rsidTr="007A565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r w:rsidRPr="009B19F4">
              <w:rPr>
                <w:color w:val="000000"/>
                <w:sz w:val="22"/>
                <w:szCs w:val="22"/>
              </w:rPr>
              <w:t>Total</w:t>
            </w:r>
          </w:p>
        </w:tc>
        <w:tc>
          <w:tcPr>
            <w:tcW w:w="699"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color w:val="000000"/>
                <w:sz w:val="22"/>
                <w:szCs w:val="22"/>
              </w:rPr>
            </w:pPr>
            <w:r w:rsidRPr="009B19F4">
              <w:rPr>
                <w:color w:val="000000"/>
                <w:sz w:val="22"/>
                <w:szCs w:val="22"/>
              </w:rPr>
              <w:t>28</w:t>
            </w:r>
          </w:p>
        </w:tc>
        <w:tc>
          <w:tcPr>
            <w:tcW w:w="1547"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right"/>
              <w:rPr>
                <w:color w:val="000000"/>
                <w:sz w:val="22"/>
                <w:szCs w:val="22"/>
              </w:rPr>
            </w:pPr>
            <w:r w:rsidRPr="009B19F4">
              <w:rPr>
                <w:color w:val="000000"/>
                <w:sz w:val="22"/>
                <w:szCs w:val="22"/>
              </w:rPr>
              <w:t xml:space="preserve">$844,800 </w:t>
            </w:r>
          </w:p>
        </w:tc>
        <w:tc>
          <w:tcPr>
            <w:tcW w:w="1274"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color w:val="000000"/>
                <w:sz w:val="22"/>
                <w:szCs w:val="22"/>
              </w:rPr>
            </w:pPr>
            <w:r w:rsidRPr="009B19F4">
              <w:rPr>
                <w:color w:val="000000"/>
                <w:sz w:val="22"/>
                <w:szCs w:val="22"/>
              </w:rPr>
              <w:t>28</w:t>
            </w:r>
          </w:p>
        </w:tc>
        <w:tc>
          <w:tcPr>
            <w:tcW w:w="1278"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right"/>
              <w:rPr>
                <w:color w:val="000000"/>
                <w:sz w:val="22"/>
                <w:szCs w:val="22"/>
              </w:rPr>
            </w:pPr>
            <w:r w:rsidRPr="009B19F4">
              <w:rPr>
                <w:color w:val="000000"/>
                <w:sz w:val="22"/>
                <w:szCs w:val="22"/>
              </w:rPr>
              <w:t xml:space="preserve">$844,800 </w:t>
            </w:r>
          </w:p>
        </w:tc>
      </w:tr>
      <w:tr w:rsidR="00FF26E6" w:rsidRPr="009B19F4" w:rsidTr="007A565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r w:rsidRPr="009B19F4">
              <w:rPr>
                <w:color w:val="000000"/>
                <w:sz w:val="22"/>
                <w:szCs w:val="22"/>
              </w:rPr>
              <w:t> </w:t>
            </w:r>
          </w:p>
        </w:tc>
        <w:tc>
          <w:tcPr>
            <w:tcW w:w="699"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color w:val="000000"/>
                <w:sz w:val="22"/>
                <w:szCs w:val="22"/>
              </w:rPr>
            </w:pPr>
          </w:p>
        </w:tc>
        <w:tc>
          <w:tcPr>
            <w:tcW w:w="1547"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r w:rsidRPr="009B19F4">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color w:val="000000"/>
                <w:sz w:val="22"/>
                <w:szCs w:val="22"/>
              </w:rPr>
            </w:pPr>
          </w:p>
        </w:tc>
        <w:tc>
          <w:tcPr>
            <w:tcW w:w="1278"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r w:rsidRPr="009B19F4">
              <w:rPr>
                <w:color w:val="000000"/>
                <w:sz w:val="22"/>
                <w:szCs w:val="22"/>
              </w:rPr>
              <w:t> </w:t>
            </w:r>
          </w:p>
        </w:tc>
      </w:tr>
      <w:tr w:rsidR="00FF26E6" w:rsidRPr="009B19F4" w:rsidTr="007A565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F26E6" w:rsidRPr="009B19F4" w:rsidRDefault="00FF26E6" w:rsidP="007A565D">
            <w:pPr>
              <w:rPr>
                <w:b/>
                <w:color w:val="000000"/>
                <w:sz w:val="22"/>
                <w:szCs w:val="22"/>
              </w:rPr>
            </w:pPr>
            <w:r>
              <w:rPr>
                <w:b/>
                <w:color w:val="000000"/>
                <w:sz w:val="22"/>
                <w:szCs w:val="22"/>
              </w:rPr>
              <w:t>Use</w:t>
            </w:r>
          </w:p>
        </w:tc>
        <w:tc>
          <w:tcPr>
            <w:tcW w:w="2060"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rPr>
                <w:b/>
                <w:color w:val="000000"/>
                <w:sz w:val="22"/>
                <w:szCs w:val="22"/>
              </w:rPr>
            </w:pPr>
            <w:r w:rsidRPr="009B19F4">
              <w:rPr>
                <w:b/>
                <w:color w:val="000000"/>
                <w:sz w:val="22"/>
                <w:szCs w:val="22"/>
              </w:rPr>
              <w:t>Madigan SNF/NF</w:t>
            </w:r>
          </w:p>
        </w:tc>
        <w:tc>
          <w:tcPr>
            <w:tcW w:w="699"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FF26E6">
            <w:pPr>
              <w:jc w:val="center"/>
              <w:rPr>
                <w:b/>
                <w:color w:val="000000"/>
                <w:sz w:val="22"/>
                <w:szCs w:val="22"/>
              </w:rPr>
            </w:pPr>
            <w:r>
              <w:rPr>
                <w:b/>
                <w:color w:val="000000"/>
                <w:sz w:val="22"/>
                <w:szCs w:val="22"/>
              </w:rPr>
              <w:t>13</w:t>
            </w:r>
          </w:p>
        </w:tc>
        <w:tc>
          <w:tcPr>
            <w:tcW w:w="1547"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FF26E6">
            <w:pPr>
              <w:jc w:val="right"/>
              <w:rPr>
                <w:b/>
                <w:color w:val="000000"/>
                <w:sz w:val="22"/>
                <w:szCs w:val="22"/>
              </w:rPr>
            </w:pPr>
            <w:r w:rsidRPr="009B19F4">
              <w:rPr>
                <w:b/>
                <w:color w:val="000000"/>
                <w:sz w:val="22"/>
                <w:szCs w:val="22"/>
              </w:rPr>
              <w:t>$</w:t>
            </w:r>
            <w:r>
              <w:rPr>
                <w:b/>
                <w:color w:val="000000"/>
                <w:sz w:val="22"/>
                <w:szCs w:val="22"/>
              </w:rPr>
              <w:t>815,232</w:t>
            </w:r>
            <w:r w:rsidRPr="009B19F4">
              <w:rPr>
                <w:b/>
                <w:color w:val="000000"/>
                <w:sz w:val="22"/>
                <w:szCs w:val="22"/>
              </w:rPr>
              <w:t xml:space="preserve"> </w:t>
            </w:r>
          </w:p>
        </w:tc>
        <w:tc>
          <w:tcPr>
            <w:tcW w:w="1274"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FF26E6">
            <w:pPr>
              <w:jc w:val="center"/>
              <w:rPr>
                <w:b/>
                <w:color w:val="000000"/>
                <w:sz w:val="22"/>
                <w:szCs w:val="22"/>
              </w:rPr>
            </w:pPr>
            <w:r>
              <w:rPr>
                <w:b/>
                <w:color w:val="000000"/>
                <w:sz w:val="22"/>
                <w:szCs w:val="22"/>
              </w:rPr>
              <w:t>13</w:t>
            </w:r>
          </w:p>
        </w:tc>
        <w:tc>
          <w:tcPr>
            <w:tcW w:w="1278"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FF26E6">
            <w:pPr>
              <w:jc w:val="right"/>
              <w:rPr>
                <w:b/>
                <w:color w:val="000000"/>
                <w:sz w:val="22"/>
                <w:szCs w:val="22"/>
              </w:rPr>
            </w:pPr>
            <w:r w:rsidRPr="009B19F4">
              <w:rPr>
                <w:b/>
                <w:color w:val="000000"/>
                <w:sz w:val="22"/>
                <w:szCs w:val="22"/>
              </w:rPr>
              <w:t>$</w:t>
            </w:r>
            <w:r>
              <w:rPr>
                <w:b/>
                <w:color w:val="000000"/>
                <w:sz w:val="22"/>
                <w:szCs w:val="22"/>
              </w:rPr>
              <w:t>815,232</w:t>
            </w:r>
            <w:r w:rsidRPr="009B19F4">
              <w:rPr>
                <w:b/>
                <w:color w:val="000000"/>
                <w:sz w:val="22"/>
                <w:szCs w:val="22"/>
              </w:rPr>
              <w:t xml:space="preserve"> </w:t>
            </w:r>
          </w:p>
        </w:tc>
      </w:tr>
      <w:tr w:rsidR="00FF26E6" w:rsidRPr="009B19F4" w:rsidTr="007A565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FF26E6" w:rsidRPr="009B19F4" w:rsidRDefault="00FF26E6" w:rsidP="00FF26E6">
            <w:pPr>
              <w:rPr>
                <w:b/>
                <w:color w:val="000000"/>
                <w:sz w:val="22"/>
                <w:szCs w:val="22"/>
              </w:rPr>
            </w:pPr>
            <w:r w:rsidRPr="009B19F4">
              <w:rPr>
                <w:b/>
                <w:color w:val="000000"/>
                <w:sz w:val="22"/>
                <w:szCs w:val="22"/>
              </w:rPr>
              <w:t xml:space="preserve">Additional </w:t>
            </w:r>
            <w:r>
              <w:rPr>
                <w:b/>
                <w:color w:val="000000"/>
                <w:sz w:val="22"/>
                <w:szCs w:val="22"/>
              </w:rPr>
              <w:t>Savings</w:t>
            </w:r>
          </w:p>
        </w:tc>
        <w:tc>
          <w:tcPr>
            <w:tcW w:w="2060"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rPr>
                <w:color w:val="000000"/>
                <w:sz w:val="22"/>
                <w:szCs w:val="22"/>
              </w:rPr>
            </w:pPr>
            <w:r w:rsidRPr="009B19F4">
              <w:rPr>
                <w:color w:val="000000"/>
                <w:sz w:val="22"/>
                <w:szCs w:val="22"/>
              </w:rPr>
              <w:t> </w:t>
            </w:r>
          </w:p>
        </w:tc>
        <w:tc>
          <w:tcPr>
            <w:tcW w:w="699" w:type="dxa"/>
            <w:tcBorders>
              <w:top w:val="nil"/>
              <w:left w:val="nil"/>
              <w:bottom w:val="single" w:sz="4" w:space="0" w:color="auto"/>
              <w:right w:val="single" w:sz="4" w:space="0" w:color="auto"/>
            </w:tcBorders>
            <w:shd w:val="clear" w:color="auto" w:fill="auto"/>
            <w:noWrap/>
            <w:vAlign w:val="bottom"/>
            <w:hideMark/>
          </w:tcPr>
          <w:p w:rsidR="00FF26E6" w:rsidRPr="009B19F4" w:rsidRDefault="00FF26E6" w:rsidP="007A565D">
            <w:pPr>
              <w:jc w:val="center"/>
              <w:rPr>
                <w:color w:val="000000"/>
                <w:sz w:val="22"/>
                <w:szCs w:val="22"/>
              </w:rPr>
            </w:pPr>
          </w:p>
        </w:tc>
        <w:tc>
          <w:tcPr>
            <w:tcW w:w="1547" w:type="dxa"/>
            <w:tcBorders>
              <w:top w:val="nil"/>
              <w:left w:val="nil"/>
              <w:bottom w:val="single" w:sz="4" w:space="0" w:color="auto"/>
              <w:right w:val="single" w:sz="4" w:space="0" w:color="auto"/>
            </w:tcBorders>
            <w:shd w:val="clear" w:color="auto" w:fill="auto"/>
            <w:noWrap/>
            <w:vAlign w:val="bottom"/>
            <w:hideMark/>
          </w:tcPr>
          <w:p w:rsidR="00FF26E6" w:rsidRPr="00FF26E6" w:rsidRDefault="00FF26E6" w:rsidP="00FF26E6">
            <w:pPr>
              <w:jc w:val="right"/>
              <w:rPr>
                <w:sz w:val="22"/>
                <w:szCs w:val="22"/>
              </w:rPr>
            </w:pPr>
            <w:r w:rsidRPr="00FF26E6">
              <w:rPr>
                <w:sz w:val="22"/>
                <w:szCs w:val="22"/>
              </w:rPr>
              <w:t>$29,568</w:t>
            </w:r>
          </w:p>
        </w:tc>
        <w:tc>
          <w:tcPr>
            <w:tcW w:w="1274" w:type="dxa"/>
            <w:tcBorders>
              <w:top w:val="nil"/>
              <w:left w:val="nil"/>
              <w:bottom w:val="single" w:sz="4" w:space="0" w:color="auto"/>
              <w:right w:val="single" w:sz="4" w:space="0" w:color="auto"/>
            </w:tcBorders>
            <w:shd w:val="clear" w:color="auto" w:fill="auto"/>
            <w:noWrap/>
            <w:vAlign w:val="bottom"/>
            <w:hideMark/>
          </w:tcPr>
          <w:p w:rsidR="00FF26E6" w:rsidRPr="00FF26E6" w:rsidRDefault="00FF26E6" w:rsidP="007A565D">
            <w:pPr>
              <w:jc w:val="center"/>
              <w:rPr>
                <w:sz w:val="22"/>
                <w:szCs w:val="22"/>
              </w:rPr>
            </w:pPr>
          </w:p>
        </w:tc>
        <w:tc>
          <w:tcPr>
            <w:tcW w:w="1278" w:type="dxa"/>
            <w:tcBorders>
              <w:top w:val="nil"/>
              <w:left w:val="nil"/>
              <w:bottom w:val="single" w:sz="4" w:space="0" w:color="auto"/>
              <w:right w:val="single" w:sz="4" w:space="0" w:color="auto"/>
            </w:tcBorders>
            <w:shd w:val="clear" w:color="auto" w:fill="auto"/>
            <w:noWrap/>
            <w:vAlign w:val="bottom"/>
            <w:hideMark/>
          </w:tcPr>
          <w:p w:rsidR="00FF26E6" w:rsidRPr="00FF26E6" w:rsidRDefault="00FF26E6" w:rsidP="00FF26E6">
            <w:pPr>
              <w:jc w:val="right"/>
              <w:rPr>
                <w:sz w:val="22"/>
                <w:szCs w:val="22"/>
              </w:rPr>
            </w:pPr>
            <w:r w:rsidRPr="00FF26E6">
              <w:rPr>
                <w:sz w:val="22"/>
                <w:szCs w:val="22"/>
              </w:rPr>
              <w:t>$29,568</w:t>
            </w:r>
          </w:p>
        </w:tc>
      </w:tr>
    </w:tbl>
    <w:p w:rsidR="00FF26E6" w:rsidRPr="007A565D" w:rsidRDefault="00FF26E6" w:rsidP="005D5F8D">
      <w:pPr>
        <w:jc w:val="both"/>
        <w:rPr>
          <w:sz w:val="16"/>
          <w:szCs w:val="16"/>
        </w:rPr>
      </w:pPr>
    </w:p>
    <w:p w:rsidR="001445FA" w:rsidRDefault="00FF26E6" w:rsidP="006E3BB1">
      <w:pPr>
        <w:jc w:val="both"/>
      </w:pPr>
      <w:r>
        <w:t xml:space="preserve">The above table shows that the additional resources purchased from The Houlton Reg. </w:t>
      </w:r>
      <w:proofErr w:type="spellStart"/>
      <w:r>
        <w:t>Prog</w:t>
      </w:r>
      <w:proofErr w:type="spellEnd"/>
      <w:r>
        <w:t>. Care Facility are sufficient to offset the additional expense of adding 13 additional SNF/NF beds.</w:t>
      </w:r>
    </w:p>
    <w:p w:rsidR="00FF26E6" w:rsidRDefault="00FF26E6" w:rsidP="006E3BB1">
      <w:pPr>
        <w:jc w:val="both"/>
      </w:pPr>
      <w:r>
        <w:t>MaineCare neutrality has been achieved.</w:t>
      </w:r>
    </w:p>
    <w:p w:rsidR="00FF26E6" w:rsidRPr="007A565D" w:rsidRDefault="00FF26E6" w:rsidP="006E3BB1">
      <w:pPr>
        <w:jc w:val="both"/>
        <w:rPr>
          <w:sz w:val="16"/>
          <w:szCs w:val="16"/>
        </w:rPr>
      </w:pPr>
    </w:p>
    <w:p w:rsidR="008E41AC" w:rsidRPr="00D46EA9" w:rsidRDefault="008E41AC" w:rsidP="00D46EA9">
      <w:pPr>
        <w:pStyle w:val="ListParagraph"/>
        <w:numPr>
          <w:ilvl w:val="0"/>
          <w:numId w:val="33"/>
        </w:numPr>
        <w:ind w:left="270" w:hanging="270"/>
        <w:jc w:val="both"/>
        <w:rPr>
          <w:b/>
        </w:rPr>
      </w:pPr>
      <w:r w:rsidRPr="00D46EA9">
        <w:rPr>
          <w:b/>
        </w:rPr>
        <w:t>Conclusion</w:t>
      </w:r>
    </w:p>
    <w:p w:rsidR="00AD6782" w:rsidRPr="007A565D" w:rsidRDefault="00AD6782" w:rsidP="006E3BB1">
      <w:pPr>
        <w:jc w:val="both"/>
        <w:rPr>
          <w:bCs/>
          <w:iCs/>
          <w:sz w:val="16"/>
          <w:szCs w:val="16"/>
        </w:rPr>
      </w:pPr>
    </w:p>
    <w:p w:rsidR="009A56DF" w:rsidRPr="009B19F4" w:rsidRDefault="001445FA" w:rsidP="009B19F4">
      <w:pPr>
        <w:jc w:val="both"/>
        <w:rPr>
          <w:b/>
        </w:rPr>
      </w:pPr>
      <w:bookmarkStart w:id="15" w:name="_Ref195319944"/>
      <w:r w:rsidRPr="009B19F4">
        <w:rPr>
          <w:bCs/>
          <w:iCs/>
        </w:rPr>
        <w:t>Certificate of Need Unit staff recommend that the Commissioner determine that the applicant has</w:t>
      </w:r>
      <w:r w:rsidR="0041551C" w:rsidRPr="009B19F4">
        <w:rPr>
          <w:bCs/>
          <w:iCs/>
        </w:rPr>
        <w:t xml:space="preserve"> </w:t>
      </w:r>
      <w:r w:rsidRPr="009B19F4">
        <w:rPr>
          <w:bCs/>
          <w:iCs/>
        </w:rPr>
        <w:t xml:space="preserve"> met their burden to demonstrate: (1) the c</w:t>
      </w:r>
      <w:r w:rsidRPr="009B19F4">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r w:rsidRPr="009B19F4">
        <w:rPr>
          <w:b/>
        </w:rPr>
        <w:t xml:space="preserve"> </w:t>
      </w:r>
    </w:p>
    <w:p w:rsidR="009530A6" w:rsidRPr="009B19F4" w:rsidRDefault="009530A6" w:rsidP="009A56DF">
      <w:pPr>
        <w:rPr>
          <w:sz w:val="28"/>
          <w:szCs w:val="28"/>
        </w:rPr>
        <w:sectPr w:rsidR="009530A6" w:rsidRPr="009B19F4" w:rsidSect="009C2B70">
          <w:pgSz w:w="12240" w:h="15840"/>
          <w:pgMar w:top="1440" w:right="1440" w:bottom="1440" w:left="1440" w:header="720" w:footer="720" w:gutter="0"/>
          <w:cols w:space="720"/>
          <w:docGrid w:linePitch="360"/>
        </w:sectPr>
      </w:pPr>
    </w:p>
    <w:p w:rsidR="004336AF" w:rsidRPr="009B19F4" w:rsidRDefault="004336AF" w:rsidP="0064020C">
      <w:pPr>
        <w:pStyle w:val="Heading1"/>
        <w:spacing w:after="0"/>
        <w:ind w:left="-360"/>
        <w:rPr>
          <w:rFonts w:ascii="Times New Roman" w:hAnsi="Times New Roman" w:cs="Times New Roman"/>
          <w:b w:val="0"/>
          <w:bCs w:val="0"/>
          <w:iCs/>
        </w:rPr>
      </w:pPr>
      <w:r w:rsidRPr="009B19F4">
        <w:rPr>
          <w:rFonts w:ascii="Times New Roman" w:hAnsi="Times New Roman" w:cs="Times New Roman"/>
        </w:rPr>
        <w:t xml:space="preserve">IV. </w:t>
      </w:r>
      <w:bookmarkEnd w:id="15"/>
      <w:r w:rsidR="00CF12AC" w:rsidRPr="009B19F4">
        <w:rPr>
          <w:rFonts w:ascii="Times New Roman" w:hAnsi="Times New Roman" w:cs="Times New Roman"/>
        </w:rPr>
        <w:t>Public Need</w:t>
      </w:r>
    </w:p>
    <w:p w:rsidR="00E32294" w:rsidRPr="009B19F4" w:rsidRDefault="00E32294" w:rsidP="006B35F7">
      <w:pPr>
        <w:tabs>
          <w:tab w:val="left" w:pos="-360"/>
        </w:tabs>
        <w:rPr>
          <w:sz w:val="16"/>
          <w:szCs w:val="16"/>
        </w:rPr>
      </w:pPr>
    </w:p>
    <w:p w:rsidR="00B26788" w:rsidRPr="009B19F4" w:rsidRDefault="002405E5" w:rsidP="000C1C82">
      <w:pPr>
        <w:tabs>
          <w:tab w:val="left" w:pos="-360"/>
        </w:tabs>
        <w:ind w:left="-360"/>
        <w:rPr>
          <w:b/>
        </w:rPr>
      </w:pPr>
      <w:r w:rsidRPr="009B19F4">
        <w:rPr>
          <w:b/>
        </w:rPr>
        <w:t xml:space="preserve">A. </w:t>
      </w:r>
      <w:r w:rsidR="00B26788" w:rsidRPr="009B19F4">
        <w:rPr>
          <w:b/>
          <w:u w:val="single"/>
        </w:rPr>
        <w:t>From Applicant</w:t>
      </w:r>
    </w:p>
    <w:p w:rsidR="00E32294" w:rsidRPr="009B19F4" w:rsidRDefault="00E32294" w:rsidP="000C1C82">
      <w:pPr>
        <w:tabs>
          <w:tab w:val="left" w:pos="-360"/>
        </w:tabs>
        <w:ind w:left="-360"/>
        <w:rPr>
          <w:b/>
          <w:sz w:val="16"/>
          <w:szCs w:val="16"/>
          <w:u w:val="single"/>
        </w:rPr>
      </w:pPr>
    </w:p>
    <w:p w:rsidR="00F62A4F" w:rsidRPr="009B19F4" w:rsidRDefault="00AB0CFB" w:rsidP="000C1C82">
      <w:pPr>
        <w:tabs>
          <w:tab w:val="left" w:pos="-360"/>
        </w:tabs>
        <w:ind w:left="-360"/>
        <w:jc w:val="both"/>
        <w:rPr>
          <w:sz w:val="22"/>
          <w:szCs w:val="22"/>
        </w:rPr>
      </w:pPr>
      <w:r w:rsidRPr="009B19F4">
        <w:rPr>
          <w:sz w:val="22"/>
          <w:szCs w:val="22"/>
        </w:rPr>
        <w:t>“The facility has been successful since opening at our present location in 1978 and has expanded at least seven times due to demand for services.  The facility overall census has consistently been greater than 93% with a health y percentage of private pay and skilled residents.”</w:t>
      </w:r>
    </w:p>
    <w:p w:rsidR="00AB0CFB" w:rsidRPr="009B19F4" w:rsidRDefault="00AB0CFB" w:rsidP="000C1C82">
      <w:pPr>
        <w:tabs>
          <w:tab w:val="left" w:pos="-360"/>
        </w:tabs>
        <w:ind w:left="-360"/>
        <w:jc w:val="both"/>
        <w:rPr>
          <w:sz w:val="22"/>
          <w:szCs w:val="22"/>
        </w:rPr>
      </w:pPr>
    </w:p>
    <w:p w:rsidR="0062770A" w:rsidRDefault="001E09AD" w:rsidP="000C1C82">
      <w:pPr>
        <w:tabs>
          <w:tab w:val="left" w:pos="-360"/>
        </w:tabs>
        <w:ind w:left="-360"/>
        <w:jc w:val="both"/>
        <w:rPr>
          <w:sz w:val="22"/>
          <w:szCs w:val="22"/>
        </w:rPr>
      </w:pPr>
      <w:r w:rsidRPr="009B19F4">
        <w:rPr>
          <w:sz w:val="22"/>
          <w:szCs w:val="22"/>
        </w:rPr>
        <w:t>“</w:t>
      </w:r>
      <w:r w:rsidR="0062770A" w:rsidRPr="009B19F4">
        <w:rPr>
          <w:sz w:val="22"/>
          <w:szCs w:val="22"/>
        </w:rPr>
        <w:t xml:space="preserve">The following table provides a history of the facility’s payor mix and occupancy percentages compared to averages for Region </w:t>
      </w:r>
      <w:r w:rsidR="00AB0CFB" w:rsidRPr="009B19F4">
        <w:rPr>
          <w:sz w:val="22"/>
          <w:szCs w:val="22"/>
        </w:rPr>
        <w:t>4</w:t>
      </w:r>
      <w:r w:rsidR="0062770A" w:rsidRPr="009B19F4">
        <w:rPr>
          <w:sz w:val="22"/>
          <w:szCs w:val="22"/>
        </w:rPr>
        <w:t xml:space="preserve"> for 2010-2012:</w:t>
      </w:r>
    </w:p>
    <w:p w:rsidR="00904DD5" w:rsidRDefault="00904DD5" w:rsidP="000C1C82">
      <w:pPr>
        <w:tabs>
          <w:tab w:val="left" w:pos="-360"/>
        </w:tabs>
        <w:ind w:left="-360"/>
        <w:jc w:val="both"/>
        <w:rPr>
          <w:sz w:val="22"/>
          <w:szCs w:val="22"/>
        </w:rPr>
      </w:pPr>
    </w:p>
    <w:tbl>
      <w:tblPr>
        <w:tblW w:w="9358" w:type="dxa"/>
        <w:tblLook w:val="04A0" w:firstRow="1" w:lastRow="0" w:firstColumn="1" w:lastColumn="0" w:noHBand="0" w:noVBand="1"/>
      </w:tblPr>
      <w:tblGrid>
        <w:gridCol w:w="18"/>
        <w:gridCol w:w="2322"/>
        <w:gridCol w:w="18"/>
        <w:gridCol w:w="1204"/>
        <w:gridCol w:w="18"/>
        <w:gridCol w:w="1100"/>
        <w:gridCol w:w="18"/>
        <w:gridCol w:w="1204"/>
        <w:gridCol w:w="18"/>
        <w:gridCol w:w="1090"/>
        <w:gridCol w:w="18"/>
        <w:gridCol w:w="1204"/>
        <w:gridCol w:w="18"/>
        <w:gridCol w:w="1090"/>
        <w:gridCol w:w="18"/>
      </w:tblGrid>
      <w:tr w:rsidR="00904DD5" w:rsidRPr="00904DD5" w:rsidTr="00904DD5">
        <w:trPr>
          <w:gridBefore w:val="1"/>
          <w:wBefore w:w="18" w:type="dxa"/>
          <w:trHeight w:val="153"/>
          <w:tblHeader/>
        </w:trPr>
        <w:tc>
          <w:tcPr>
            <w:tcW w:w="2340" w:type="dxa"/>
            <w:gridSpan w:val="2"/>
            <w:shd w:val="clear" w:color="auto" w:fill="auto"/>
          </w:tcPr>
          <w:p w:rsidR="00904DD5" w:rsidRPr="00904DD5" w:rsidRDefault="00904DD5" w:rsidP="009F3BAB">
            <w:pPr>
              <w:tabs>
                <w:tab w:val="left" w:pos="360"/>
              </w:tabs>
              <w:jc w:val="both"/>
              <w:rPr>
                <w:sz w:val="22"/>
                <w:szCs w:val="22"/>
              </w:rPr>
            </w:pPr>
          </w:p>
        </w:tc>
        <w:tc>
          <w:tcPr>
            <w:tcW w:w="2340" w:type="dxa"/>
            <w:gridSpan w:val="4"/>
            <w:shd w:val="clear" w:color="auto" w:fill="auto"/>
          </w:tcPr>
          <w:p w:rsidR="00904DD5" w:rsidRPr="00904DD5" w:rsidRDefault="00904DD5" w:rsidP="009F3BAB">
            <w:pPr>
              <w:tabs>
                <w:tab w:val="left" w:pos="360"/>
              </w:tabs>
              <w:jc w:val="center"/>
              <w:rPr>
                <w:sz w:val="22"/>
                <w:szCs w:val="22"/>
              </w:rPr>
            </w:pPr>
            <w:r w:rsidRPr="00904DD5">
              <w:rPr>
                <w:sz w:val="22"/>
                <w:szCs w:val="22"/>
              </w:rPr>
              <w:t>2010</w:t>
            </w:r>
          </w:p>
        </w:tc>
        <w:tc>
          <w:tcPr>
            <w:tcW w:w="2330" w:type="dxa"/>
            <w:gridSpan w:val="4"/>
            <w:shd w:val="clear" w:color="auto" w:fill="auto"/>
          </w:tcPr>
          <w:p w:rsidR="00904DD5" w:rsidRPr="00904DD5" w:rsidRDefault="00904DD5" w:rsidP="009F3BAB">
            <w:pPr>
              <w:tabs>
                <w:tab w:val="left" w:pos="360"/>
              </w:tabs>
              <w:jc w:val="center"/>
              <w:rPr>
                <w:sz w:val="22"/>
                <w:szCs w:val="22"/>
              </w:rPr>
            </w:pPr>
            <w:r w:rsidRPr="00904DD5">
              <w:rPr>
                <w:sz w:val="22"/>
                <w:szCs w:val="22"/>
              </w:rPr>
              <w:t>2011</w:t>
            </w:r>
          </w:p>
        </w:tc>
        <w:tc>
          <w:tcPr>
            <w:tcW w:w="2330" w:type="dxa"/>
            <w:gridSpan w:val="4"/>
            <w:shd w:val="clear" w:color="auto" w:fill="auto"/>
          </w:tcPr>
          <w:p w:rsidR="00904DD5" w:rsidRPr="00904DD5" w:rsidRDefault="00904DD5" w:rsidP="009F3BAB">
            <w:pPr>
              <w:tabs>
                <w:tab w:val="left" w:pos="360"/>
              </w:tabs>
              <w:jc w:val="center"/>
              <w:rPr>
                <w:sz w:val="22"/>
                <w:szCs w:val="22"/>
              </w:rPr>
            </w:pPr>
            <w:r w:rsidRPr="00904DD5">
              <w:rPr>
                <w:sz w:val="22"/>
                <w:szCs w:val="22"/>
              </w:rPr>
              <w:t>2012</w:t>
            </w:r>
          </w:p>
        </w:tc>
      </w:tr>
      <w:tr w:rsidR="00904DD5" w:rsidRPr="00904DD5" w:rsidTr="00904DD5">
        <w:trPr>
          <w:gridBefore w:val="1"/>
          <w:wBefore w:w="18" w:type="dxa"/>
          <w:tblHeader/>
        </w:trPr>
        <w:tc>
          <w:tcPr>
            <w:tcW w:w="2340" w:type="dxa"/>
            <w:gridSpan w:val="2"/>
            <w:shd w:val="clear" w:color="auto" w:fill="auto"/>
          </w:tcPr>
          <w:p w:rsidR="00904DD5" w:rsidRPr="00904DD5" w:rsidRDefault="00904DD5" w:rsidP="009F3BAB">
            <w:pPr>
              <w:tabs>
                <w:tab w:val="left" w:pos="360"/>
              </w:tabs>
              <w:jc w:val="both"/>
              <w:rPr>
                <w:sz w:val="22"/>
                <w:szCs w:val="22"/>
              </w:rPr>
            </w:pPr>
          </w:p>
        </w:tc>
        <w:tc>
          <w:tcPr>
            <w:tcW w:w="1222" w:type="dxa"/>
            <w:gridSpan w:val="2"/>
            <w:shd w:val="clear" w:color="auto" w:fill="auto"/>
          </w:tcPr>
          <w:p w:rsidR="00904DD5" w:rsidRPr="00904DD5" w:rsidRDefault="00904DD5" w:rsidP="009F3BAB">
            <w:pPr>
              <w:tabs>
                <w:tab w:val="left" w:pos="360"/>
              </w:tabs>
              <w:jc w:val="center"/>
              <w:rPr>
                <w:sz w:val="22"/>
                <w:szCs w:val="22"/>
                <w:u w:val="single"/>
              </w:rPr>
            </w:pPr>
            <w:r w:rsidRPr="00904DD5">
              <w:rPr>
                <w:sz w:val="22"/>
                <w:szCs w:val="22"/>
                <w:u w:val="single"/>
              </w:rPr>
              <w:t>MGNH</w:t>
            </w:r>
          </w:p>
        </w:tc>
        <w:tc>
          <w:tcPr>
            <w:tcW w:w="1118" w:type="dxa"/>
            <w:gridSpan w:val="2"/>
            <w:shd w:val="clear" w:color="auto" w:fill="auto"/>
          </w:tcPr>
          <w:p w:rsidR="00904DD5" w:rsidRPr="00904DD5" w:rsidRDefault="00904DD5" w:rsidP="009F3BAB">
            <w:pPr>
              <w:tabs>
                <w:tab w:val="left" w:pos="360"/>
              </w:tabs>
              <w:jc w:val="center"/>
              <w:rPr>
                <w:sz w:val="22"/>
                <w:szCs w:val="22"/>
                <w:u w:val="single"/>
              </w:rPr>
            </w:pPr>
            <w:r w:rsidRPr="00904DD5">
              <w:rPr>
                <w:sz w:val="22"/>
                <w:szCs w:val="22"/>
                <w:u w:val="single"/>
              </w:rPr>
              <w:t>Region 4</w:t>
            </w:r>
          </w:p>
        </w:tc>
        <w:tc>
          <w:tcPr>
            <w:tcW w:w="1222" w:type="dxa"/>
            <w:gridSpan w:val="2"/>
            <w:shd w:val="clear" w:color="auto" w:fill="auto"/>
          </w:tcPr>
          <w:p w:rsidR="00904DD5" w:rsidRPr="00904DD5" w:rsidRDefault="00904DD5" w:rsidP="009F3BAB">
            <w:pPr>
              <w:tabs>
                <w:tab w:val="left" w:pos="360"/>
              </w:tabs>
              <w:jc w:val="center"/>
              <w:rPr>
                <w:sz w:val="22"/>
                <w:szCs w:val="22"/>
                <w:u w:val="single"/>
              </w:rPr>
            </w:pPr>
            <w:r w:rsidRPr="00904DD5">
              <w:rPr>
                <w:sz w:val="22"/>
                <w:szCs w:val="22"/>
                <w:u w:val="single"/>
              </w:rPr>
              <w:t>MGNH</w:t>
            </w:r>
          </w:p>
        </w:tc>
        <w:tc>
          <w:tcPr>
            <w:tcW w:w="1108" w:type="dxa"/>
            <w:gridSpan w:val="2"/>
            <w:shd w:val="clear" w:color="auto" w:fill="auto"/>
          </w:tcPr>
          <w:p w:rsidR="00904DD5" w:rsidRPr="00904DD5" w:rsidRDefault="00904DD5" w:rsidP="009F3BAB">
            <w:pPr>
              <w:tabs>
                <w:tab w:val="left" w:pos="360"/>
              </w:tabs>
              <w:jc w:val="center"/>
              <w:rPr>
                <w:sz w:val="22"/>
                <w:szCs w:val="22"/>
                <w:u w:val="single"/>
              </w:rPr>
            </w:pPr>
            <w:r w:rsidRPr="00904DD5">
              <w:rPr>
                <w:sz w:val="22"/>
                <w:szCs w:val="22"/>
                <w:u w:val="single"/>
              </w:rPr>
              <w:t>Region 4</w:t>
            </w:r>
          </w:p>
        </w:tc>
        <w:tc>
          <w:tcPr>
            <w:tcW w:w="1222" w:type="dxa"/>
            <w:gridSpan w:val="2"/>
            <w:shd w:val="clear" w:color="auto" w:fill="auto"/>
          </w:tcPr>
          <w:p w:rsidR="00904DD5" w:rsidRPr="00904DD5" w:rsidRDefault="00904DD5" w:rsidP="009F3BAB">
            <w:pPr>
              <w:tabs>
                <w:tab w:val="left" w:pos="360"/>
              </w:tabs>
              <w:jc w:val="center"/>
              <w:rPr>
                <w:sz w:val="22"/>
                <w:szCs w:val="22"/>
                <w:u w:val="single"/>
              </w:rPr>
            </w:pPr>
            <w:r w:rsidRPr="00904DD5">
              <w:rPr>
                <w:sz w:val="22"/>
                <w:szCs w:val="22"/>
                <w:u w:val="single"/>
              </w:rPr>
              <w:t>MGNH</w:t>
            </w:r>
          </w:p>
        </w:tc>
        <w:tc>
          <w:tcPr>
            <w:tcW w:w="1108" w:type="dxa"/>
            <w:gridSpan w:val="2"/>
            <w:shd w:val="clear" w:color="auto" w:fill="auto"/>
          </w:tcPr>
          <w:p w:rsidR="00904DD5" w:rsidRPr="00904DD5" w:rsidRDefault="00904DD5" w:rsidP="009F3BAB">
            <w:pPr>
              <w:tabs>
                <w:tab w:val="left" w:pos="360"/>
              </w:tabs>
              <w:jc w:val="center"/>
              <w:rPr>
                <w:sz w:val="22"/>
                <w:szCs w:val="22"/>
                <w:u w:val="single"/>
              </w:rPr>
            </w:pPr>
            <w:r w:rsidRPr="00904DD5">
              <w:rPr>
                <w:sz w:val="22"/>
                <w:szCs w:val="22"/>
                <w:u w:val="single"/>
              </w:rPr>
              <w:t>Region 4</w:t>
            </w:r>
          </w:p>
        </w:tc>
      </w:tr>
      <w:tr w:rsidR="00904DD5" w:rsidRPr="00904DD5" w:rsidTr="00904DD5">
        <w:trPr>
          <w:gridBefore w:val="1"/>
          <w:wBefore w:w="18" w:type="dxa"/>
          <w:tblHeader/>
        </w:trPr>
        <w:tc>
          <w:tcPr>
            <w:tcW w:w="2340" w:type="dxa"/>
            <w:gridSpan w:val="2"/>
            <w:shd w:val="clear" w:color="auto" w:fill="auto"/>
          </w:tcPr>
          <w:p w:rsidR="00904DD5" w:rsidRPr="00904DD5" w:rsidRDefault="00904DD5" w:rsidP="009F3BAB">
            <w:pPr>
              <w:tabs>
                <w:tab w:val="left" w:pos="360"/>
              </w:tabs>
              <w:jc w:val="both"/>
              <w:rPr>
                <w:sz w:val="22"/>
                <w:szCs w:val="22"/>
              </w:rPr>
            </w:pPr>
          </w:p>
        </w:tc>
        <w:tc>
          <w:tcPr>
            <w:tcW w:w="1222" w:type="dxa"/>
            <w:gridSpan w:val="2"/>
            <w:shd w:val="clear" w:color="auto" w:fill="auto"/>
          </w:tcPr>
          <w:p w:rsidR="00904DD5" w:rsidRPr="00904DD5" w:rsidRDefault="00904DD5" w:rsidP="009F3BAB">
            <w:pPr>
              <w:tabs>
                <w:tab w:val="left" w:pos="360"/>
              </w:tabs>
              <w:jc w:val="both"/>
              <w:rPr>
                <w:sz w:val="22"/>
                <w:szCs w:val="22"/>
              </w:rPr>
            </w:pPr>
          </w:p>
        </w:tc>
        <w:tc>
          <w:tcPr>
            <w:tcW w:w="1118" w:type="dxa"/>
            <w:gridSpan w:val="2"/>
            <w:shd w:val="clear" w:color="auto" w:fill="auto"/>
          </w:tcPr>
          <w:p w:rsidR="00904DD5" w:rsidRPr="00904DD5" w:rsidRDefault="00904DD5" w:rsidP="009F3BAB">
            <w:pPr>
              <w:tabs>
                <w:tab w:val="left" w:pos="360"/>
              </w:tabs>
              <w:jc w:val="both"/>
              <w:rPr>
                <w:sz w:val="22"/>
                <w:szCs w:val="22"/>
              </w:rPr>
            </w:pPr>
          </w:p>
        </w:tc>
        <w:tc>
          <w:tcPr>
            <w:tcW w:w="1222" w:type="dxa"/>
            <w:gridSpan w:val="2"/>
            <w:shd w:val="clear" w:color="auto" w:fill="auto"/>
          </w:tcPr>
          <w:p w:rsidR="00904DD5" w:rsidRPr="00904DD5" w:rsidRDefault="00904DD5" w:rsidP="009F3BAB">
            <w:pPr>
              <w:tabs>
                <w:tab w:val="left" w:pos="360"/>
              </w:tabs>
              <w:jc w:val="both"/>
              <w:rPr>
                <w:sz w:val="22"/>
                <w:szCs w:val="22"/>
              </w:rPr>
            </w:pPr>
          </w:p>
        </w:tc>
        <w:tc>
          <w:tcPr>
            <w:tcW w:w="1108" w:type="dxa"/>
            <w:gridSpan w:val="2"/>
            <w:shd w:val="clear" w:color="auto" w:fill="auto"/>
          </w:tcPr>
          <w:p w:rsidR="00904DD5" w:rsidRPr="00904DD5" w:rsidRDefault="00904DD5" w:rsidP="009F3BAB">
            <w:pPr>
              <w:tabs>
                <w:tab w:val="left" w:pos="360"/>
              </w:tabs>
              <w:jc w:val="both"/>
              <w:rPr>
                <w:sz w:val="22"/>
                <w:szCs w:val="22"/>
              </w:rPr>
            </w:pPr>
          </w:p>
        </w:tc>
        <w:tc>
          <w:tcPr>
            <w:tcW w:w="1222" w:type="dxa"/>
            <w:gridSpan w:val="2"/>
            <w:shd w:val="clear" w:color="auto" w:fill="auto"/>
          </w:tcPr>
          <w:p w:rsidR="00904DD5" w:rsidRPr="00904DD5" w:rsidRDefault="00904DD5" w:rsidP="009F3BAB">
            <w:pPr>
              <w:tabs>
                <w:tab w:val="left" w:pos="360"/>
              </w:tabs>
              <w:jc w:val="both"/>
              <w:rPr>
                <w:sz w:val="22"/>
                <w:szCs w:val="22"/>
              </w:rPr>
            </w:pPr>
          </w:p>
        </w:tc>
        <w:tc>
          <w:tcPr>
            <w:tcW w:w="1108" w:type="dxa"/>
            <w:gridSpan w:val="2"/>
            <w:shd w:val="clear" w:color="auto" w:fill="auto"/>
          </w:tcPr>
          <w:p w:rsidR="00904DD5" w:rsidRPr="00904DD5" w:rsidRDefault="00904DD5" w:rsidP="009F3BAB">
            <w:pPr>
              <w:tabs>
                <w:tab w:val="left" w:pos="360"/>
              </w:tabs>
              <w:jc w:val="both"/>
              <w:rPr>
                <w:sz w:val="22"/>
                <w:szCs w:val="22"/>
              </w:rPr>
            </w:pP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162"/>
              </w:tabs>
              <w:ind w:left="162"/>
              <w:jc w:val="both"/>
              <w:rPr>
                <w:sz w:val="22"/>
                <w:szCs w:val="22"/>
              </w:rPr>
            </w:pPr>
            <w:r w:rsidRPr="00904DD5">
              <w:rPr>
                <w:sz w:val="22"/>
                <w:szCs w:val="22"/>
              </w:rPr>
              <w:t>NF - MCD</w:t>
            </w:r>
          </w:p>
        </w:tc>
        <w:tc>
          <w:tcPr>
            <w:tcW w:w="1222" w:type="dxa"/>
            <w:gridSpan w:val="2"/>
            <w:shd w:val="clear" w:color="auto" w:fill="auto"/>
          </w:tcPr>
          <w:p w:rsidR="00904DD5" w:rsidRPr="00904DD5" w:rsidRDefault="00904DD5" w:rsidP="009F3BAB">
            <w:pPr>
              <w:tabs>
                <w:tab w:val="left" w:pos="162"/>
                <w:tab w:val="decimal" w:pos="537"/>
              </w:tabs>
              <w:rPr>
                <w:sz w:val="22"/>
                <w:szCs w:val="22"/>
              </w:rPr>
            </w:pPr>
            <w:r w:rsidRPr="00904DD5">
              <w:rPr>
                <w:sz w:val="22"/>
                <w:szCs w:val="22"/>
              </w:rPr>
              <w:tab/>
            </w:r>
            <w:r w:rsidRPr="00904DD5">
              <w:rPr>
                <w:sz w:val="22"/>
                <w:szCs w:val="22"/>
              </w:rPr>
              <w:tab/>
              <w:t>69%</w:t>
            </w:r>
          </w:p>
        </w:tc>
        <w:tc>
          <w:tcPr>
            <w:tcW w:w="1118" w:type="dxa"/>
            <w:gridSpan w:val="2"/>
            <w:shd w:val="clear" w:color="auto" w:fill="auto"/>
          </w:tcPr>
          <w:p w:rsidR="00904DD5" w:rsidRPr="00904DD5" w:rsidRDefault="00904DD5" w:rsidP="009F3BAB">
            <w:pPr>
              <w:tabs>
                <w:tab w:val="left" w:pos="170"/>
                <w:tab w:val="decimal" w:pos="533"/>
              </w:tabs>
              <w:rPr>
                <w:sz w:val="22"/>
                <w:szCs w:val="22"/>
              </w:rPr>
            </w:pPr>
            <w:r w:rsidRPr="00904DD5">
              <w:rPr>
                <w:sz w:val="22"/>
                <w:szCs w:val="22"/>
              </w:rPr>
              <w:tab/>
            </w:r>
            <w:r w:rsidRPr="00904DD5">
              <w:rPr>
                <w:sz w:val="22"/>
                <w:szCs w:val="22"/>
              </w:rPr>
              <w:tab/>
              <w:t>79%</w:t>
            </w:r>
          </w:p>
        </w:tc>
        <w:tc>
          <w:tcPr>
            <w:tcW w:w="1222" w:type="dxa"/>
            <w:gridSpan w:val="2"/>
            <w:shd w:val="clear" w:color="auto" w:fill="auto"/>
          </w:tcPr>
          <w:p w:rsidR="00904DD5" w:rsidRPr="00904DD5" w:rsidRDefault="00904DD5" w:rsidP="009F3BAB">
            <w:pPr>
              <w:tabs>
                <w:tab w:val="left" w:pos="274"/>
                <w:tab w:val="decimal" w:pos="649"/>
              </w:tabs>
              <w:rPr>
                <w:sz w:val="22"/>
                <w:szCs w:val="22"/>
              </w:rPr>
            </w:pPr>
            <w:r w:rsidRPr="00904DD5">
              <w:rPr>
                <w:sz w:val="22"/>
                <w:szCs w:val="22"/>
              </w:rPr>
              <w:tab/>
            </w:r>
            <w:r w:rsidRPr="00904DD5">
              <w:rPr>
                <w:sz w:val="22"/>
                <w:szCs w:val="22"/>
              </w:rPr>
              <w:tab/>
              <w:t>64%</w:t>
            </w:r>
          </w:p>
        </w:tc>
        <w:tc>
          <w:tcPr>
            <w:tcW w:w="1108" w:type="dxa"/>
            <w:gridSpan w:val="2"/>
            <w:shd w:val="clear" w:color="auto" w:fill="auto"/>
          </w:tcPr>
          <w:p w:rsidR="00904DD5" w:rsidRPr="00904DD5" w:rsidRDefault="00904DD5" w:rsidP="009F3BAB">
            <w:pPr>
              <w:tabs>
                <w:tab w:val="left" w:pos="210"/>
                <w:tab w:val="decimal" w:pos="600"/>
              </w:tabs>
              <w:rPr>
                <w:sz w:val="22"/>
                <w:szCs w:val="22"/>
              </w:rPr>
            </w:pPr>
            <w:r w:rsidRPr="00904DD5">
              <w:rPr>
                <w:sz w:val="22"/>
                <w:szCs w:val="22"/>
              </w:rPr>
              <w:tab/>
            </w:r>
            <w:r w:rsidRPr="00904DD5">
              <w:rPr>
                <w:sz w:val="22"/>
                <w:szCs w:val="22"/>
              </w:rPr>
              <w:tab/>
              <w:t>78%</w:t>
            </w:r>
          </w:p>
        </w:tc>
        <w:tc>
          <w:tcPr>
            <w:tcW w:w="1222" w:type="dxa"/>
            <w:gridSpan w:val="2"/>
            <w:shd w:val="clear" w:color="auto" w:fill="auto"/>
          </w:tcPr>
          <w:p w:rsidR="00904DD5" w:rsidRPr="00904DD5" w:rsidRDefault="00904DD5" w:rsidP="009F3BAB">
            <w:pPr>
              <w:tabs>
                <w:tab w:val="left" w:pos="263"/>
                <w:tab w:val="decimal" w:pos="638"/>
              </w:tabs>
              <w:rPr>
                <w:sz w:val="22"/>
                <w:szCs w:val="22"/>
              </w:rPr>
            </w:pPr>
            <w:r w:rsidRPr="00904DD5">
              <w:rPr>
                <w:sz w:val="22"/>
                <w:szCs w:val="22"/>
              </w:rPr>
              <w:tab/>
            </w:r>
            <w:r w:rsidRPr="00904DD5">
              <w:rPr>
                <w:sz w:val="22"/>
                <w:szCs w:val="22"/>
              </w:rPr>
              <w:tab/>
              <w:t>66%</w:t>
            </w:r>
          </w:p>
        </w:tc>
        <w:tc>
          <w:tcPr>
            <w:tcW w:w="1108" w:type="dxa"/>
            <w:gridSpan w:val="2"/>
            <w:shd w:val="clear" w:color="auto" w:fill="auto"/>
          </w:tcPr>
          <w:p w:rsidR="00904DD5" w:rsidRPr="00904DD5" w:rsidRDefault="00904DD5" w:rsidP="009F3BAB">
            <w:pPr>
              <w:tabs>
                <w:tab w:val="left" w:pos="142"/>
                <w:tab w:val="decimal" w:pos="550"/>
              </w:tabs>
              <w:rPr>
                <w:sz w:val="22"/>
                <w:szCs w:val="22"/>
              </w:rPr>
            </w:pPr>
            <w:r w:rsidRPr="00904DD5">
              <w:rPr>
                <w:sz w:val="22"/>
                <w:szCs w:val="22"/>
              </w:rPr>
              <w:tab/>
            </w:r>
            <w:r w:rsidRPr="00904DD5">
              <w:rPr>
                <w:sz w:val="22"/>
                <w:szCs w:val="22"/>
              </w:rPr>
              <w:tab/>
              <w:t>77%</w:t>
            </w: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162"/>
              </w:tabs>
              <w:ind w:left="162"/>
              <w:jc w:val="both"/>
              <w:rPr>
                <w:sz w:val="22"/>
                <w:szCs w:val="22"/>
              </w:rPr>
            </w:pPr>
            <w:r w:rsidRPr="00904DD5">
              <w:rPr>
                <w:sz w:val="22"/>
                <w:szCs w:val="22"/>
              </w:rPr>
              <w:t>NF - MCR</w:t>
            </w:r>
          </w:p>
        </w:tc>
        <w:tc>
          <w:tcPr>
            <w:tcW w:w="1222" w:type="dxa"/>
            <w:gridSpan w:val="2"/>
            <w:shd w:val="clear" w:color="auto" w:fill="auto"/>
          </w:tcPr>
          <w:p w:rsidR="00904DD5" w:rsidRPr="00904DD5" w:rsidRDefault="00904DD5" w:rsidP="009F3BAB">
            <w:pPr>
              <w:tabs>
                <w:tab w:val="left" w:pos="162"/>
                <w:tab w:val="decimal" w:pos="537"/>
              </w:tabs>
              <w:rPr>
                <w:sz w:val="22"/>
                <w:szCs w:val="22"/>
              </w:rPr>
            </w:pPr>
            <w:r w:rsidRPr="00904DD5">
              <w:rPr>
                <w:sz w:val="22"/>
                <w:szCs w:val="22"/>
              </w:rPr>
              <w:tab/>
            </w:r>
            <w:r w:rsidRPr="00904DD5">
              <w:rPr>
                <w:sz w:val="22"/>
                <w:szCs w:val="22"/>
              </w:rPr>
              <w:tab/>
              <w:t>7</w:t>
            </w:r>
          </w:p>
        </w:tc>
        <w:tc>
          <w:tcPr>
            <w:tcW w:w="1118" w:type="dxa"/>
            <w:gridSpan w:val="2"/>
            <w:shd w:val="clear" w:color="auto" w:fill="auto"/>
          </w:tcPr>
          <w:p w:rsidR="00904DD5" w:rsidRPr="00904DD5" w:rsidRDefault="00904DD5" w:rsidP="009F3BAB">
            <w:pPr>
              <w:tabs>
                <w:tab w:val="left" w:pos="170"/>
                <w:tab w:val="decimal" w:pos="533"/>
              </w:tabs>
              <w:rPr>
                <w:sz w:val="22"/>
                <w:szCs w:val="22"/>
              </w:rPr>
            </w:pPr>
            <w:r w:rsidRPr="00904DD5">
              <w:rPr>
                <w:sz w:val="22"/>
                <w:szCs w:val="22"/>
              </w:rPr>
              <w:tab/>
            </w:r>
            <w:r w:rsidRPr="00904DD5">
              <w:rPr>
                <w:sz w:val="22"/>
                <w:szCs w:val="22"/>
              </w:rPr>
              <w:tab/>
              <w:t>10</w:t>
            </w:r>
          </w:p>
        </w:tc>
        <w:tc>
          <w:tcPr>
            <w:tcW w:w="1222" w:type="dxa"/>
            <w:gridSpan w:val="2"/>
            <w:shd w:val="clear" w:color="auto" w:fill="auto"/>
          </w:tcPr>
          <w:p w:rsidR="00904DD5" w:rsidRPr="00904DD5" w:rsidRDefault="00904DD5" w:rsidP="009F3BAB">
            <w:pPr>
              <w:tabs>
                <w:tab w:val="left" w:pos="274"/>
                <w:tab w:val="decimal" w:pos="649"/>
              </w:tabs>
              <w:rPr>
                <w:sz w:val="22"/>
                <w:szCs w:val="22"/>
              </w:rPr>
            </w:pPr>
            <w:r w:rsidRPr="00904DD5">
              <w:rPr>
                <w:sz w:val="22"/>
                <w:szCs w:val="22"/>
              </w:rPr>
              <w:tab/>
            </w:r>
            <w:r w:rsidRPr="00904DD5">
              <w:rPr>
                <w:sz w:val="22"/>
                <w:szCs w:val="22"/>
              </w:rPr>
              <w:tab/>
              <w:t>10</w:t>
            </w:r>
          </w:p>
        </w:tc>
        <w:tc>
          <w:tcPr>
            <w:tcW w:w="1108" w:type="dxa"/>
            <w:gridSpan w:val="2"/>
            <w:shd w:val="clear" w:color="auto" w:fill="auto"/>
          </w:tcPr>
          <w:p w:rsidR="00904DD5" w:rsidRPr="00904DD5" w:rsidRDefault="00904DD5" w:rsidP="009F3BAB">
            <w:pPr>
              <w:tabs>
                <w:tab w:val="left" w:pos="210"/>
                <w:tab w:val="decimal" w:pos="600"/>
              </w:tabs>
              <w:rPr>
                <w:sz w:val="22"/>
                <w:szCs w:val="22"/>
              </w:rPr>
            </w:pPr>
            <w:r w:rsidRPr="00904DD5">
              <w:rPr>
                <w:sz w:val="22"/>
                <w:szCs w:val="22"/>
              </w:rPr>
              <w:tab/>
            </w:r>
            <w:r w:rsidRPr="00904DD5">
              <w:rPr>
                <w:sz w:val="22"/>
                <w:szCs w:val="22"/>
              </w:rPr>
              <w:tab/>
              <w:t>10</w:t>
            </w:r>
          </w:p>
        </w:tc>
        <w:tc>
          <w:tcPr>
            <w:tcW w:w="1222" w:type="dxa"/>
            <w:gridSpan w:val="2"/>
            <w:shd w:val="clear" w:color="auto" w:fill="auto"/>
          </w:tcPr>
          <w:p w:rsidR="00904DD5" w:rsidRPr="00904DD5" w:rsidRDefault="00904DD5" w:rsidP="009F3BAB">
            <w:pPr>
              <w:tabs>
                <w:tab w:val="left" w:pos="263"/>
                <w:tab w:val="decimal" w:pos="638"/>
              </w:tabs>
              <w:rPr>
                <w:sz w:val="22"/>
                <w:szCs w:val="22"/>
              </w:rPr>
            </w:pPr>
            <w:r w:rsidRPr="00904DD5">
              <w:rPr>
                <w:sz w:val="22"/>
                <w:szCs w:val="22"/>
              </w:rPr>
              <w:tab/>
            </w:r>
            <w:r w:rsidRPr="00904DD5">
              <w:rPr>
                <w:sz w:val="22"/>
                <w:szCs w:val="22"/>
              </w:rPr>
              <w:tab/>
              <w:t>12</w:t>
            </w:r>
          </w:p>
        </w:tc>
        <w:tc>
          <w:tcPr>
            <w:tcW w:w="1108" w:type="dxa"/>
            <w:gridSpan w:val="2"/>
            <w:shd w:val="clear" w:color="auto" w:fill="auto"/>
          </w:tcPr>
          <w:p w:rsidR="00904DD5" w:rsidRPr="00904DD5" w:rsidRDefault="00904DD5" w:rsidP="009F3BAB">
            <w:pPr>
              <w:tabs>
                <w:tab w:val="left" w:pos="142"/>
                <w:tab w:val="decimal" w:pos="550"/>
              </w:tabs>
              <w:rPr>
                <w:sz w:val="22"/>
                <w:szCs w:val="22"/>
              </w:rPr>
            </w:pPr>
            <w:r w:rsidRPr="00904DD5">
              <w:rPr>
                <w:sz w:val="22"/>
                <w:szCs w:val="22"/>
              </w:rPr>
              <w:tab/>
            </w:r>
            <w:r w:rsidRPr="00904DD5">
              <w:rPr>
                <w:sz w:val="22"/>
                <w:szCs w:val="22"/>
              </w:rPr>
              <w:tab/>
              <w:t>11</w:t>
            </w: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162"/>
              </w:tabs>
              <w:ind w:left="162"/>
              <w:jc w:val="both"/>
              <w:rPr>
                <w:sz w:val="22"/>
                <w:szCs w:val="22"/>
              </w:rPr>
            </w:pPr>
            <w:r w:rsidRPr="00904DD5">
              <w:rPr>
                <w:sz w:val="22"/>
                <w:szCs w:val="22"/>
              </w:rPr>
              <w:t>NF - Other</w:t>
            </w:r>
          </w:p>
        </w:tc>
        <w:tc>
          <w:tcPr>
            <w:tcW w:w="1222" w:type="dxa"/>
            <w:gridSpan w:val="2"/>
            <w:shd w:val="clear" w:color="auto" w:fill="auto"/>
          </w:tcPr>
          <w:p w:rsidR="00904DD5" w:rsidRPr="00904DD5" w:rsidRDefault="00904DD5" w:rsidP="009F3BAB">
            <w:pPr>
              <w:tabs>
                <w:tab w:val="left" w:pos="162"/>
                <w:tab w:val="decimal" w:pos="537"/>
              </w:tabs>
              <w:rPr>
                <w:sz w:val="22"/>
                <w:szCs w:val="22"/>
                <w:u w:val="single"/>
              </w:rPr>
            </w:pPr>
            <w:r w:rsidRPr="00904DD5">
              <w:rPr>
                <w:sz w:val="22"/>
                <w:szCs w:val="22"/>
              </w:rPr>
              <w:tab/>
            </w:r>
            <w:r w:rsidRPr="00904DD5">
              <w:rPr>
                <w:sz w:val="22"/>
                <w:szCs w:val="22"/>
                <w:u w:val="single"/>
              </w:rPr>
              <w:tab/>
              <w:t>24</w:t>
            </w:r>
          </w:p>
        </w:tc>
        <w:tc>
          <w:tcPr>
            <w:tcW w:w="1118" w:type="dxa"/>
            <w:gridSpan w:val="2"/>
            <w:shd w:val="clear" w:color="auto" w:fill="auto"/>
          </w:tcPr>
          <w:p w:rsidR="00904DD5" w:rsidRPr="00904DD5" w:rsidRDefault="00904DD5" w:rsidP="009F3BAB">
            <w:pPr>
              <w:tabs>
                <w:tab w:val="left" w:pos="170"/>
                <w:tab w:val="decimal" w:pos="533"/>
              </w:tabs>
              <w:rPr>
                <w:sz w:val="22"/>
                <w:szCs w:val="22"/>
                <w:u w:val="single"/>
              </w:rPr>
            </w:pPr>
            <w:r w:rsidRPr="00904DD5">
              <w:rPr>
                <w:sz w:val="22"/>
                <w:szCs w:val="22"/>
              </w:rPr>
              <w:tab/>
            </w:r>
            <w:r w:rsidRPr="00904DD5">
              <w:rPr>
                <w:sz w:val="22"/>
                <w:szCs w:val="22"/>
                <w:u w:val="single"/>
              </w:rPr>
              <w:tab/>
              <w:t>11</w:t>
            </w:r>
          </w:p>
        </w:tc>
        <w:tc>
          <w:tcPr>
            <w:tcW w:w="1222" w:type="dxa"/>
            <w:gridSpan w:val="2"/>
            <w:shd w:val="clear" w:color="auto" w:fill="auto"/>
          </w:tcPr>
          <w:p w:rsidR="00904DD5" w:rsidRPr="00904DD5" w:rsidRDefault="00904DD5" w:rsidP="009F3BAB">
            <w:pPr>
              <w:tabs>
                <w:tab w:val="left" w:pos="274"/>
                <w:tab w:val="decimal" w:pos="649"/>
              </w:tabs>
              <w:rPr>
                <w:sz w:val="22"/>
                <w:szCs w:val="22"/>
                <w:u w:val="single"/>
              </w:rPr>
            </w:pPr>
            <w:r w:rsidRPr="00904DD5">
              <w:rPr>
                <w:sz w:val="22"/>
                <w:szCs w:val="22"/>
              </w:rPr>
              <w:tab/>
            </w:r>
            <w:r w:rsidRPr="00904DD5">
              <w:rPr>
                <w:sz w:val="22"/>
                <w:szCs w:val="22"/>
                <w:u w:val="single"/>
              </w:rPr>
              <w:tab/>
              <w:t>26</w:t>
            </w:r>
          </w:p>
        </w:tc>
        <w:tc>
          <w:tcPr>
            <w:tcW w:w="1108" w:type="dxa"/>
            <w:gridSpan w:val="2"/>
            <w:shd w:val="clear" w:color="auto" w:fill="auto"/>
          </w:tcPr>
          <w:p w:rsidR="00904DD5" w:rsidRPr="00904DD5" w:rsidRDefault="00904DD5" w:rsidP="009F3BAB">
            <w:pPr>
              <w:tabs>
                <w:tab w:val="left" w:pos="210"/>
                <w:tab w:val="decimal" w:pos="600"/>
              </w:tabs>
              <w:rPr>
                <w:sz w:val="22"/>
                <w:szCs w:val="22"/>
                <w:u w:val="single"/>
              </w:rPr>
            </w:pPr>
            <w:r w:rsidRPr="00904DD5">
              <w:rPr>
                <w:sz w:val="22"/>
                <w:szCs w:val="22"/>
              </w:rPr>
              <w:tab/>
            </w:r>
            <w:r w:rsidRPr="00904DD5">
              <w:rPr>
                <w:sz w:val="22"/>
                <w:szCs w:val="22"/>
                <w:u w:val="single"/>
              </w:rPr>
              <w:tab/>
              <w:t>12</w:t>
            </w:r>
          </w:p>
        </w:tc>
        <w:tc>
          <w:tcPr>
            <w:tcW w:w="1222" w:type="dxa"/>
            <w:gridSpan w:val="2"/>
            <w:shd w:val="clear" w:color="auto" w:fill="auto"/>
          </w:tcPr>
          <w:p w:rsidR="00904DD5" w:rsidRPr="00904DD5" w:rsidRDefault="00904DD5" w:rsidP="009F3BAB">
            <w:pPr>
              <w:tabs>
                <w:tab w:val="left" w:pos="263"/>
                <w:tab w:val="decimal" w:pos="638"/>
              </w:tabs>
              <w:rPr>
                <w:sz w:val="22"/>
                <w:szCs w:val="22"/>
                <w:u w:val="single"/>
              </w:rPr>
            </w:pPr>
            <w:r w:rsidRPr="00904DD5">
              <w:rPr>
                <w:sz w:val="22"/>
                <w:szCs w:val="22"/>
              </w:rPr>
              <w:tab/>
            </w:r>
            <w:r w:rsidRPr="00904DD5">
              <w:rPr>
                <w:sz w:val="22"/>
                <w:szCs w:val="22"/>
                <w:u w:val="single"/>
              </w:rPr>
              <w:tab/>
              <w:t>22</w:t>
            </w:r>
          </w:p>
        </w:tc>
        <w:tc>
          <w:tcPr>
            <w:tcW w:w="1108" w:type="dxa"/>
            <w:gridSpan w:val="2"/>
            <w:shd w:val="clear" w:color="auto" w:fill="auto"/>
          </w:tcPr>
          <w:p w:rsidR="00904DD5" w:rsidRPr="00904DD5" w:rsidRDefault="00904DD5" w:rsidP="009F3BAB">
            <w:pPr>
              <w:tabs>
                <w:tab w:val="left" w:pos="142"/>
                <w:tab w:val="decimal" w:pos="550"/>
              </w:tabs>
              <w:rPr>
                <w:sz w:val="22"/>
                <w:szCs w:val="22"/>
                <w:u w:val="single"/>
              </w:rPr>
            </w:pPr>
            <w:r w:rsidRPr="00904DD5">
              <w:rPr>
                <w:sz w:val="22"/>
                <w:szCs w:val="22"/>
              </w:rPr>
              <w:tab/>
            </w:r>
            <w:r w:rsidRPr="00904DD5">
              <w:rPr>
                <w:sz w:val="22"/>
                <w:szCs w:val="22"/>
                <w:u w:val="single"/>
              </w:rPr>
              <w:tab/>
              <w:t>12</w:t>
            </w: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360"/>
              </w:tabs>
              <w:jc w:val="both"/>
              <w:rPr>
                <w:sz w:val="22"/>
                <w:szCs w:val="22"/>
              </w:rPr>
            </w:pPr>
          </w:p>
        </w:tc>
        <w:tc>
          <w:tcPr>
            <w:tcW w:w="1222" w:type="dxa"/>
            <w:gridSpan w:val="2"/>
            <w:shd w:val="clear" w:color="auto" w:fill="auto"/>
          </w:tcPr>
          <w:p w:rsidR="00904DD5" w:rsidRPr="00904DD5" w:rsidRDefault="00904DD5" w:rsidP="009F3BAB">
            <w:pPr>
              <w:tabs>
                <w:tab w:val="left" w:pos="162"/>
                <w:tab w:val="decimal" w:pos="537"/>
              </w:tabs>
              <w:rPr>
                <w:sz w:val="22"/>
                <w:szCs w:val="22"/>
              </w:rPr>
            </w:pPr>
          </w:p>
        </w:tc>
        <w:tc>
          <w:tcPr>
            <w:tcW w:w="1118" w:type="dxa"/>
            <w:gridSpan w:val="2"/>
            <w:shd w:val="clear" w:color="auto" w:fill="auto"/>
          </w:tcPr>
          <w:p w:rsidR="00904DD5" w:rsidRPr="00904DD5" w:rsidRDefault="00904DD5" w:rsidP="009F3BAB">
            <w:pPr>
              <w:tabs>
                <w:tab w:val="left" w:pos="170"/>
                <w:tab w:val="decimal" w:pos="533"/>
              </w:tabs>
              <w:rPr>
                <w:sz w:val="22"/>
                <w:szCs w:val="22"/>
              </w:rPr>
            </w:pPr>
          </w:p>
        </w:tc>
        <w:tc>
          <w:tcPr>
            <w:tcW w:w="1222" w:type="dxa"/>
            <w:gridSpan w:val="2"/>
            <w:shd w:val="clear" w:color="auto" w:fill="auto"/>
          </w:tcPr>
          <w:p w:rsidR="00904DD5" w:rsidRPr="00904DD5" w:rsidRDefault="00904DD5" w:rsidP="009F3BAB">
            <w:pPr>
              <w:tabs>
                <w:tab w:val="left" w:pos="274"/>
                <w:tab w:val="decimal" w:pos="649"/>
              </w:tabs>
              <w:rPr>
                <w:sz w:val="22"/>
                <w:szCs w:val="22"/>
              </w:rPr>
            </w:pPr>
          </w:p>
        </w:tc>
        <w:tc>
          <w:tcPr>
            <w:tcW w:w="1108" w:type="dxa"/>
            <w:gridSpan w:val="2"/>
            <w:shd w:val="clear" w:color="auto" w:fill="auto"/>
          </w:tcPr>
          <w:p w:rsidR="00904DD5" w:rsidRPr="00904DD5" w:rsidRDefault="00904DD5" w:rsidP="009F3BAB">
            <w:pPr>
              <w:tabs>
                <w:tab w:val="left" w:pos="210"/>
                <w:tab w:val="decimal" w:pos="600"/>
              </w:tabs>
              <w:rPr>
                <w:sz w:val="22"/>
                <w:szCs w:val="22"/>
              </w:rPr>
            </w:pPr>
          </w:p>
        </w:tc>
        <w:tc>
          <w:tcPr>
            <w:tcW w:w="1222" w:type="dxa"/>
            <w:gridSpan w:val="2"/>
            <w:shd w:val="clear" w:color="auto" w:fill="auto"/>
          </w:tcPr>
          <w:p w:rsidR="00904DD5" w:rsidRPr="00904DD5" w:rsidRDefault="00904DD5" w:rsidP="009F3BAB">
            <w:pPr>
              <w:tabs>
                <w:tab w:val="left" w:pos="263"/>
                <w:tab w:val="decimal" w:pos="638"/>
              </w:tabs>
              <w:rPr>
                <w:sz w:val="22"/>
                <w:szCs w:val="22"/>
              </w:rPr>
            </w:pPr>
          </w:p>
        </w:tc>
        <w:tc>
          <w:tcPr>
            <w:tcW w:w="1108" w:type="dxa"/>
            <w:gridSpan w:val="2"/>
            <w:shd w:val="clear" w:color="auto" w:fill="auto"/>
          </w:tcPr>
          <w:p w:rsidR="00904DD5" w:rsidRPr="00904DD5" w:rsidRDefault="00904DD5" w:rsidP="009F3BAB">
            <w:pPr>
              <w:tabs>
                <w:tab w:val="left" w:pos="142"/>
                <w:tab w:val="decimal" w:pos="550"/>
              </w:tabs>
              <w:rPr>
                <w:sz w:val="22"/>
                <w:szCs w:val="22"/>
              </w:rPr>
            </w:pP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360"/>
              </w:tabs>
              <w:ind w:left="72" w:hanging="72"/>
              <w:jc w:val="both"/>
              <w:rPr>
                <w:sz w:val="22"/>
                <w:szCs w:val="22"/>
              </w:rPr>
            </w:pPr>
            <w:r w:rsidRPr="00904DD5">
              <w:rPr>
                <w:sz w:val="22"/>
                <w:szCs w:val="22"/>
              </w:rPr>
              <w:tab/>
            </w:r>
            <w:r w:rsidRPr="00904DD5">
              <w:rPr>
                <w:sz w:val="22"/>
                <w:szCs w:val="22"/>
              </w:rPr>
              <w:tab/>
              <w:t>Total</w:t>
            </w:r>
          </w:p>
        </w:tc>
        <w:tc>
          <w:tcPr>
            <w:tcW w:w="1222" w:type="dxa"/>
            <w:gridSpan w:val="2"/>
            <w:shd w:val="clear" w:color="auto" w:fill="auto"/>
          </w:tcPr>
          <w:p w:rsidR="00904DD5" w:rsidRPr="00904DD5" w:rsidRDefault="00904DD5" w:rsidP="009F3BAB">
            <w:pPr>
              <w:tabs>
                <w:tab w:val="left" w:pos="162"/>
                <w:tab w:val="decimal" w:pos="537"/>
              </w:tabs>
              <w:rPr>
                <w:sz w:val="22"/>
                <w:szCs w:val="22"/>
              </w:rPr>
            </w:pPr>
            <w:r w:rsidRPr="00904DD5">
              <w:rPr>
                <w:sz w:val="22"/>
                <w:szCs w:val="22"/>
              </w:rPr>
              <w:tab/>
            </w:r>
            <w:r w:rsidRPr="00904DD5">
              <w:rPr>
                <w:sz w:val="22"/>
                <w:szCs w:val="22"/>
              </w:rPr>
              <w:tab/>
            </w:r>
            <w:r w:rsidRPr="00904DD5">
              <w:rPr>
                <w:sz w:val="22"/>
                <w:szCs w:val="22"/>
                <w:u w:val="double"/>
              </w:rPr>
              <w:t>100</w:t>
            </w:r>
            <w:r w:rsidRPr="00904DD5">
              <w:rPr>
                <w:sz w:val="22"/>
                <w:szCs w:val="22"/>
              </w:rPr>
              <w:t>%</w:t>
            </w:r>
          </w:p>
        </w:tc>
        <w:tc>
          <w:tcPr>
            <w:tcW w:w="1118" w:type="dxa"/>
            <w:gridSpan w:val="2"/>
            <w:shd w:val="clear" w:color="auto" w:fill="auto"/>
          </w:tcPr>
          <w:p w:rsidR="00904DD5" w:rsidRPr="00904DD5" w:rsidRDefault="00904DD5" w:rsidP="009F3BAB">
            <w:pPr>
              <w:tabs>
                <w:tab w:val="left" w:pos="170"/>
                <w:tab w:val="decimal" w:pos="533"/>
              </w:tabs>
              <w:rPr>
                <w:sz w:val="22"/>
                <w:szCs w:val="22"/>
              </w:rPr>
            </w:pPr>
            <w:r w:rsidRPr="00904DD5">
              <w:rPr>
                <w:sz w:val="22"/>
                <w:szCs w:val="22"/>
              </w:rPr>
              <w:tab/>
            </w:r>
            <w:r w:rsidRPr="00904DD5">
              <w:rPr>
                <w:sz w:val="22"/>
                <w:szCs w:val="22"/>
              </w:rPr>
              <w:tab/>
            </w:r>
            <w:r w:rsidRPr="00904DD5">
              <w:rPr>
                <w:sz w:val="22"/>
                <w:szCs w:val="22"/>
                <w:u w:val="double"/>
              </w:rPr>
              <w:t>100</w:t>
            </w:r>
            <w:r w:rsidRPr="00904DD5">
              <w:rPr>
                <w:sz w:val="22"/>
                <w:szCs w:val="22"/>
              </w:rPr>
              <w:t>%</w:t>
            </w:r>
          </w:p>
        </w:tc>
        <w:tc>
          <w:tcPr>
            <w:tcW w:w="1222" w:type="dxa"/>
            <w:gridSpan w:val="2"/>
            <w:shd w:val="clear" w:color="auto" w:fill="auto"/>
          </w:tcPr>
          <w:p w:rsidR="00904DD5" w:rsidRPr="00904DD5" w:rsidRDefault="00904DD5" w:rsidP="009F3BAB">
            <w:pPr>
              <w:tabs>
                <w:tab w:val="left" w:pos="274"/>
                <w:tab w:val="decimal" w:pos="649"/>
              </w:tabs>
              <w:rPr>
                <w:sz w:val="22"/>
                <w:szCs w:val="22"/>
              </w:rPr>
            </w:pPr>
            <w:r w:rsidRPr="00904DD5">
              <w:rPr>
                <w:sz w:val="22"/>
                <w:szCs w:val="22"/>
              </w:rPr>
              <w:tab/>
            </w:r>
            <w:r w:rsidRPr="00904DD5">
              <w:rPr>
                <w:sz w:val="22"/>
                <w:szCs w:val="22"/>
              </w:rPr>
              <w:tab/>
            </w:r>
            <w:r w:rsidRPr="00904DD5">
              <w:rPr>
                <w:sz w:val="22"/>
                <w:szCs w:val="22"/>
                <w:u w:val="double"/>
              </w:rPr>
              <w:t>100</w:t>
            </w:r>
            <w:r w:rsidRPr="00904DD5">
              <w:rPr>
                <w:sz w:val="22"/>
                <w:szCs w:val="22"/>
              </w:rPr>
              <w:t>%</w:t>
            </w:r>
          </w:p>
        </w:tc>
        <w:tc>
          <w:tcPr>
            <w:tcW w:w="1108" w:type="dxa"/>
            <w:gridSpan w:val="2"/>
            <w:shd w:val="clear" w:color="auto" w:fill="auto"/>
          </w:tcPr>
          <w:p w:rsidR="00904DD5" w:rsidRPr="00904DD5" w:rsidRDefault="00904DD5" w:rsidP="009F3BAB">
            <w:pPr>
              <w:tabs>
                <w:tab w:val="left" w:pos="210"/>
                <w:tab w:val="decimal" w:pos="600"/>
              </w:tabs>
              <w:rPr>
                <w:sz w:val="22"/>
                <w:szCs w:val="22"/>
              </w:rPr>
            </w:pPr>
            <w:r w:rsidRPr="00904DD5">
              <w:rPr>
                <w:sz w:val="22"/>
                <w:szCs w:val="22"/>
              </w:rPr>
              <w:tab/>
            </w:r>
            <w:r w:rsidRPr="00904DD5">
              <w:rPr>
                <w:sz w:val="22"/>
                <w:szCs w:val="22"/>
              </w:rPr>
              <w:tab/>
            </w:r>
            <w:r w:rsidRPr="00904DD5">
              <w:rPr>
                <w:sz w:val="22"/>
                <w:szCs w:val="22"/>
                <w:u w:val="double"/>
              </w:rPr>
              <w:t>100</w:t>
            </w:r>
            <w:r w:rsidRPr="00904DD5">
              <w:rPr>
                <w:sz w:val="22"/>
                <w:szCs w:val="22"/>
              </w:rPr>
              <w:t>%</w:t>
            </w:r>
          </w:p>
        </w:tc>
        <w:tc>
          <w:tcPr>
            <w:tcW w:w="1222" w:type="dxa"/>
            <w:gridSpan w:val="2"/>
            <w:shd w:val="clear" w:color="auto" w:fill="auto"/>
          </w:tcPr>
          <w:p w:rsidR="00904DD5" w:rsidRPr="00904DD5" w:rsidRDefault="00904DD5" w:rsidP="009F3BAB">
            <w:pPr>
              <w:tabs>
                <w:tab w:val="left" w:pos="263"/>
                <w:tab w:val="decimal" w:pos="638"/>
              </w:tabs>
              <w:rPr>
                <w:sz w:val="22"/>
                <w:szCs w:val="22"/>
              </w:rPr>
            </w:pPr>
            <w:r w:rsidRPr="00904DD5">
              <w:rPr>
                <w:sz w:val="22"/>
                <w:szCs w:val="22"/>
              </w:rPr>
              <w:tab/>
            </w:r>
            <w:r w:rsidRPr="00904DD5">
              <w:rPr>
                <w:sz w:val="22"/>
                <w:szCs w:val="22"/>
              </w:rPr>
              <w:tab/>
            </w:r>
            <w:r w:rsidRPr="00904DD5">
              <w:rPr>
                <w:sz w:val="22"/>
                <w:szCs w:val="22"/>
                <w:u w:val="double"/>
              </w:rPr>
              <w:t>100</w:t>
            </w:r>
            <w:r w:rsidRPr="00904DD5">
              <w:rPr>
                <w:sz w:val="22"/>
                <w:szCs w:val="22"/>
              </w:rPr>
              <w:t>%</w:t>
            </w:r>
          </w:p>
        </w:tc>
        <w:tc>
          <w:tcPr>
            <w:tcW w:w="1108" w:type="dxa"/>
            <w:gridSpan w:val="2"/>
            <w:shd w:val="clear" w:color="auto" w:fill="auto"/>
          </w:tcPr>
          <w:p w:rsidR="00904DD5" w:rsidRPr="00904DD5" w:rsidRDefault="00904DD5" w:rsidP="009F3BAB">
            <w:pPr>
              <w:tabs>
                <w:tab w:val="left" w:pos="142"/>
                <w:tab w:val="decimal" w:pos="550"/>
              </w:tabs>
              <w:rPr>
                <w:sz w:val="22"/>
                <w:szCs w:val="22"/>
              </w:rPr>
            </w:pPr>
            <w:r w:rsidRPr="00904DD5">
              <w:rPr>
                <w:sz w:val="22"/>
                <w:szCs w:val="22"/>
              </w:rPr>
              <w:tab/>
            </w:r>
            <w:r w:rsidRPr="00904DD5">
              <w:rPr>
                <w:sz w:val="22"/>
                <w:szCs w:val="22"/>
              </w:rPr>
              <w:tab/>
            </w:r>
            <w:r w:rsidRPr="00904DD5">
              <w:rPr>
                <w:sz w:val="22"/>
                <w:szCs w:val="22"/>
                <w:u w:val="double"/>
              </w:rPr>
              <w:t>100</w:t>
            </w:r>
            <w:r w:rsidRPr="00904DD5">
              <w:rPr>
                <w:sz w:val="22"/>
                <w:szCs w:val="22"/>
              </w:rPr>
              <w:t>%</w:t>
            </w: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360"/>
              </w:tabs>
              <w:jc w:val="both"/>
              <w:rPr>
                <w:sz w:val="22"/>
                <w:szCs w:val="22"/>
              </w:rPr>
            </w:pPr>
          </w:p>
        </w:tc>
        <w:tc>
          <w:tcPr>
            <w:tcW w:w="1222" w:type="dxa"/>
            <w:gridSpan w:val="2"/>
            <w:shd w:val="clear" w:color="auto" w:fill="auto"/>
          </w:tcPr>
          <w:p w:rsidR="00904DD5" w:rsidRPr="00904DD5" w:rsidRDefault="00904DD5" w:rsidP="009F3BAB">
            <w:pPr>
              <w:tabs>
                <w:tab w:val="left" w:pos="162"/>
                <w:tab w:val="decimal" w:pos="537"/>
              </w:tabs>
              <w:rPr>
                <w:sz w:val="22"/>
                <w:szCs w:val="22"/>
              </w:rPr>
            </w:pPr>
          </w:p>
        </w:tc>
        <w:tc>
          <w:tcPr>
            <w:tcW w:w="1118" w:type="dxa"/>
            <w:gridSpan w:val="2"/>
            <w:shd w:val="clear" w:color="auto" w:fill="auto"/>
          </w:tcPr>
          <w:p w:rsidR="00904DD5" w:rsidRPr="00904DD5" w:rsidRDefault="00904DD5" w:rsidP="009F3BAB">
            <w:pPr>
              <w:tabs>
                <w:tab w:val="left" w:pos="170"/>
                <w:tab w:val="decimal" w:pos="533"/>
              </w:tabs>
              <w:rPr>
                <w:sz w:val="22"/>
                <w:szCs w:val="22"/>
              </w:rPr>
            </w:pPr>
          </w:p>
        </w:tc>
        <w:tc>
          <w:tcPr>
            <w:tcW w:w="1222" w:type="dxa"/>
            <w:gridSpan w:val="2"/>
            <w:shd w:val="clear" w:color="auto" w:fill="auto"/>
          </w:tcPr>
          <w:p w:rsidR="00904DD5" w:rsidRPr="00904DD5" w:rsidRDefault="00904DD5" w:rsidP="009F3BAB">
            <w:pPr>
              <w:tabs>
                <w:tab w:val="left" w:pos="274"/>
                <w:tab w:val="decimal" w:pos="649"/>
              </w:tabs>
              <w:rPr>
                <w:sz w:val="22"/>
                <w:szCs w:val="22"/>
              </w:rPr>
            </w:pPr>
          </w:p>
        </w:tc>
        <w:tc>
          <w:tcPr>
            <w:tcW w:w="1108" w:type="dxa"/>
            <w:gridSpan w:val="2"/>
            <w:shd w:val="clear" w:color="auto" w:fill="auto"/>
          </w:tcPr>
          <w:p w:rsidR="00904DD5" w:rsidRPr="00904DD5" w:rsidRDefault="00904DD5" w:rsidP="009F3BAB">
            <w:pPr>
              <w:tabs>
                <w:tab w:val="left" w:pos="210"/>
                <w:tab w:val="decimal" w:pos="600"/>
              </w:tabs>
              <w:rPr>
                <w:sz w:val="22"/>
                <w:szCs w:val="22"/>
              </w:rPr>
            </w:pPr>
          </w:p>
        </w:tc>
        <w:tc>
          <w:tcPr>
            <w:tcW w:w="1222" w:type="dxa"/>
            <w:gridSpan w:val="2"/>
            <w:shd w:val="clear" w:color="auto" w:fill="auto"/>
          </w:tcPr>
          <w:p w:rsidR="00904DD5" w:rsidRPr="00904DD5" w:rsidRDefault="00904DD5" w:rsidP="009F3BAB">
            <w:pPr>
              <w:tabs>
                <w:tab w:val="left" w:pos="263"/>
                <w:tab w:val="decimal" w:pos="638"/>
              </w:tabs>
              <w:rPr>
                <w:sz w:val="22"/>
                <w:szCs w:val="22"/>
              </w:rPr>
            </w:pPr>
          </w:p>
        </w:tc>
        <w:tc>
          <w:tcPr>
            <w:tcW w:w="1108" w:type="dxa"/>
            <w:gridSpan w:val="2"/>
            <w:shd w:val="clear" w:color="auto" w:fill="auto"/>
          </w:tcPr>
          <w:p w:rsidR="00904DD5" w:rsidRPr="00904DD5" w:rsidRDefault="00904DD5" w:rsidP="009F3BAB">
            <w:pPr>
              <w:tabs>
                <w:tab w:val="left" w:pos="142"/>
                <w:tab w:val="decimal" w:pos="550"/>
              </w:tabs>
              <w:rPr>
                <w:sz w:val="22"/>
                <w:szCs w:val="22"/>
              </w:rPr>
            </w:pP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360"/>
              </w:tabs>
              <w:ind w:left="72" w:firstLine="90"/>
              <w:jc w:val="both"/>
              <w:rPr>
                <w:sz w:val="22"/>
                <w:szCs w:val="22"/>
              </w:rPr>
            </w:pPr>
            <w:r w:rsidRPr="00904DD5">
              <w:rPr>
                <w:sz w:val="22"/>
                <w:szCs w:val="22"/>
              </w:rPr>
              <w:t>Occupancy</w:t>
            </w:r>
          </w:p>
        </w:tc>
        <w:tc>
          <w:tcPr>
            <w:tcW w:w="1222" w:type="dxa"/>
            <w:gridSpan w:val="2"/>
            <w:shd w:val="clear" w:color="auto" w:fill="auto"/>
          </w:tcPr>
          <w:p w:rsidR="00904DD5" w:rsidRPr="00904DD5" w:rsidRDefault="00904DD5" w:rsidP="009F3BAB">
            <w:pPr>
              <w:tabs>
                <w:tab w:val="left" w:pos="162"/>
                <w:tab w:val="decimal" w:pos="537"/>
              </w:tabs>
              <w:rPr>
                <w:sz w:val="22"/>
                <w:szCs w:val="22"/>
              </w:rPr>
            </w:pPr>
            <w:r w:rsidRPr="00904DD5">
              <w:rPr>
                <w:sz w:val="22"/>
                <w:szCs w:val="22"/>
              </w:rPr>
              <w:tab/>
            </w:r>
            <w:r w:rsidRPr="00904DD5">
              <w:rPr>
                <w:sz w:val="22"/>
                <w:szCs w:val="22"/>
              </w:rPr>
              <w:tab/>
              <w:t>98%</w:t>
            </w:r>
          </w:p>
        </w:tc>
        <w:tc>
          <w:tcPr>
            <w:tcW w:w="1118" w:type="dxa"/>
            <w:gridSpan w:val="2"/>
            <w:shd w:val="clear" w:color="auto" w:fill="auto"/>
          </w:tcPr>
          <w:p w:rsidR="00904DD5" w:rsidRPr="00904DD5" w:rsidRDefault="00904DD5" w:rsidP="009F3BAB">
            <w:pPr>
              <w:tabs>
                <w:tab w:val="left" w:pos="170"/>
                <w:tab w:val="decimal" w:pos="533"/>
              </w:tabs>
              <w:rPr>
                <w:sz w:val="22"/>
                <w:szCs w:val="22"/>
              </w:rPr>
            </w:pPr>
            <w:r w:rsidRPr="00904DD5">
              <w:rPr>
                <w:sz w:val="22"/>
                <w:szCs w:val="22"/>
              </w:rPr>
              <w:tab/>
            </w:r>
            <w:r w:rsidRPr="00904DD5">
              <w:rPr>
                <w:sz w:val="22"/>
                <w:szCs w:val="22"/>
              </w:rPr>
              <w:tab/>
              <w:t>93%</w:t>
            </w:r>
          </w:p>
        </w:tc>
        <w:tc>
          <w:tcPr>
            <w:tcW w:w="1222" w:type="dxa"/>
            <w:gridSpan w:val="2"/>
            <w:shd w:val="clear" w:color="auto" w:fill="auto"/>
          </w:tcPr>
          <w:p w:rsidR="00904DD5" w:rsidRPr="00904DD5" w:rsidRDefault="00904DD5" w:rsidP="009F3BAB">
            <w:pPr>
              <w:tabs>
                <w:tab w:val="left" w:pos="274"/>
                <w:tab w:val="decimal" w:pos="649"/>
              </w:tabs>
              <w:rPr>
                <w:sz w:val="22"/>
                <w:szCs w:val="22"/>
              </w:rPr>
            </w:pPr>
            <w:r w:rsidRPr="00904DD5">
              <w:rPr>
                <w:sz w:val="22"/>
                <w:szCs w:val="22"/>
              </w:rPr>
              <w:tab/>
            </w:r>
            <w:r w:rsidRPr="00904DD5">
              <w:rPr>
                <w:sz w:val="22"/>
                <w:szCs w:val="22"/>
              </w:rPr>
              <w:tab/>
              <w:t>94%</w:t>
            </w:r>
          </w:p>
        </w:tc>
        <w:tc>
          <w:tcPr>
            <w:tcW w:w="1108" w:type="dxa"/>
            <w:gridSpan w:val="2"/>
            <w:shd w:val="clear" w:color="auto" w:fill="auto"/>
          </w:tcPr>
          <w:p w:rsidR="00904DD5" w:rsidRPr="00904DD5" w:rsidRDefault="00904DD5" w:rsidP="009F3BAB">
            <w:pPr>
              <w:tabs>
                <w:tab w:val="left" w:pos="210"/>
                <w:tab w:val="decimal" w:pos="600"/>
              </w:tabs>
              <w:rPr>
                <w:sz w:val="22"/>
                <w:szCs w:val="22"/>
              </w:rPr>
            </w:pPr>
            <w:r w:rsidRPr="00904DD5">
              <w:rPr>
                <w:sz w:val="22"/>
                <w:szCs w:val="22"/>
              </w:rPr>
              <w:tab/>
            </w:r>
            <w:r w:rsidRPr="00904DD5">
              <w:rPr>
                <w:sz w:val="22"/>
                <w:szCs w:val="22"/>
              </w:rPr>
              <w:tab/>
              <w:t>92%</w:t>
            </w:r>
          </w:p>
        </w:tc>
        <w:tc>
          <w:tcPr>
            <w:tcW w:w="1222" w:type="dxa"/>
            <w:gridSpan w:val="2"/>
            <w:shd w:val="clear" w:color="auto" w:fill="auto"/>
          </w:tcPr>
          <w:p w:rsidR="00904DD5" w:rsidRPr="00904DD5" w:rsidRDefault="00904DD5" w:rsidP="009F3BAB">
            <w:pPr>
              <w:tabs>
                <w:tab w:val="left" w:pos="263"/>
                <w:tab w:val="decimal" w:pos="638"/>
              </w:tabs>
              <w:rPr>
                <w:sz w:val="22"/>
                <w:szCs w:val="22"/>
              </w:rPr>
            </w:pPr>
            <w:r w:rsidRPr="00904DD5">
              <w:rPr>
                <w:sz w:val="22"/>
                <w:szCs w:val="22"/>
              </w:rPr>
              <w:tab/>
            </w:r>
            <w:r w:rsidRPr="00904DD5">
              <w:rPr>
                <w:sz w:val="22"/>
                <w:szCs w:val="22"/>
              </w:rPr>
              <w:tab/>
              <w:t>95%</w:t>
            </w:r>
          </w:p>
        </w:tc>
        <w:tc>
          <w:tcPr>
            <w:tcW w:w="1108" w:type="dxa"/>
            <w:gridSpan w:val="2"/>
            <w:shd w:val="clear" w:color="auto" w:fill="auto"/>
          </w:tcPr>
          <w:p w:rsidR="00904DD5" w:rsidRPr="00904DD5" w:rsidRDefault="00904DD5" w:rsidP="009F3BAB">
            <w:pPr>
              <w:tabs>
                <w:tab w:val="left" w:pos="142"/>
                <w:tab w:val="decimal" w:pos="550"/>
              </w:tabs>
              <w:rPr>
                <w:sz w:val="22"/>
                <w:szCs w:val="22"/>
              </w:rPr>
            </w:pPr>
            <w:r w:rsidRPr="00904DD5">
              <w:rPr>
                <w:sz w:val="22"/>
                <w:szCs w:val="22"/>
              </w:rPr>
              <w:tab/>
            </w:r>
            <w:r w:rsidRPr="00904DD5">
              <w:rPr>
                <w:sz w:val="22"/>
                <w:szCs w:val="22"/>
              </w:rPr>
              <w:tab/>
              <w:t>92%</w:t>
            </w: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360"/>
              </w:tabs>
              <w:ind w:left="162"/>
              <w:jc w:val="both"/>
              <w:rPr>
                <w:sz w:val="22"/>
                <w:szCs w:val="22"/>
              </w:rPr>
            </w:pPr>
          </w:p>
        </w:tc>
        <w:tc>
          <w:tcPr>
            <w:tcW w:w="1222" w:type="dxa"/>
            <w:gridSpan w:val="2"/>
            <w:shd w:val="clear" w:color="auto" w:fill="auto"/>
          </w:tcPr>
          <w:p w:rsidR="00904DD5" w:rsidRPr="00904DD5" w:rsidRDefault="00904DD5" w:rsidP="009F3BAB">
            <w:pPr>
              <w:tabs>
                <w:tab w:val="left" w:pos="162"/>
                <w:tab w:val="decimal" w:pos="537"/>
              </w:tabs>
              <w:rPr>
                <w:sz w:val="22"/>
                <w:szCs w:val="22"/>
              </w:rPr>
            </w:pPr>
          </w:p>
        </w:tc>
        <w:tc>
          <w:tcPr>
            <w:tcW w:w="1118" w:type="dxa"/>
            <w:gridSpan w:val="2"/>
            <w:shd w:val="clear" w:color="auto" w:fill="auto"/>
          </w:tcPr>
          <w:p w:rsidR="00904DD5" w:rsidRPr="00904DD5" w:rsidRDefault="00904DD5" w:rsidP="009F3BAB">
            <w:pPr>
              <w:tabs>
                <w:tab w:val="left" w:pos="170"/>
                <w:tab w:val="decimal" w:pos="533"/>
              </w:tabs>
              <w:rPr>
                <w:sz w:val="22"/>
                <w:szCs w:val="22"/>
              </w:rPr>
            </w:pPr>
          </w:p>
        </w:tc>
        <w:tc>
          <w:tcPr>
            <w:tcW w:w="1222" w:type="dxa"/>
            <w:gridSpan w:val="2"/>
            <w:shd w:val="clear" w:color="auto" w:fill="auto"/>
          </w:tcPr>
          <w:p w:rsidR="00904DD5" w:rsidRPr="00904DD5" w:rsidRDefault="00904DD5" w:rsidP="009F3BAB">
            <w:pPr>
              <w:tabs>
                <w:tab w:val="left" w:pos="274"/>
                <w:tab w:val="decimal" w:pos="649"/>
              </w:tabs>
              <w:rPr>
                <w:sz w:val="22"/>
                <w:szCs w:val="22"/>
              </w:rPr>
            </w:pPr>
          </w:p>
        </w:tc>
        <w:tc>
          <w:tcPr>
            <w:tcW w:w="1108" w:type="dxa"/>
            <w:gridSpan w:val="2"/>
            <w:shd w:val="clear" w:color="auto" w:fill="auto"/>
          </w:tcPr>
          <w:p w:rsidR="00904DD5" w:rsidRPr="00904DD5" w:rsidRDefault="00904DD5" w:rsidP="009F3BAB">
            <w:pPr>
              <w:tabs>
                <w:tab w:val="left" w:pos="210"/>
                <w:tab w:val="decimal" w:pos="600"/>
              </w:tabs>
              <w:rPr>
                <w:sz w:val="22"/>
                <w:szCs w:val="22"/>
              </w:rPr>
            </w:pPr>
          </w:p>
        </w:tc>
        <w:tc>
          <w:tcPr>
            <w:tcW w:w="1222" w:type="dxa"/>
            <w:gridSpan w:val="2"/>
            <w:shd w:val="clear" w:color="auto" w:fill="auto"/>
          </w:tcPr>
          <w:p w:rsidR="00904DD5" w:rsidRPr="00904DD5" w:rsidRDefault="00904DD5" w:rsidP="009F3BAB">
            <w:pPr>
              <w:tabs>
                <w:tab w:val="left" w:pos="263"/>
                <w:tab w:val="decimal" w:pos="638"/>
              </w:tabs>
              <w:rPr>
                <w:sz w:val="22"/>
                <w:szCs w:val="22"/>
              </w:rPr>
            </w:pPr>
          </w:p>
        </w:tc>
        <w:tc>
          <w:tcPr>
            <w:tcW w:w="1108" w:type="dxa"/>
            <w:gridSpan w:val="2"/>
            <w:shd w:val="clear" w:color="auto" w:fill="auto"/>
          </w:tcPr>
          <w:p w:rsidR="00904DD5" w:rsidRPr="00904DD5" w:rsidRDefault="00904DD5" w:rsidP="009F3BAB">
            <w:pPr>
              <w:tabs>
                <w:tab w:val="left" w:pos="142"/>
                <w:tab w:val="decimal" w:pos="550"/>
              </w:tabs>
              <w:rPr>
                <w:sz w:val="22"/>
                <w:szCs w:val="22"/>
              </w:rPr>
            </w:pP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360"/>
              </w:tabs>
              <w:ind w:left="162"/>
              <w:jc w:val="both"/>
              <w:rPr>
                <w:sz w:val="22"/>
                <w:szCs w:val="22"/>
              </w:rPr>
            </w:pPr>
            <w:r w:rsidRPr="00904DD5">
              <w:rPr>
                <w:sz w:val="22"/>
                <w:szCs w:val="22"/>
              </w:rPr>
              <w:t>RCF - MCD</w:t>
            </w:r>
          </w:p>
        </w:tc>
        <w:tc>
          <w:tcPr>
            <w:tcW w:w="1222" w:type="dxa"/>
            <w:gridSpan w:val="2"/>
            <w:shd w:val="clear" w:color="auto" w:fill="auto"/>
          </w:tcPr>
          <w:p w:rsidR="00904DD5" w:rsidRPr="00904DD5" w:rsidRDefault="00904DD5" w:rsidP="009F3BAB">
            <w:pPr>
              <w:tabs>
                <w:tab w:val="left" w:pos="162"/>
                <w:tab w:val="decimal" w:pos="537"/>
              </w:tabs>
              <w:rPr>
                <w:sz w:val="22"/>
                <w:szCs w:val="22"/>
              </w:rPr>
            </w:pPr>
            <w:r w:rsidRPr="00904DD5">
              <w:rPr>
                <w:sz w:val="22"/>
                <w:szCs w:val="22"/>
              </w:rPr>
              <w:tab/>
            </w:r>
            <w:r w:rsidRPr="00904DD5">
              <w:rPr>
                <w:sz w:val="22"/>
                <w:szCs w:val="22"/>
              </w:rPr>
              <w:tab/>
              <w:t>87%</w:t>
            </w:r>
          </w:p>
        </w:tc>
        <w:tc>
          <w:tcPr>
            <w:tcW w:w="1118" w:type="dxa"/>
            <w:gridSpan w:val="2"/>
            <w:shd w:val="clear" w:color="auto" w:fill="auto"/>
          </w:tcPr>
          <w:p w:rsidR="00904DD5" w:rsidRPr="00904DD5" w:rsidRDefault="00904DD5" w:rsidP="009F3BAB">
            <w:pPr>
              <w:tabs>
                <w:tab w:val="left" w:pos="170"/>
                <w:tab w:val="decimal" w:pos="533"/>
              </w:tabs>
              <w:rPr>
                <w:sz w:val="22"/>
                <w:szCs w:val="22"/>
              </w:rPr>
            </w:pPr>
            <w:r w:rsidRPr="00904DD5">
              <w:rPr>
                <w:sz w:val="22"/>
                <w:szCs w:val="22"/>
              </w:rPr>
              <w:tab/>
            </w:r>
            <w:r w:rsidRPr="00904DD5">
              <w:rPr>
                <w:sz w:val="22"/>
                <w:szCs w:val="22"/>
              </w:rPr>
              <w:tab/>
              <w:t>90%</w:t>
            </w:r>
          </w:p>
        </w:tc>
        <w:tc>
          <w:tcPr>
            <w:tcW w:w="1222" w:type="dxa"/>
            <w:gridSpan w:val="2"/>
            <w:shd w:val="clear" w:color="auto" w:fill="auto"/>
          </w:tcPr>
          <w:p w:rsidR="00904DD5" w:rsidRPr="00904DD5" w:rsidRDefault="00904DD5" w:rsidP="009F3BAB">
            <w:pPr>
              <w:tabs>
                <w:tab w:val="left" w:pos="274"/>
                <w:tab w:val="decimal" w:pos="649"/>
              </w:tabs>
              <w:rPr>
                <w:sz w:val="22"/>
                <w:szCs w:val="22"/>
              </w:rPr>
            </w:pPr>
            <w:r w:rsidRPr="00904DD5">
              <w:rPr>
                <w:sz w:val="22"/>
                <w:szCs w:val="22"/>
              </w:rPr>
              <w:tab/>
            </w:r>
            <w:r w:rsidRPr="00904DD5">
              <w:rPr>
                <w:sz w:val="22"/>
                <w:szCs w:val="22"/>
              </w:rPr>
              <w:tab/>
              <w:t>87%</w:t>
            </w:r>
          </w:p>
        </w:tc>
        <w:tc>
          <w:tcPr>
            <w:tcW w:w="1108" w:type="dxa"/>
            <w:gridSpan w:val="2"/>
            <w:shd w:val="clear" w:color="auto" w:fill="auto"/>
          </w:tcPr>
          <w:p w:rsidR="00904DD5" w:rsidRPr="00904DD5" w:rsidRDefault="00904DD5" w:rsidP="009F3BAB">
            <w:pPr>
              <w:tabs>
                <w:tab w:val="left" w:pos="210"/>
                <w:tab w:val="decimal" w:pos="600"/>
              </w:tabs>
              <w:rPr>
                <w:sz w:val="22"/>
                <w:szCs w:val="22"/>
              </w:rPr>
            </w:pPr>
            <w:r w:rsidRPr="00904DD5">
              <w:rPr>
                <w:sz w:val="22"/>
                <w:szCs w:val="22"/>
              </w:rPr>
              <w:tab/>
            </w:r>
            <w:r w:rsidRPr="00904DD5">
              <w:rPr>
                <w:sz w:val="22"/>
                <w:szCs w:val="22"/>
              </w:rPr>
              <w:tab/>
              <w:t>91%</w:t>
            </w:r>
          </w:p>
        </w:tc>
        <w:tc>
          <w:tcPr>
            <w:tcW w:w="1222" w:type="dxa"/>
            <w:gridSpan w:val="2"/>
            <w:shd w:val="clear" w:color="auto" w:fill="auto"/>
          </w:tcPr>
          <w:p w:rsidR="00904DD5" w:rsidRPr="00904DD5" w:rsidRDefault="00904DD5" w:rsidP="009F3BAB">
            <w:pPr>
              <w:tabs>
                <w:tab w:val="left" w:pos="263"/>
                <w:tab w:val="decimal" w:pos="638"/>
              </w:tabs>
              <w:rPr>
                <w:sz w:val="22"/>
                <w:szCs w:val="22"/>
              </w:rPr>
            </w:pPr>
            <w:r w:rsidRPr="00904DD5">
              <w:rPr>
                <w:sz w:val="22"/>
                <w:szCs w:val="22"/>
              </w:rPr>
              <w:tab/>
            </w:r>
            <w:r w:rsidRPr="00904DD5">
              <w:rPr>
                <w:sz w:val="22"/>
                <w:szCs w:val="22"/>
              </w:rPr>
              <w:tab/>
              <w:t>89%</w:t>
            </w:r>
          </w:p>
        </w:tc>
        <w:tc>
          <w:tcPr>
            <w:tcW w:w="1108" w:type="dxa"/>
            <w:gridSpan w:val="2"/>
            <w:shd w:val="clear" w:color="auto" w:fill="auto"/>
          </w:tcPr>
          <w:p w:rsidR="00904DD5" w:rsidRPr="00904DD5" w:rsidRDefault="00904DD5" w:rsidP="009F3BAB">
            <w:pPr>
              <w:tabs>
                <w:tab w:val="left" w:pos="142"/>
                <w:tab w:val="decimal" w:pos="550"/>
              </w:tabs>
              <w:rPr>
                <w:sz w:val="22"/>
                <w:szCs w:val="22"/>
              </w:rPr>
            </w:pPr>
            <w:r w:rsidRPr="00904DD5">
              <w:rPr>
                <w:sz w:val="22"/>
                <w:szCs w:val="22"/>
              </w:rPr>
              <w:tab/>
            </w:r>
            <w:r w:rsidRPr="00904DD5">
              <w:rPr>
                <w:sz w:val="22"/>
                <w:szCs w:val="22"/>
              </w:rPr>
              <w:tab/>
              <w:t>91%</w:t>
            </w: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360"/>
              </w:tabs>
              <w:ind w:left="162" w:right="-38"/>
              <w:jc w:val="both"/>
              <w:rPr>
                <w:sz w:val="22"/>
                <w:szCs w:val="22"/>
              </w:rPr>
            </w:pPr>
            <w:r w:rsidRPr="00904DD5">
              <w:rPr>
                <w:sz w:val="22"/>
                <w:szCs w:val="22"/>
              </w:rPr>
              <w:t>RCF - Other</w:t>
            </w:r>
          </w:p>
        </w:tc>
        <w:tc>
          <w:tcPr>
            <w:tcW w:w="1222" w:type="dxa"/>
            <w:gridSpan w:val="2"/>
            <w:shd w:val="clear" w:color="auto" w:fill="auto"/>
          </w:tcPr>
          <w:p w:rsidR="00904DD5" w:rsidRPr="00904DD5" w:rsidRDefault="00904DD5" w:rsidP="009F3BAB">
            <w:pPr>
              <w:tabs>
                <w:tab w:val="left" w:pos="162"/>
                <w:tab w:val="decimal" w:pos="537"/>
              </w:tabs>
              <w:rPr>
                <w:sz w:val="22"/>
                <w:szCs w:val="22"/>
                <w:u w:val="single"/>
              </w:rPr>
            </w:pPr>
            <w:r w:rsidRPr="00904DD5">
              <w:rPr>
                <w:sz w:val="22"/>
                <w:szCs w:val="22"/>
              </w:rPr>
              <w:tab/>
            </w:r>
            <w:r w:rsidRPr="00904DD5">
              <w:rPr>
                <w:sz w:val="22"/>
                <w:szCs w:val="22"/>
                <w:u w:val="single"/>
              </w:rPr>
              <w:tab/>
              <w:t>13</w:t>
            </w:r>
          </w:p>
        </w:tc>
        <w:tc>
          <w:tcPr>
            <w:tcW w:w="1118" w:type="dxa"/>
            <w:gridSpan w:val="2"/>
            <w:shd w:val="clear" w:color="auto" w:fill="auto"/>
          </w:tcPr>
          <w:p w:rsidR="00904DD5" w:rsidRPr="00904DD5" w:rsidRDefault="00904DD5" w:rsidP="009F3BAB">
            <w:pPr>
              <w:tabs>
                <w:tab w:val="left" w:pos="170"/>
                <w:tab w:val="decimal" w:pos="533"/>
              </w:tabs>
              <w:rPr>
                <w:sz w:val="22"/>
                <w:szCs w:val="22"/>
                <w:u w:val="single"/>
              </w:rPr>
            </w:pPr>
            <w:r w:rsidRPr="00904DD5">
              <w:rPr>
                <w:sz w:val="22"/>
                <w:szCs w:val="22"/>
              </w:rPr>
              <w:tab/>
            </w:r>
            <w:r w:rsidRPr="00904DD5">
              <w:rPr>
                <w:sz w:val="22"/>
                <w:szCs w:val="22"/>
                <w:u w:val="single"/>
              </w:rPr>
              <w:tab/>
              <w:t>10</w:t>
            </w:r>
          </w:p>
        </w:tc>
        <w:tc>
          <w:tcPr>
            <w:tcW w:w="1222" w:type="dxa"/>
            <w:gridSpan w:val="2"/>
            <w:shd w:val="clear" w:color="auto" w:fill="auto"/>
          </w:tcPr>
          <w:p w:rsidR="00904DD5" w:rsidRPr="00904DD5" w:rsidRDefault="00904DD5" w:rsidP="009F3BAB">
            <w:pPr>
              <w:tabs>
                <w:tab w:val="left" w:pos="274"/>
                <w:tab w:val="decimal" w:pos="649"/>
              </w:tabs>
              <w:rPr>
                <w:sz w:val="22"/>
                <w:szCs w:val="22"/>
                <w:u w:val="single"/>
              </w:rPr>
            </w:pPr>
            <w:r w:rsidRPr="00904DD5">
              <w:rPr>
                <w:sz w:val="22"/>
                <w:szCs w:val="22"/>
              </w:rPr>
              <w:tab/>
            </w:r>
            <w:r w:rsidRPr="00904DD5">
              <w:rPr>
                <w:sz w:val="22"/>
                <w:szCs w:val="22"/>
                <w:u w:val="single"/>
              </w:rPr>
              <w:tab/>
              <w:t>13</w:t>
            </w:r>
          </w:p>
        </w:tc>
        <w:tc>
          <w:tcPr>
            <w:tcW w:w="1108" w:type="dxa"/>
            <w:gridSpan w:val="2"/>
            <w:shd w:val="clear" w:color="auto" w:fill="auto"/>
          </w:tcPr>
          <w:p w:rsidR="00904DD5" w:rsidRPr="00904DD5" w:rsidRDefault="00904DD5" w:rsidP="009F3BAB">
            <w:pPr>
              <w:tabs>
                <w:tab w:val="left" w:pos="210"/>
                <w:tab w:val="decimal" w:pos="600"/>
              </w:tabs>
              <w:rPr>
                <w:sz w:val="22"/>
                <w:szCs w:val="22"/>
                <w:u w:val="single"/>
              </w:rPr>
            </w:pPr>
            <w:r w:rsidRPr="00904DD5">
              <w:rPr>
                <w:sz w:val="22"/>
                <w:szCs w:val="22"/>
              </w:rPr>
              <w:tab/>
            </w:r>
            <w:r w:rsidRPr="00904DD5">
              <w:rPr>
                <w:sz w:val="22"/>
                <w:szCs w:val="22"/>
                <w:u w:val="single"/>
              </w:rPr>
              <w:tab/>
              <w:t>9</w:t>
            </w:r>
          </w:p>
        </w:tc>
        <w:tc>
          <w:tcPr>
            <w:tcW w:w="1222" w:type="dxa"/>
            <w:gridSpan w:val="2"/>
            <w:shd w:val="clear" w:color="auto" w:fill="auto"/>
          </w:tcPr>
          <w:p w:rsidR="00904DD5" w:rsidRPr="00904DD5" w:rsidRDefault="00904DD5" w:rsidP="009F3BAB">
            <w:pPr>
              <w:tabs>
                <w:tab w:val="left" w:pos="263"/>
                <w:tab w:val="decimal" w:pos="638"/>
              </w:tabs>
              <w:rPr>
                <w:sz w:val="22"/>
                <w:szCs w:val="22"/>
                <w:u w:val="single"/>
              </w:rPr>
            </w:pPr>
            <w:r w:rsidRPr="00904DD5">
              <w:rPr>
                <w:sz w:val="22"/>
                <w:szCs w:val="22"/>
              </w:rPr>
              <w:tab/>
            </w:r>
            <w:r w:rsidRPr="00904DD5">
              <w:rPr>
                <w:sz w:val="22"/>
                <w:szCs w:val="22"/>
                <w:u w:val="single"/>
              </w:rPr>
              <w:tab/>
              <w:t>11</w:t>
            </w:r>
          </w:p>
        </w:tc>
        <w:tc>
          <w:tcPr>
            <w:tcW w:w="1108" w:type="dxa"/>
            <w:gridSpan w:val="2"/>
            <w:shd w:val="clear" w:color="auto" w:fill="auto"/>
          </w:tcPr>
          <w:p w:rsidR="00904DD5" w:rsidRPr="00904DD5" w:rsidRDefault="00904DD5" w:rsidP="009F3BAB">
            <w:pPr>
              <w:tabs>
                <w:tab w:val="left" w:pos="142"/>
                <w:tab w:val="decimal" w:pos="550"/>
              </w:tabs>
              <w:rPr>
                <w:sz w:val="22"/>
                <w:szCs w:val="22"/>
                <w:u w:val="single"/>
              </w:rPr>
            </w:pPr>
            <w:r w:rsidRPr="00904DD5">
              <w:rPr>
                <w:sz w:val="22"/>
                <w:szCs w:val="22"/>
              </w:rPr>
              <w:tab/>
            </w:r>
            <w:r w:rsidRPr="00904DD5">
              <w:rPr>
                <w:sz w:val="22"/>
                <w:szCs w:val="22"/>
                <w:u w:val="single"/>
              </w:rPr>
              <w:tab/>
              <w:t>9</w:t>
            </w: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360"/>
              </w:tabs>
              <w:jc w:val="both"/>
              <w:rPr>
                <w:sz w:val="22"/>
                <w:szCs w:val="22"/>
              </w:rPr>
            </w:pPr>
          </w:p>
        </w:tc>
        <w:tc>
          <w:tcPr>
            <w:tcW w:w="1222" w:type="dxa"/>
            <w:gridSpan w:val="2"/>
            <w:shd w:val="clear" w:color="auto" w:fill="auto"/>
          </w:tcPr>
          <w:p w:rsidR="00904DD5" w:rsidRPr="00904DD5" w:rsidRDefault="00904DD5" w:rsidP="009F3BAB">
            <w:pPr>
              <w:tabs>
                <w:tab w:val="left" w:pos="162"/>
                <w:tab w:val="decimal" w:pos="537"/>
              </w:tabs>
              <w:rPr>
                <w:sz w:val="22"/>
                <w:szCs w:val="22"/>
              </w:rPr>
            </w:pPr>
          </w:p>
        </w:tc>
        <w:tc>
          <w:tcPr>
            <w:tcW w:w="1118" w:type="dxa"/>
            <w:gridSpan w:val="2"/>
            <w:shd w:val="clear" w:color="auto" w:fill="auto"/>
          </w:tcPr>
          <w:p w:rsidR="00904DD5" w:rsidRPr="00904DD5" w:rsidRDefault="00904DD5" w:rsidP="009F3BAB">
            <w:pPr>
              <w:tabs>
                <w:tab w:val="left" w:pos="170"/>
                <w:tab w:val="decimal" w:pos="533"/>
              </w:tabs>
              <w:rPr>
                <w:sz w:val="22"/>
                <w:szCs w:val="22"/>
              </w:rPr>
            </w:pPr>
          </w:p>
        </w:tc>
        <w:tc>
          <w:tcPr>
            <w:tcW w:w="1222" w:type="dxa"/>
            <w:gridSpan w:val="2"/>
            <w:shd w:val="clear" w:color="auto" w:fill="auto"/>
          </w:tcPr>
          <w:p w:rsidR="00904DD5" w:rsidRPr="00904DD5" w:rsidRDefault="00904DD5" w:rsidP="009F3BAB">
            <w:pPr>
              <w:tabs>
                <w:tab w:val="left" w:pos="274"/>
                <w:tab w:val="decimal" w:pos="649"/>
              </w:tabs>
              <w:rPr>
                <w:sz w:val="22"/>
                <w:szCs w:val="22"/>
              </w:rPr>
            </w:pPr>
          </w:p>
        </w:tc>
        <w:tc>
          <w:tcPr>
            <w:tcW w:w="1108" w:type="dxa"/>
            <w:gridSpan w:val="2"/>
            <w:shd w:val="clear" w:color="auto" w:fill="auto"/>
          </w:tcPr>
          <w:p w:rsidR="00904DD5" w:rsidRPr="00904DD5" w:rsidRDefault="00904DD5" w:rsidP="009F3BAB">
            <w:pPr>
              <w:tabs>
                <w:tab w:val="left" w:pos="210"/>
                <w:tab w:val="decimal" w:pos="600"/>
              </w:tabs>
              <w:rPr>
                <w:sz w:val="22"/>
                <w:szCs w:val="22"/>
              </w:rPr>
            </w:pPr>
          </w:p>
        </w:tc>
        <w:tc>
          <w:tcPr>
            <w:tcW w:w="1222" w:type="dxa"/>
            <w:gridSpan w:val="2"/>
            <w:shd w:val="clear" w:color="auto" w:fill="auto"/>
          </w:tcPr>
          <w:p w:rsidR="00904DD5" w:rsidRPr="00904DD5" w:rsidRDefault="00904DD5" w:rsidP="009F3BAB">
            <w:pPr>
              <w:tabs>
                <w:tab w:val="left" w:pos="263"/>
                <w:tab w:val="decimal" w:pos="638"/>
              </w:tabs>
              <w:rPr>
                <w:sz w:val="22"/>
                <w:szCs w:val="22"/>
              </w:rPr>
            </w:pPr>
          </w:p>
        </w:tc>
        <w:tc>
          <w:tcPr>
            <w:tcW w:w="1108" w:type="dxa"/>
            <w:gridSpan w:val="2"/>
            <w:shd w:val="clear" w:color="auto" w:fill="auto"/>
          </w:tcPr>
          <w:p w:rsidR="00904DD5" w:rsidRPr="00904DD5" w:rsidRDefault="00904DD5" w:rsidP="009F3BAB">
            <w:pPr>
              <w:tabs>
                <w:tab w:val="left" w:pos="142"/>
                <w:tab w:val="decimal" w:pos="550"/>
              </w:tabs>
              <w:rPr>
                <w:sz w:val="22"/>
                <w:szCs w:val="22"/>
              </w:rPr>
            </w:pP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360"/>
              </w:tabs>
              <w:ind w:left="72" w:hanging="72"/>
              <w:jc w:val="both"/>
              <w:rPr>
                <w:sz w:val="22"/>
                <w:szCs w:val="22"/>
              </w:rPr>
            </w:pPr>
            <w:r w:rsidRPr="00904DD5">
              <w:rPr>
                <w:sz w:val="22"/>
                <w:szCs w:val="22"/>
              </w:rPr>
              <w:tab/>
            </w:r>
            <w:r w:rsidRPr="00904DD5">
              <w:rPr>
                <w:sz w:val="22"/>
                <w:szCs w:val="22"/>
              </w:rPr>
              <w:tab/>
              <w:t>Total</w:t>
            </w:r>
          </w:p>
        </w:tc>
        <w:tc>
          <w:tcPr>
            <w:tcW w:w="1222" w:type="dxa"/>
            <w:gridSpan w:val="2"/>
            <w:shd w:val="clear" w:color="auto" w:fill="auto"/>
          </w:tcPr>
          <w:p w:rsidR="00904DD5" w:rsidRPr="00904DD5" w:rsidRDefault="00904DD5" w:rsidP="009F3BAB">
            <w:pPr>
              <w:tabs>
                <w:tab w:val="left" w:pos="162"/>
                <w:tab w:val="decimal" w:pos="537"/>
              </w:tabs>
              <w:rPr>
                <w:sz w:val="22"/>
                <w:szCs w:val="22"/>
              </w:rPr>
            </w:pPr>
            <w:r w:rsidRPr="00904DD5">
              <w:rPr>
                <w:sz w:val="22"/>
                <w:szCs w:val="22"/>
              </w:rPr>
              <w:tab/>
            </w:r>
            <w:r w:rsidRPr="00904DD5">
              <w:rPr>
                <w:sz w:val="22"/>
                <w:szCs w:val="22"/>
                <w:u w:val="double"/>
              </w:rPr>
              <w:tab/>
              <w:t>100</w:t>
            </w:r>
            <w:r w:rsidRPr="00904DD5">
              <w:rPr>
                <w:sz w:val="22"/>
                <w:szCs w:val="22"/>
              </w:rPr>
              <w:t>%</w:t>
            </w:r>
          </w:p>
        </w:tc>
        <w:tc>
          <w:tcPr>
            <w:tcW w:w="1118" w:type="dxa"/>
            <w:gridSpan w:val="2"/>
            <w:shd w:val="clear" w:color="auto" w:fill="auto"/>
          </w:tcPr>
          <w:p w:rsidR="00904DD5" w:rsidRPr="00904DD5" w:rsidRDefault="00904DD5" w:rsidP="009F3BAB">
            <w:pPr>
              <w:tabs>
                <w:tab w:val="left" w:pos="170"/>
                <w:tab w:val="decimal" w:pos="533"/>
              </w:tabs>
              <w:rPr>
                <w:sz w:val="22"/>
                <w:szCs w:val="22"/>
              </w:rPr>
            </w:pPr>
            <w:r w:rsidRPr="00904DD5">
              <w:rPr>
                <w:sz w:val="22"/>
                <w:szCs w:val="22"/>
              </w:rPr>
              <w:tab/>
            </w:r>
            <w:r w:rsidRPr="00904DD5">
              <w:rPr>
                <w:sz w:val="22"/>
                <w:szCs w:val="22"/>
              </w:rPr>
              <w:tab/>
            </w:r>
            <w:r w:rsidRPr="00904DD5">
              <w:rPr>
                <w:sz w:val="22"/>
                <w:szCs w:val="22"/>
                <w:u w:val="double"/>
              </w:rPr>
              <w:t>100</w:t>
            </w:r>
            <w:r w:rsidRPr="00904DD5">
              <w:rPr>
                <w:sz w:val="22"/>
                <w:szCs w:val="22"/>
              </w:rPr>
              <w:t>%</w:t>
            </w:r>
          </w:p>
        </w:tc>
        <w:tc>
          <w:tcPr>
            <w:tcW w:w="1222" w:type="dxa"/>
            <w:gridSpan w:val="2"/>
            <w:shd w:val="clear" w:color="auto" w:fill="auto"/>
          </w:tcPr>
          <w:p w:rsidR="00904DD5" w:rsidRPr="00904DD5" w:rsidRDefault="00904DD5" w:rsidP="009F3BAB">
            <w:pPr>
              <w:tabs>
                <w:tab w:val="left" w:pos="274"/>
                <w:tab w:val="decimal" w:pos="649"/>
              </w:tabs>
              <w:rPr>
                <w:sz w:val="22"/>
                <w:szCs w:val="22"/>
              </w:rPr>
            </w:pPr>
            <w:r w:rsidRPr="00904DD5">
              <w:rPr>
                <w:sz w:val="22"/>
                <w:szCs w:val="22"/>
              </w:rPr>
              <w:tab/>
            </w:r>
            <w:r w:rsidRPr="00904DD5">
              <w:rPr>
                <w:sz w:val="22"/>
                <w:szCs w:val="22"/>
              </w:rPr>
              <w:tab/>
            </w:r>
            <w:r w:rsidRPr="00904DD5">
              <w:rPr>
                <w:sz w:val="22"/>
                <w:szCs w:val="22"/>
                <w:u w:val="double"/>
              </w:rPr>
              <w:t>100</w:t>
            </w:r>
            <w:r w:rsidRPr="00904DD5">
              <w:rPr>
                <w:sz w:val="22"/>
                <w:szCs w:val="22"/>
              </w:rPr>
              <w:t>%</w:t>
            </w:r>
          </w:p>
        </w:tc>
        <w:tc>
          <w:tcPr>
            <w:tcW w:w="1108" w:type="dxa"/>
            <w:gridSpan w:val="2"/>
            <w:shd w:val="clear" w:color="auto" w:fill="auto"/>
          </w:tcPr>
          <w:p w:rsidR="00904DD5" w:rsidRPr="00904DD5" w:rsidRDefault="00904DD5" w:rsidP="009F3BAB">
            <w:pPr>
              <w:tabs>
                <w:tab w:val="left" w:pos="210"/>
                <w:tab w:val="decimal" w:pos="600"/>
              </w:tabs>
              <w:rPr>
                <w:sz w:val="22"/>
                <w:szCs w:val="22"/>
              </w:rPr>
            </w:pPr>
            <w:r w:rsidRPr="00904DD5">
              <w:rPr>
                <w:sz w:val="22"/>
                <w:szCs w:val="22"/>
              </w:rPr>
              <w:tab/>
            </w:r>
            <w:r w:rsidRPr="00904DD5">
              <w:rPr>
                <w:sz w:val="22"/>
                <w:szCs w:val="22"/>
              </w:rPr>
              <w:tab/>
            </w:r>
            <w:r w:rsidRPr="00904DD5">
              <w:rPr>
                <w:sz w:val="22"/>
                <w:szCs w:val="22"/>
                <w:u w:val="double"/>
              </w:rPr>
              <w:t>100</w:t>
            </w:r>
            <w:r w:rsidRPr="00904DD5">
              <w:rPr>
                <w:sz w:val="22"/>
                <w:szCs w:val="22"/>
              </w:rPr>
              <w:t>%</w:t>
            </w:r>
          </w:p>
        </w:tc>
        <w:tc>
          <w:tcPr>
            <w:tcW w:w="1222" w:type="dxa"/>
            <w:gridSpan w:val="2"/>
            <w:shd w:val="clear" w:color="auto" w:fill="auto"/>
          </w:tcPr>
          <w:p w:rsidR="00904DD5" w:rsidRPr="00904DD5" w:rsidRDefault="00904DD5" w:rsidP="009F3BAB">
            <w:pPr>
              <w:tabs>
                <w:tab w:val="left" w:pos="263"/>
                <w:tab w:val="decimal" w:pos="638"/>
              </w:tabs>
              <w:rPr>
                <w:sz w:val="22"/>
                <w:szCs w:val="22"/>
              </w:rPr>
            </w:pPr>
            <w:r w:rsidRPr="00904DD5">
              <w:rPr>
                <w:sz w:val="22"/>
                <w:szCs w:val="22"/>
              </w:rPr>
              <w:tab/>
            </w:r>
            <w:r w:rsidRPr="00904DD5">
              <w:rPr>
                <w:sz w:val="22"/>
                <w:szCs w:val="22"/>
              </w:rPr>
              <w:tab/>
            </w:r>
            <w:r w:rsidRPr="00904DD5">
              <w:rPr>
                <w:sz w:val="22"/>
                <w:szCs w:val="22"/>
                <w:u w:val="double"/>
              </w:rPr>
              <w:t>100</w:t>
            </w:r>
            <w:r w:rsidRPr="00904DD5">
              <w:rPr>
                <w:sz w:val="22"/>
                <w:szCs w:val="22"/>
              </w:rPr>
              <w:t>%</w:t>
            </w:r>
          </w:p>
        </w:tc>
        <w:tc>
          <w:tcPr>
            <w:tcW w:w="1108" w:type="dxa"/>
            <w:gridSpan w:val="2"/>
            <w:shd w:val="clear" w:color="auto" w:fill="auto"/>
          </w:tcPr>
          <w:p w:rsidR="00904DD5" w:rsidRPr="00904DD5" w:rsidRDefault="00904DD5" w:rsidP="009F3BAB">
            <w:pPr>
              <w:tabs>
                <w:tab w:val="left" w:pos="142"/>
                <w:tab w:val="decimal" w:pos="550"/>
              </w:tabs>
              <w:rPr>
                <w:sz w:val="22"/>
                <w:szCs w:val="22"/>
              </w:rPr>
            </w:pPr>
            <w:r w:rsidRPr="00904DD5">
              <w:rPr>
                <w:sz w:val="22"/>
                <w:szCs w:val="22"/>
              </w:rPr>
              <w:tab/>
            </w:r>
            <w:r w:rsidRPr="00904DD5">
              <w:rPr>
                <w:sz w:val="22"/>
                <w:szCs w:val="22"/>
              </w:rPr>
              <w:tab/>
            </w:r>
            <w:r w:rsidRPr="00904DD5">
              <w:rPr>
                <w:sz w:val="22"/>
                <w:szCs w:val="22"/>
                <w:u w:val="double"/>
              </w:rPr>
              <w:t>100</w:t>
            </w:r>
            <w:r w:rsidRPr="00904DD5">
              <w:rPr>
                <w:sz w:val="22"/>
                <w:szCs w:val="22"/>
              </w:rPr>
              <w:t>%</w:t>
            </w: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360"/>
              </w:tabs>
              <w:ind w:left="72" w:hanging="72"/>
              <w:jc w:val="both"/>
              <w:rPr>
                <w:sz w:val="22"/>
                <w:szCs w:val="22"/>
              </w:rPr>
            </w:pPr>
          </w:p>
        </w:tc>
        <w:tc>
          <w:tcPr>
            <w:tcW w:w="1222" w:type="dxa"/>
            <w:gridSpan w:val="2"/>
            <w:shd w:val="clear" w:color="auto" w:fill="auto"/>
          </w:tcPr>
          <w:p w:rsidR="00904DD5" w:rsidRPr="00904DD5" w:rsidRDefault="00904DD5" w:rsidP="009F3BAB">
            <w:pPr>
              <w:tabs>
                <w:tab w:val="left" w:pos="162"/>
                <w:tab w:val="decimal" w:pos="537"/>
              </w:tabs>
              <w:rPr>
                <w:sz w:val="22"/>
                <w:szCs w:val="22"/>
              </w:rPr>
            </w:pPr>
          </w:p>
        </w:tc>
        <w:tc>
          <w:tcPr>
            <w:tcW w:w="1118" w:type="dxa"/>
            <w:gridSpan w:val="2"/>
            <w:shd w:val="clear" w:color="auto" w:fill="auto"/>
          </w:tcPr>
          <w:p w:rsidR="00904DD5" w:rsidRPr="00904DD5" w:rsidRDefault="00904DD5" w:rsidP="009F3BAB">
            <w:pPr>
              <w:tabs>
                <w:tab w:val="left" w:pos="170"/>
                <w:tab w:val="decimal" w:pos="533"/>
              </w:tabs>
              <w:rPr>
                <w:sz w:val="22"/>
                <w:szCs w:val="22"/>
              </w:rPr>
            </w:pPr>
          </w:p>
        </w:tc>
        <w:tc>
          <w:tcPr>
            <w:tcW w:w="1222" w:type="dxa"/>
            <w:gridSpan w:val="2"/>
            <w:shd w:val="clear" w:color="auto" w:fill="auto"/>
          </w:tcPr>
          <w:p w:rsidR="00904DD5" w:rsidRPr="00904DD5" w:rsidRDefault="00904DD5" w:rsidP="009F3BAB">
            <w:pPr>
              <w:tabs>
                <w:tab w:val="left" w:pos="274"/>
                <w:tab w:val="decimal" w:pos="649"/>
              </w:tabs>
              <w:rPr>
                <w:sz w:val="22"/>
                <w:szCs w:val="22"/>
              </w:rPr>
            </w:pPr>
          </w:p>
        </w:tc>
        <w:tc>
          <w:tcPr>
            <w:tcW w:w="1108" w:type="dxa"/>
            <w:gridSpan w:val="2"/>
            <w:shd w:val="clear" w:color="auto" w:fill="auto"/>
          </w:tcPr>
          <w:p w:rsidR="00904DD5" w:rsidRPr="00904DD5" w:rsidRDefault="00904DD5" w:rsidP="009F3BAB">
            <w:pPr>
              <w:tabs>
                <w:tab w:val="left" w:pos="210"/>
                <w:tab w:val="decimal" w:pos="600"/>
              </w:tabs>
              <w:rPr>
                <w:sz w:val="22"/>
                <w:szCs w:val="22"/>
              </w:rPr>
            </w:pPr>
          </w:p>
        </w:tc>
        <w:tc>
          <w:tcPr>
            <w:tcW w:w="1222" w:type="dxa"/>
            <w:gridSpan w:val="2"/>
            <w:shd w:val="clear" w:color="auto" w:fill="auto"/>
          </w:tcPr>
          <w:p w:rsidR="00904DD5" w:rsidRPr="00904DD5" w:rsidRDefault="00904DD5" w:rsidP="009F3BAB">
            <w:pPr>
              <w:tabs>
                <w:tab w:val="left" w:pos="263"/>
                <w:tab w:val="decimal" w:pos="638"/>
              </w:tabs>
              <w:rPr>
                <w:sz w:val="22"/>
                <w:szCs w:val="22"/>
              </w:rPr>
            </w:pPr>
          </w:p>
        </w:tc>
        <w:tc>
          <w:tcPr>
            <w:tcW w:w="1108" w:type="dxa"/>
            <w:gridSpan w:val="2"/>
            <w:shd w:val="clear" w:color="auto" w:fill="auto"/>
          </w:tcPr>
          <w:p w:rsidR="00904DD5" w:rsidRPr="00904DD5" w:rsidRDefault="00904DD5" w:rsidP="009F3BAB">
            <w:pPr>
              <w:tabs>
                <w:tab w:val="left" w:pos="142"/>
                <w:tab w:val="decimal" w:pos="550"/>
              </w:tabs>
              <w:rPr>
                <w:sz w:val="22"/>
                <w:szCs w:val="22"/>
              </w:rPr>
            </w:pPr>
          </w:p>
        </w:tc>
      </w:tr>
      <w:tr w:rsidR="00904DD5" w:rsidRPr="00904DD5" w:rsidTr="00904DD5">
        <w:trPr>
          <w:gridBefore w:val="1"/>
          <w:wBefore w:w="18" w:type="dxa"/>
        </w:trPr>
        <w:tc>
          <w:tcPr>
            <w:tcW w:w="2340" w:type="dxa"/>
            <w:gridSpan w:val="2"/>
            <w:shd w:val="clear" w:color="auto" w:fill="auto"/>
          </w:tcPr>
          <w:p w:rsidR="00904DD5" w:rsidRPr="00904DD5" w:rsidRDefault="00904DD5" w:rsidP="009F3BAB">
            <w:pPr>
              <w:tabs>
                <w:tab w:val="left" w:pos="360"/>
              </w:tabs>
              <w:ind w:left="72" w:firstLine="90"/>
              <w:jc w:val="both"/>
              <w:rPr>
                <w:sz w:val="22"/>
                <w:szCs w:val="22"/>
              </w:rPr>
            </w:pPr>
            <w:r w:rsidRPr="00904DD5">
              <w:rPr>
                <w:sz w:val="22"/>
                <w:szCs w:val="22"/>
              </w:rPr>
              <w:t>Occupancy</w:t>
            </w:r>
          </w:p>
        </w:tc>
        <w:tc>
          <w:tcPr>
            <w:tcW w:w="1222" w:type="dxa"/>
            <w:gridSpan w:val="2"/>
            <w:shd w:val="clear" w:color="auto" w:fill="auto"/>
          </w:tcPr>
          <w:p w:rsidR="00904DD5" w:rsidRPr="00904DD5" w:rsidRDefault="00904DD5" w:rsidP="009F3BAB">
            <w:pPr>
              <w:tabs>
                <w:tab w:val="left" w:pos="162"/>
                <w:tab w:val="decimal" w:pos="537"/>
              </w:tabs>
              <w:rPr>
                <w:sz w:val="22"/>
                <w:szCs w:val="22"/>
              </w:rPr>
            </w:pPr>
            <w:r w:rsidRPr="00904DD5">
              <w:rPr>
                <w:sz w:val="22"/>
                <w:szCs w:val="22"/>
              </w:rPr>
              <w:tab/>
            </w:r>
            <w:r w:rsidRPr="00904DD5">
              <w:rPr>
                <w:sz w:val="22"/>
                <w:szCs w:val="22"/>
              </w:rPr>
              <w:tab/>
              <w:t>98%</w:t>
            </w:r>
          </w:p>
        </w:tc>
        <w:tc>
          <w:tcPr>
            <w:tcW w:w="1118" w:type="dxa"/>
            <w:gridSpan w:val="2"/>
            <w:shd w:val="clear" w:color="auto" w:fill="auto"/>
          </w:tcPr>
          <w:p w:rsidR="00904DD5" w:rsidRPr="00904DD5" w:rsidRDefault="00904DD5" w:rsidP="009F3BAB">
            <w:pPr>
              <w:tabs>
                <w:tab w:val="left" w:pos="170"/>
                <w:tab w:val="decimal" w:pos="533"/>
              </w:tabs>
              <w:rPr>
                <w:sz w:val="22"/>
                <w:szCs w:val="22"/>
              </w:rPr>
            </w:pPr>
            <w:r w:rsidRPr="00904DD5">
              <w:rPr>
                <w:sz w:val="22"/>
                <w:szCs w:val="22"/>
              </w:rPr>
              <w:tab/>
            </w:r>
            <w:r w:rsidRPr="00904DD5">
              <w:rPr>
                <w:sz w:val="22"/>
                <w:szCs w:val="22"/>
              </w:rPr>
              <w:tab/>
              <w:t>98%</w:t>
            </w:r>
          </w:p>
        </w:tc>
        <w:tc>
          <w:tcPr>
            <w:tcW w:w="1222" w:type="dxa"/>
            <w:gridSpan w:val="2"/>
            <w:shd w:val="clear" w:color="auto" w:fill="auto"/>
          </w:tcPr>
          <w:p w:rsidR="00904DD5" w:rsidRPr="00904DD5" w:rsidRDefault="00904DD5" w:rsidP="009F3BAB">
            <w:pPr>
              <w:tabs>
                <w:tab w:val="left" w:pos="274"/>
                <w:tab w:val="decimal" w:pos="649"/>
              </w:tabs>
              <w:rPr>
                <w:sz w:val="22"/>
                <w:szCs w:val="22"/>
              </w:rPr>
            </w:pPr>
            <w:r w:rsidRPr="00904DD5">
              <w:rPr>
                <w:sz w:val="22"/>
                <w:szCs w:val="22"/>
              </w:rPr>
              <w:tab/>
            </w:r>
            <w:r w:rsidRPr="00904DD5">
              <w:rPr>
                <w:sz w:val="22"/>
                <w:szCs w:val="22"/>
              </w:rPr>
              <w:tab/>
              <w:t>92%</w:t>
            </w:r>
          </w:p>
        </w:tc>
        <w:tc>
          <w:tcPr>
            <w:tcW w:w="1108" w:type="dxa"/>
            <w:gridSpan w:val="2"/>
            <w:shd w:val="clear" w:color="auto" w:fill="auto"/>
          </w:tcPr>
          <w:p w:rsidR="00904DD5" w:rsidRPr="00904DD5" w:rsidRDefault="00904DD5" w:rsidP="009F3BAB">
            <w:pPr>
              <w:tabs>
                <w:tab w:val="left" w:pos="210"/>
                <w:tab w:val="decimal" w:pos="600"/>
              </w:tabs>
              <w:rPr>
                <w:sz w:val="22"/>
                <w:szCs w:val="22"/>
              </w:rPr>
            </w:pPr>
            <w:r w:rsidRPr="00904DD5">
              <w:rPr>
                <w:sz w:val="22"/>
                <w:szCs w:val="22"/>
              </w:rPr>
              <w:tab/>
            </w:r>
            <w:r w:rsidRPr="00904DD5">
              <w:rPr>
                <w:sz w:val="22"/>
                <w:szCs w:val="22"/>
              </w:rPr>
              <w:tab/>
              <w:t>96%</w:t>
            </w:r>
          </w:p>
        </w:tc>
        <w:tc>
          <w:tcPr>
            <w:tcW w:w="1222" w:type="dxa"/>
            <w:gridSpan w:val="2"/>
            <w:shd w:val="clear" w:color="auto" w:fill="auto"/>
          </w:tcPr>
          <w:p w:rsidR="00904DD5" w:rsidRPr="00904DD5" w:rsidRDefault="00904DD5" w:rsidP="009F3BAB">
            <w:pPr>
              <w:tabs>
                <w:tab w:val="left" w:pos="263"/>
                <w:tab w:val="decimal" w:pos="638"/>
              </w:tabs>
              <w:rPr>
                <w:sz w:val="22"/>
                <w:szCs w:val="22"/>
              </w:rPr>
            </w:pPr>
            <w:r w:rsidRPr="00904DD5">
              <w:rPr>
                <w:sz w:val="22"/>
                <w:szCs w:val="22"/>
              </w:rPr>
              <w:tab/>
            </w:r>
            <w:r w:rsidRPr="00904DD5">
              <w:rPr>
                <w:sz w:val="22"/>
                <w:szCs w:val="22"/>
              </w:rPr>
              <w:tab/>
              <w:t>96%</w:t>
            </w:r>
          </w:p>
        </w:tc>
        <w:tc>
          <w:tcPr>
            <w:tcW w:w="1108" w:type="dxa"/>
            <w:gridSpan w:val="2"/>
            <w:shd w:val="clear" w:color="auto" w:fill="auto"/>
          </w:tcPr>
          <w:p w:rsidR="00904DD5" w:rsidRPr="00904DD5" w:rsidRDefault="00904DD5" w:rsidP="009F3BAB">
            <w:pPr>
              <w:tabs>
                <w:tab w:val="left" w:pos="142"/>
                <w:tab w:val="decimal" w:pos="550"/>
              </w:tabs>
              <w:rPr>
                <w:sz w:val="22"/>
                <w:szCs w:val="22"/>
              </w:rPr>
            </w:pPr>
            <w:r w:rsidRPr="00904DD5">
              <w:rPr>
                <w:sz w:val="22"/>
                <w:szCs w:val="22"/>
              </w:rPr>
              <w:tab/>
            </w:r>
            <w:r w:rsidRPr="00904DD5">
              <w:rPr>
                <w:sz w:val="22"/>
                <w:szCs w:val="22"/>
              </w:rPr>
              <w:tab/>
              <w:t>97%</w:t>
            </w:r>
          </w:p>
        </w:tc>
      </w:tr>
      <w:tr w:rsidR="00857649" w:rsidRPr="009B19F4" w:rsidTr="00904DD5">
        <w:tblPrEx>
          <w:jc w:val="center"/>
        </w:tblPrEx>
        <w:trPr>
          <w:gridAfter w:val="1"/>
          <w:wAfter w:w="18" w:type="dxa"/>
          <w:jc w:val="center"/>
        </w:trPr>
        <w:tc>
          <w:tcPr>
            <w:tcW w:w="2340" w:type="dxa"/>
            <w:gridSpan w:val="2"/>
            <w:shd w:val="clear" w:color="auto" w:fill="auto"/>
          </w:tcPr>
          <w:p w:rsidR="00857649" w:rsidRPr="009B19F4" w:rsidRDefault="00857649" w:rsidP="00904DD5">
            <w:pPr>
              <w:rPr>
                <w:sz w:val="22"/>
                <w:szCs w:val="22"/>
              </w:rPr>
            </w:pPr>
          </w:p>
        </w:tc>
        <w:tc>
          <w:tcPr>
            <w:tcW w:w="1222" w:type="dxa"/>
            <w:gridSpan w:val="2"/>
            <w:shd w:val="clear" w:color="auto" w:fill="auto"/>
          </w:tcPr>
          <w:p w:rsidR="00857649" w:rsidRPr="009B19F4" w:rsidRDefault="00857649" w:rsidP="000C1C82">
            <w:pPr>
              <w:tabs>
                <w:tab w:val="left" w:pos="-360"/>
                <w:tab w:val="left" w:pos="162"/>
                <w:tab w:val="decimal" w:pos="537"/>
              </w:tabs>
              <w:ind w:left="-360"/>
              <w:rPr>
                <w:sz w:val="22"/>
                <w:szCs w:val="22"/>
              </w:rPr>
            </w:pPr>
          </w:p>
        </w:tc>
        <w:tc>
          <w:tcPr>
            <w:tcW w:w="1118" w:type="dxa"/>
            <w:gridSpan w:val="2"/>
            <w:shd w:val="clear" w:color="auto" w:fill="auto"/>
          </w:tcPr>
          <w:p w:rsidR="00857649" w:rsidRPr="009B19F4" w:rsidRDefault="00857649" w:rsidP="000C1C82">
            <w:pPr>
              <w:tabs>
                <w:tab w:val="left" w:pos="-360"/>
                <w:tab w:val="left" w:pos="170"/>
                <w:tab w:val="decimal" w:pos="533"/>
              </w:tabs>
              <w:ind w:left="-360"/>
              <w:rPr>
                <w:sz w:val="22"/>
                <w:szCs w:val="22"/>
              </w:rPr>
            </w:pPr>
          </w:p>
        </w:tc>
        <w:tc>
          <w:tcPr>
            <w:tcW w:w="1222" w:type="dxa"/>
            <w:gridSpan w:val="2"/>
            <w:shd w:val="clear" w:color="auto" w:fill="auto"/>
          </w:tcPr>
          <w:p w:rsidR="00857649" w:rsidRPr="009B19F4" w:rsidRDefault="00857649" w:rsidP="000C1C82">
            <w:pPr>
              <w:tabs>
                <w:tab w:val="left" w:pos="-360"/>
                <w:tab w:val="left" w:pos="274"/>
                <w:tab w:val="decimal" w:pos="649"/>
              </w:tabs>
              <w:ind w:left="-360"/>
              <w:rPr>
                <w:sz w:val="22"/>
                <w:szCs w:val="22"/>
              </w:rPr>
            </w:pPr>
          </w:p>
        </w:tc>
        <w:tc>
          <w:tcPr>
            <w:tcW w:w="1108" w:type="dxa"/>
            <w:gridSpan w:val="2"/>
            <w:shd w:val="clear" w:color="auto" w:fill="auto"/>
          </w:tcPr>
          <w:p w:rsidR="00857649" w:rsidRPr="009B19F4" w:rsidRDefault="00857649" w:rsidP="000C1C82">
            <w:pPr>
              <w:tabs>
                <w:tab w:val="left" w:pos="-360"/>
                <w:tab w:val="left" w:pos="210"/>
                <w:tab w:val="decimal" w:pos="600"/>
              </w:tabs>
              <w:ind w:left="-360"/>
              <w:rPr>
                <w:sz w:val="22"/>
                <w:szCs w:val="22"/>
              </w:rPr>
            </w:pPr>
          </w:p>
        </w:tc>
        <w:tc>
          <w:tcPr>
            <w:tcW w:w="1222" w:type="dxa"/>
            <w:gridSpan w:val="2"/>
            <w:shd w:val="clear" w:color="auto" w:fill="auto"/>
          </w:tcPr>
          <w:p w:rsidR="00857649" w:rsidRPr="009B19F4" w:rsidRDefault="00857649" w:rsidP="000C1C82">
            <w:pPr>
              <w:tabs>
                <w:tab w:val="left" w:pos="-360"/>
                <w:tab w:val="left" w:pos="263"/>
                <w:tab w:val="decimal" w:pos="638"/>
              </w:tabs>
              <w:ind w:left="-360"/>
              <w:rPr>
                <w:sz w:val="22"/>
                <w:szCs w:val="22"/>
              </w:rPr>
            </w:pPr>
          </w:p>
        </w:tc>
        <w:tc>
          <w:tcPr>
            <w:tcW w:w="1108" w:type="dxa"/>
            <w:gridSpan w:val="2"/>
            <w:shd w:val="clear" w:color="auto" w:fill="auto"/>
          </w:tcPr>
          <w:p w:rsidR="00AB0CFB" w:rsidRPr="009B19F4" w:rsidRDefault="00AB0CFB" w:rsidP="000C1C82">
            <w:pPr>
              <w:tabs>
                <w:tab w:val="left" w:pos="-360"/>
                <w:tab w:val="left" w:pos="142"/>
                <w:tab w:val="decimal" w:pos="550"/>
              </w:tabs>
              <w:ind w:left="-360"/>
              <w:rPr>
                <w:sz w:val="22"/>
                <w:szCs w:val="22"/>
              </w:rPr>
            </w:pPr>
          </w:p>
        </w:tc>
      </w:tr>
    </w:tbl>
    <w:p w:rsidR="0062770A" w:rsidRPr="009B19F4" w:rsidRDefault="00857649" w:rsidP="000C1C82">
      <w:pPr>
        <w:tabs>
          <w:tab w:val="left" w:pos="-360"/>
        </w:tabs>
        <w:ind w:left="-360"/>
        <w:jc w:val="both"/>
        <w:rPr>
          <w:sz w:val="22"/>
          <w:szCs w:val="22"/>
        </w:rPr>
      </w:pPr>
      <w:r w:rsidRPr="009B19F4">
        <w:rPr>
          <w:sz w:val="22"/>
          <w:szCs w:val="22"/>
        </w:rPr>
        <w:t>“</w:t>
      </w:r>
      <w:r w:rsidR="00F62A4F" w:rsidRPr="009B19F4">
        <w:rPr>
          <w:sz w:val="22"/>
          <w:szCs w:val="22"/>
        </w:rPr>
        <w:t xml:space="preserve">Sources: </w:t>
      </w:r>
      <w:r w:rsidR="0062770A" w:rsidRPr="009B19F4">
        <w:rPr>
          <w:sz w:val="22"/>
          <w:szCs w:val="22"/>
        </w:rPr>
        <w:t xml:space="preserve">2010, 2011 and 2012 as filed cost reports were utilized for occupancy and payor mix percentages. BerryDunn’s database which is a compilation of all non-hospital-based as filed cost reports was </w:t>
      </w:r>
      <w:r w:rsidRPr="009B19F4">
        <w:rPr>
          <w:sz w:val="22"/>
          <w:szCs w:val="22"/>
        </w:rPr>
        <w:t>utilized for Region 3 averages.”</w:t>
      </w:r>
    </w:p>
    <w:p w:rsidR="0062770A" w:rsidRPr="009B19F4" w:rsidRDefault="0062770A" w:rsidP="000C1C82">
      <w:pPr>
        <w:tabs>
          <w:tab w:val="left" w:pos="-360"/>
        </w:tabs>
        <w:ind w:left="-360"/>
        <w:jc w:val="both"/>
        <w:rPr>
          <w:sz w:val="22"/>
          <w:szCs w:val="22"/>
        </w:rPr>
      </w:pPr>
    </w:p>
    <w:p w:rsidR="0062770A" w:rsidRPr="009B19F4" w:rsidRDefault="001E09AD" w:rsidP="000C1C82">
      <w:pPr>
        <w:tabs>
          <w:tab w:val="left" w:pos="-360"/>
        </w:tabs>
        <w:ind w:left="-360"/>
        <w:jc w:val="both"/>
        <w:rPr>
          <w:sz w:val="22"/>
          <w:szCs w:val="22"/>
        </w:rPr>
      </w:pPr>
      <w:r w:rsidRPr="009B19F4">
        <w:rPr>
          <w:sz w:val="22"/>
          <w:szCs w:val="22"/>
        </w:rPr>
        <w:t>“</w:t>
      </w:r>
      <w:r w:rsidR="0062770A" w:rsidRPr="009B19F4">
        <w:rPr>
          <w:sz w:val="22"/>
          <w:szCs w:val="22"/>
        </w:rPr>
        <w:t xml:space="preserve">As evidenced in the table above, </w:t>
      </w:r>
      <w:r w:rsidR="00AB0CFB" w:rsidRPr="009B19F4">
        <w:rPr>
          <w:sz w:val="22"/>
          <w:szCs w:val="22"/>
        </w:rPr>
        <w:t>MGNH</w:t>
      </w:r>
      <w:r w:rsidR="0062770A" w:rsidRPr="009B19F4">
        <w:rPr>
          <w:sz w:val="22"/>
          <w:szCs w:val="22"/>
        </w:rPr>
        <w:t xml:space="preserve"> is meeting a need in the community as well as in the region it services. Occupancy rates for 2010</w:t>
      </w:r>
      <w:r w:rsidR="00AB0CFB" w:rsidRPr="009B19F4">
        <w:rPr>
          <w:sz w:val="22"/>
          <w:szCs w:val="22"/>
        </w:rPr>
        <w:t>, 2011 and 2012 exceeded regional</w:t>
      </w:r>
      <w:r w:rsidR="0062770A" w:rsidRPr="009B19F4">
        <w:rPr>
          <w:sz w:val="22"/>
          <w:szCs w:val="22"/>
        </w:rPr>
        <w:t xml:space="preserve"> averages and MaineCare utilizations has historically been and is projected to continue to be </w:t>
      </w:r>
      <w:r w:rsidR="00AB0CFB" w:rsidRPr="009B19F4">
        <w:rPr>
          <w:sz w:val="22"/>
          <w:szCs w:val="22"/>
        </w:rPr>
        <w:t>lower</w:t>
      </w:r>
      <w:r w:rsidR="0062770A" w:rsidRPr="009B19F4">
        <w:rPr>
          <w:sz w:val="22"/>
          <w:szCs w:val="22"/>
        </w:rPr>
        <w:t xml:space="preserve"> than the regional average due to the community </w:t>
      </w:r>
      <w:r w:rsidR="00AB0CFB" w:rsidRPr="009B19F4">
        <w:rPr>
          <w:sz w:val="22"/>
          <w:szCs w:val="22"/>
        </w:rPr>
        <w:t>MGNH serves</w:t>
      </w:r>
      <w:r w:rsidR="0062770A" w:rsidRPr="009B19F4">
        <w:rPr>
          <w:sz w:val="22"/>
          <w:szCs w:val="22"/>
        </w:rPr>
        <w:t xml:space="preserve">. Current </w:t>
      </w:r>
      <w:r w:rsidR="00AB0CFB" w:rsidRPr="009B19F4">
        <w:rPr>
          <w:sz w:val="22"/>
          <w:szCs w:val="22"/>
        </w:rPr>
        <w:t>2013</w:t>
      </w:r>
      <w:r w:rsidR="0062770A" w:rsidRPr="009B19F4">
        <w:rPr>
          <w:sz w:val="22"/>
          <w:szCs w:val="22"/>
        </w:rPr>
        <w:t xml:space="preserve"> occupancy continues to remain consistent with 2012 as the NF </w:t>
      </w:r>
      <w:r w:rsidR="00AB0CFB" w:rsidRPr="009B19F4">
        <w:rPr>
          <w:sz w:val="22"/>
          <w:szCs w:val="22"/>
        </w:rPr>
        <w:t>and RCF units are at 96%.</w:t>
      </w:r>
      <w:r w:rsidR="0062770A" w:rsidRPr="009B19F4">
        <w:rPr>
          <w:sz w:val="22"/>
          <w:szCs w:val="22"/>
        </w:rPr>
        <w:t xml:space="preserve"> </w:t>
      </w:r>
      <w:proofErr w:type="gramStart"/>
      <w:r w:rsidR="0062770A" w:rsidRPr="009B19F4">
        <w:rPr>
          <w:sz w:val="22"/>
          <w:szCs w:val="22"/>
        </w:rPr>
        <w:t>and</w:t>
      </w:r>
      <w:proofErr w:type="gramEnd"/>
      <w:r w:rsidR="0062770A" w:rsidRPr="009B19F4">
        <w:rPr>
          <w:sz w:val="22"/>
          <w:szCs w:val="22"/>
        </w:rPr>
        <w:t xml:space="preserve"> the RCF unit at 93%. We expect both occupancy and payor mix to remain consistent with historical levels or increase as the population in the surrounding communities continues to age.</w:t>
      </w:r>
      <w:r w:rsidRPr="009B19F4">
        <w:rPr>
          <w:sz w:val="22"/>
          <w:szCs w:val="22"/>
        </w:rPr>
        <w:t>”</w:t>
      </w:r>
    </w:p>
    <w:p w:rsidR="0062770A" w:rsidRPr="009B19F4" w:rsidRDefault="0062770A" w:rsidP="000C1C82">
      <w:pPr>
        <w:tabs>
          <w:tab w:val="left" w:pos="-360"/>
        </w:tabs>
        <w:ind w:left="-360"/>
        <w:jc w:val="both"/>
        <w:rPr>
          <w:sz w:val="22"/>
          <w:szCs w:val="22"/>
        </w:rPr>
      </w:pPr>
    </w:p>
    <w:p w:rsidR="000B0FCA" w:rsidRPr="009B19F4" w:rsidRDefault="000B0FCA" w:rsidP="000C1C82">
      <w:pPr>
        <w:tabs>
          <w:tab w:val="left" w:pos="-360"/>
        </w:tabs>
        <w:ind w:left="-360"/>
        <w:rPr>
          <w:b/>
          <w:sz w:val="22"/>
          <w:szCs w:val="22"/>
        </w:rPr>
      </w:pPr>
      <w:r w:rsidRPr="009B19F4">
        <w:rPr>
          <w:sz w:val="22"/>
          <w:szCs w:val="22"/>
        </w:rPr>
        <w:t>“The increase in SNF/NF beds will have a positive impact on the health status indicators of the population to be served. The facility will continue to provide individualized care and increase our specialized rehabilitation services, which include physical therapy, occupational therapy, speech therapy and podiatry services.”</w:t>
      </w:r>
    </w:p>
    <w:p w:rsidR="00996AB4" w:rsidRDefault="00996AB4" w:rsidP="000C1C82">
      <w:pPr>
        <w:tabs>
          <w:tab w:val="left" w:pos="-360"/>
        </w:tabs>
        <w:ind w:left="-360"/>
        <w:jc w:val="both"/>
        <w:rPr>
          <w:sz w:val="22"/>
          <w:szCs w:val="22"/>
        </w:rPr>
      </w:pPr>
    </w:p>
    <w:p w:rsidR="000B0FCA" w:rsidRPr="009B19F4" w:rsidRDefault="00996AB4" w:rsidP="000C1C82">
      <w:pPr>
        <w:tabs>
          <w:tab w:val="left" w:pos="-360"/>
        </w:tabs>
        <w:ind w:left="-360"/>
        <w:jc w:val="both"/>
        <w:rPr>
          <w:sz w:val="22"/>
          <w:szCs w:val="22"/>
        </w:rPr>
      </w:pPr>
      <w:r>
        <w:rPr>
          <w:sz w:val="22"/>
          <w:szCs w:val="22"/>
        </w:rPr>
        <w:t>“The services affected by the project will be accessible to all residents in the area. The facility will continue to follow non-discrimination practices for admission and employment.”</w:t>
      </w:r>
    </w:p>
    <w:p w:rsidR="008C6AF9" w:rsidRDefault="008C6AF9" w:rsidP="000C1C82">
      <w:pPr>
        <w:tabs>
          <w:tab w:val="left" w:pos="-360"/>
        </w:tabs>
        <w:ind w:left="-360"/>
        <w:jc w:val="both"/>
        <w:rPr>
          <w:sz w:val="22"/>
          <w:szCs w:val="22"/>
        </w:rPr>
        <w:sectPr w:rsidR="008C6AF9" w:rsidSect="009530A6">
          <w:headerReference w:type="default" r:id="rId19"/>
          <w:pgSz w:w="12240" w:h="15840"/>
          <w:pgMar w:top="1440" w:right="1080" w:bottom="1440" w:left="1800" w:header="720" w:footer="720" w:gutter="0"/>
          <w:cols w:space="720"/>
          <w:docGrid w:linePitch="360"/>
        </w:sectPr>
      </w:pPr>
    </w:p>
    <w:p w:rsidR="008C6AF9" w:rsidRDefault="008C6AF9" w:rsidP="000C1C82">
      <w:pPr>
        <w:ind w:left="-360"/>
        <w:jc w:val="both"/>
        <w:rPr>
          <w:sz w:val="22"/>
          <w:szCs w:val="22"/>
        </w:rPr>
      </w:pPr>
    </w:p>
    <w:p w:rsidR="000B0FCA" w:rsidRPr="009B19F4" w:rsidRDefault="000B0FCA" w:rsidP="000C1C82">
      <w:pPr>
        <w:ind w:left="-360"/>
        <w:jc w:val="both"/>
        <w:rPr>
          <w:sz w:val="22"/>
          <w:szCs w:val="22"/>
        </w:rPr>
      </w:pPr>
      <w:r w:rsidRPr="009B19F4">
        <w:rPr>
          <w:sz w:val="22"/>
          <w:szCs w:val="22"/>
        </w:rPr>
        <w:t>“The facility has a waiting list that has expanded since the closure of the SNF/NF beds at Houlton Regional Hospital. The closure of these beds has caused a shortage of services in the area. It also has caused a backlog of patients in the residential care setting that should be more appropriately placed in a nursing facility.”</w:t>
      </w:r>
    </w:p>
    <w:p w:rsidR="0064020C" w:rsidRDefault="0064020C" w:rsidP="000C1C82">
      <w:pPr>
        <w:ind w:left="-360"/>
        <w:jc w:val="both"/>
        <w:rPr>
          <w:sz w:val="22"/>
          <w:szCs w:val="22"/>
        </w:rPr>
      </w:pPr>
    </w:p>
    <w:p w:rsidR="000B0FCA" w:rsidRPr="009B19F4" w:rsidRDefault="000B0FCA" w:rsidP="000C1C82">
      <w:pPr>
        <w:ind w:left="-360"/>
        <w:jc w:val="both"/>
        <w:rPr>
          <w:sz w:val="22"/>
          <w:szCs w:val="22"/>
        </w:rPr>
      </w:pPr>
      <w:r w:rsidRPr="009B19F4">
        <w:rPr>
          <w:sz w:val="22"/>
          <w:szCs w:val="22"/>
        </w:rPr>
        <w:t>“During the period of June 1, 2013 thru January 31, 2014, there were 160 referrals to MGNH, in which 73 were admitted. There were 49 admissions with a therapy diagnosis and the remainder of them with various diagnoses such as diabetes, CVA’s and dementia. The majority of the admissions were residents from the greater Houlton area.”</w:t>
      </w:r>
    </w:p>
    <w:p w:rsidR="000B0FCA" w:rsidRPr="009B19F4" w:rsidRDefault="000B0FCA" w:rsidP="000C1C82">
      <w:pPr>
        <w:ind w:left="-360"/>
        <w:jc w:val="both"/>
        <w:rPr>
          <w:sz w:val="22"/>
          <w:szCs w:val="22"/>
        </w:rPr>
      </w:pPr>
    </w:p>
    <w:p w:rsidR="000B0FCA" w:rsidRPr="009B19F4" w:rsidRDefault="000B0FCA" w:rsidP="000C1C82">
      <w:pPr>
        <w:ind w:left="-360"/>
        <w:jc w:val="both"/>
        <w:rPr>
          <w:sz w:val="22"/>
          <w:szCs w:val="22"/>
        </w:rPr>
      </w:pPr>
      <w:r w:rsidRPr="009B19F4">
        <w:rPr>
          <w:sz w:val="22"/>
          <w:szCs w:val="22"/>
        </w:rPr>
        <w:t>“The remaining referrals during the period were not admitted principally due to availability of beds. The majority of our referrals are from Houlton Regional Hospital or Eastern Maine Medical Center.”</w:t>
      </w:r>
    </w:p>
    <w:p w:rsidR="000B0FCA" w:rsidRPr="009B19F4" w:rsidRDefault="000B0FCA" w:rsidP="000C1C82">
      <w:pPr>
        <w:ind w:left="-360"/>
        <w:jc w:val="both"/>
        <w:rPr>
          <w:sz w:val="22"/>
          <w:szCs w:val="22"/>
        </w:rPr>
      </w:pPr>
    </w:p>
    <w:p w:rsidR="000B0FCA" w:rsidRPr="009B19F4" w:rsidRDefault="000B0FCA" w:rsidP="000C1C82">
      <w:pPr>
        <w:ind w:left="-360"/>
        <w:jc w:val="both"/>
        <w:rPr>
          <w:sz w:val="22"/>
          <w:szCs w:val="22"/>
        </w:rPr>
      </w:pPr>
      <w:r w:rsidRPr="009B19F4">
        <w:rPr>
          <w:sz w:val="22"/>
          <w:szCs w:val="22"/>
        </w:rPr>
        <w:t>“The combined loss of 3 SNF/NF and 13 RCF beds in the area and historically high census for the NF providers in our service area (see Occupancy Table under Section IV. Public Need) indicates that there is a definite need for services. Currently, 6-8 residents in our RCF would qualify for NF level of care.”</w:t>
      </w:r>
    </w:p>
    <w:p w:rsidR="000B0FCA" w:rsidRPr="009B19F4" w:rsidRDefault="000B0FCA" w:rsidP="000C1C82">
      <w:pPr>
        <w:ind w:left="-360"/>
        <w:jc w:val="both"/>
        <w:rPr>
          <w:sz w:val="22"/>
          <w:szCs w:val="22"/>
        </w:rPr>
      </w:pPr>
    </w:p>
    <w:p w:rsidR="000B0FCA" w:rsidRPr="009B19F4" w:rsidRDefault="000B0FCA" w:rsidP="000C1C82">
      <w:pPr>
        <w:ind w:left="-360"/>
        <w:jc w:val="both"/>
        <w:rPr>
          <w:sz w:val="22"/>
          <w:szCs w:val="22"/>
        </w:rPr>
      </w:pPr>
      <w:r w:rsidRPr="009B19F4">
        <w:rPr>
          <w:sz w:val="22"/>
          <w:szCs w:val="22"/>
        </w:rPr>
        <w:t>“The project will also enhance our rehabilitation program which will benefit our patients and aid in their recovery and discharge to home. This project will create additional therapy treatment areas and add additional therapy equipment which will improve outcomes for the residents. The treatment space will also provide a more confidential and convenient area for the therapists to provide care. We have developed and added to our therapy staffing over the past several years due to our increased SNF census. This project will provide additional space for our staff to meet our residents’ needs.”</w:t>
      </w:r>
    </w:p>
    <w:p w:rsidR="000B0FCA" w:rsidRPr="009B19F4" w:rsidRDefault="000B0FCA" w:rsidP="000C1C82">
      <w:pPr>
        <w:ind w:left="-360"/>
        <w:jc w:val="both"/>
        <w:rPr>
          <w:sz w:val="22"/>
          <w:szCs w:val="22"/>
        </w:rPr>
      </w:pPr>
    </w:p>
    <w:p w:rsidR="000B0FCA" w:rsidRPr="009B19F4" w:rsidRDefault="000B0FCA" w:rsidP="000C1C82">
      <w:pPr>
        <w:ind w:left="-360"/>
        <w:jc w:val="both"/>
        <w:rPr>
          <w:sz w:val="22"/>
          <w:szCs w:val="22"/>
        </w:rPr>
      </w:pPr>
      <w:r w:rsidRPr="009B19F4">
        <w:rPr>
          <w:sz w:val="22"/>
          <w:szCs w:val="22"/>
        </w:rPr>
        <w:t>“This shortage of nursing facility beds has also created difficulty at the acute level as there is not always an opportunity for discharge to a lower level of care. This adds cost to the care of the residents since it is a more expensive setting.”</w:t>
      </w:r>
    </w:p>
    <w:p w:rsidR="000B0FCA" w:rsidRPr="009B19F4" w:rsidRDefault="000B0FCA" w:rsidP="000C1C82">
      <w:pPr>
        <w:ind w:left="-360"/>
        <w:jc w:val="both"/>
        <w:rPr>
          <w:sz w:val="22"/>
          <w:szCs w:val="22"/>
        </w:rPr>
      </w:pPr>
    </w:p>
    <w:p w:rsidR="000B0FCA" w:rsidRPr="009B19F4" w:rsidRDefault="000B0FCA" w:rsidP="000C1C82">
      <w:pPr>
        <w:ind w:left="-360"/>
        <w:jc w:val="both"/>
        <w:rPr>
          <w:sz w:val="22"/>
          <w:szCs w:val="22"/>
        </w:rPr>
      </w:pPr>
      <w:r w:rsidRPr="009B19F4">
        <w:rPr>
          <w:sz w:val="22"/>
          <w:szCs w:val="22"/>
        </w:rPr>
        <w:t>“The additional demand for SNF/NF beds continues to increase as Maine’s population continues to age. The rural nature of Aroostook County and the minimal amount of other available services will clearly support the need for SNF/NF beds.”</w:t>
      </w:r>
    </w:p>
    <w:p w:rsidR="000B0FCA" w:rsidRPr="009B19F4" w:rsidRDefault="000B0FCA" w:rsidP="000C1C82">
      <w:pPr>
        <w:ind w:left="-360"/>
        <w:jc w:val="both"/>
        <w:rPr>
          <w:sz w:val="22"/>
          <w:szCs w:val="22"/>
        </w:rPr>
      </w:pPr>
    </w:p>
    <w:p w:rsidR="000B0FCA" w:rsidRPr="009B19F4" w:rsidRDefault="000B0FCA" w:rsidP="000C1C82">
      <w:pPr>
        <w:ind w:left="-360"/>
        <w:jc w:val="both"/>
        <w:rPr>
          <w:sz w:val="22"/>
          <w:szCs w:val="22"/>
        </w:rPr>
      </w:pPr>
      <w:r w:rsidRPr="009B19F4">
        <w:rPr>
          <w:sz w:val="22"/>
          <w:szCs w:val="22"/>
        </w:rPr>
        <w:t>“Aroostook County is projected to have a significant increase in population in the age group that typically utilizes SNF/NF services. The out migration of the working age population will also stress the abilities of community based services to serve the needs of this population, this is due in part to the very rural nature of the county and the distance that care givers are needed to travel to serve the client. It is expected that between 2012 and 2022 the age group 65+ will increase in Aroostook County by 4,393 people (See Figure 2-3).”</w:t>
      </w:r>
    </w:p>
    <w:p w:rsidR="000B0FCA" w:rsidRPr="009B19F4" w:rsidRDefault="000B0FCA" w:rsidP="000C1C82">
      <w:pPr>
        <w:ind w:left="-360"/>
        <w:jc w:val="both"/>
        <w:rPr>
          <w:sz w:val="22"/>
          <w:szCs w:val="22"/>
        </w:rPr>
      </w:pPr>
    </w:p>
    <w:p w:rsidR="000B0FCA" w:rsidRPr="009B19F4" w:rsidRDefault="000B0FCA" w:rsidP="00904DD5">
      <w:pPr>
        <w:ind w:left="-360"/>
        <w:rPr>
          <w:sz w:val="22"/>
          <w:szCs w:val="22"/>
        </w:rPr>
      </w:pPr>
      <w:r w:rsidRPr="009B19F4">
        <w:rPr>
          <w:noProof/>
          <w:sz w:val="22"/>
          <w:szCs w:val="22"/>
        </w:rPr>
        <w:drawing>
          <wp:inline distT="0" distB="0" distL="0" distR="0" wp14:anchorId="43A5B874" wp14:editId="47A21D1F">
            <wp:extent cx="5886450" cy="4472636"/>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0796" cy="4475938"/>
                    </a:xfrm>
                    <a:prstGeom prst="rect">
                      <a:avLst/>
                    </a:prstGeom>
                    <a:noFill/>
                    <a:ln>
                      <a:noFill/>
                    </a:ln>
                  </pic:spPr>
                </pic:pic>
              </a:graphicData>
            </a:graphic>
          </wp:inline>
        </w:drawing>
      </w:r>
    </w:p>
    <w:p w:rsidR="000B0FCA" w:rsidRDefault="000B0FCA" w:rsidP="000C1C82">
      <w:pPr>
        <w:tabs>
          <w:tab w:val="left" w:pos="0"/>
        </w:tabs>
        <w:ind w:left="-360"/>
        <w:jc w:val="both"/>
        <w:rPr>
          <w:sz w:val="22"/>
          <w:szCs w:val="22"/>
        </w:rPr>
      </w:pPr>
    </w:p>
    <w:p w:rsidR="000B0FCA" w:rsidRPr="009B19F4" w:rsidRDefault="000B0FCA" w:rsidP="000C1C82">
      <w:pPr>
        <w:tabs>
          <w:tab w:val="left" w:pos="0"/>
        </w:tabs>
        <w:ind w:left="-360"/>
        <w:jc w:val="both"/>
        <w:rPr>
          <w:sz w:val="22"/>
          <w:szCs w:val="22"/>
        </w:rPr>
      </w:pPr>
      <w:r w:rsidRPr="009B19F4">
        <w:rPr>
          <w:sz w:val="22"/>
          <w:szCs w:val="22"/>
        </w:rPr>
        <w:t>“The aging population is also requiring more intensive services as evidenced by Figure 10-1 that presents the constant increase in case-mix levels. The continued pressure to provide care in the least costly setting has increased the acuity of residents in the nursing home setting and also residential care. The transition of rural hospitals to critical access status has also put more pressure on nursing facilities to accept more advanced care patients.”</w:t>
      </w:r>
    </w:p>
    <w:p w:rsidR="000B0FCA" w:rsidRPr="009B19F4" w:rsidRDefault="000B0FCA" w:rsidP="001E09AD">
      <w:pPr>
        <w:tabs>
          <w:tab w:val="left" w:pos="0"/>
        </w:tabs>
        <w:jc w:val="both"/>
      </w:pPr>
    </w:p>
    <w:p w:rsidR="000B0FCA" w:rsidRPr="009B19F4" w:rsidRDefault="003A2BF6" w:rsidP="00904DD5">
      <w:pPr>
        <w:tabs>
          <w:tab w:val="left" w:pos="-360"/>
        </w:tabs>
        <w:ind w:left="-360"/>
        <w:jc w:val="center"/>
      </w:pPr>
      <w:r w:rsidRPr="009B19F4">
        <w:rPr>
          <w:noProof/>
        </w:rPr>
        <w:drawing>
          <wp:inline distT="0" distB="0" distL="0" distR="0" wp14:anchorId="31440614" wp14:editId="19AA029D">
            <wp:extent cx="4219575" cy="3190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219575" cy="3190875"/>
                    </a:xfrm>
                    <a:prstGeom prst="rect">
                      <a:avLst/>
                    </a:prstGeom>
                  </pic:spPr>
                </pic:pic>
              </a:graphicData>
            </a:graphic>
          </wp:inline>
        </w:drawing>
      </w:r>
    </w:p>
    <w:p w:rsidR="001E09AD" w:rsidRPr="007A565D" w:rsidRDefault="001E09AD"/>
    <w:p w:rsidR="008E41AC" w:rsidRPr="009B19F4" w:rsidRDefault="00555A69" w:rsidP="000C1C82">
      <w:pPr>
        <w:ind w:left="-360"/>
        <w:rPr>
          <w:b/>
        </w:rPr>
      </w:pPr>
      <w:r w:rsidRPr="009B19F4">
        <w:rPr>
          <w:b/>
        </w:rPr>
        <w:t xml:space="preserve">B. </w:t>
      </w:r>
      <w:r w:rsidR="006A7CB7" w:rsidRPr="006B35F7">
        <w:rPr>
          <w:b/>
          <w:u w:val="single"/>
        </w:rPr>
        <w:t>Certificate of Need Unit</w:t>
      </w:r>
      <w:r w:rsidR="008E41AC" w:rsidRPr="006B35F7">
        <w:rPr>
          <w:b/>
          <w:u w:val="single"/>
        </w:rPr>
        <w:t xml:space="preserve"> Discussion</w:t>
      </w:r>
    </w:p>
    <w:p w:rsidR="008E41AC" w:rsidRPr="00F84273" w:rsidRDefault="008E41AC" w:rsidP="000C1C82">
      <w:pPr>
        <w:ind w:left="-360"/>
      </w:pPr>
    </w:p>
    <w:p w:rsidR="008E41AC" w:rsidRPr="00D46EA9" w:rsidRDefault="009B19F4" w:rsidP="00D46EA9">
      <w:pPr>
        <w:pStyle w:val="ListParagraph"/>
        <w:numPr>
          <w:ilvl w:val="0"/>
          <w:numId w:val="34"/>
        </w:numPr>
        <w:ind w:left="-90" w:hanging="270"/>
        <w:rPr>
          <w:b/>
        </w:rPr>
      </w:pPr>
      <w:r w:rsidRPr="00D46EA9">
        <w:rPr>
          <w:b/>
        </w:rPr>
        <w:t>CON</w:t>
      </w:r>
      <w:r w:rsidR="008E41AC" w:rsidRPr="00D46EA9">
        <w:rPr>
          <w:b/>
        </w:rPr>
        <w:t xml:space="preserve"> </w:t>
      </w:r>
      <w:r w:rsidR="00E7467A" w:rsidRPr="00D46EA9">
        <w:rPr>
          <w:b/>
        </w:rPr>
        <w:t>Standard</w:t>
      </w:r>
      <w:r w:rsidRPr="00D46EA9">
        <w:rPr>
          <w:b/>
        </w:rPr>
        <w:t>s</w:t>
      </w:r>
    </w:p>
    <w:p w:rsidR="00AC7333" w:rsidRPr="00F84273" w:rsidRDefault="00AC7333" w:rsidP="000C1C82">
      <w:pPr>
        <w:ind w:left="-360"/>
      </w:pPr>
    </w:p>
    <w:p w:rsidR="00AC7333" w:rsidRPr="009B19F4" w:rsidRDefault="00AC7333" w:rsidP="000C1C82">
      <w:pPr>
        <w:ind w:left="-360"/>
        <w:jc w:val="both"/>
      </w:pPr>
      <w:r w:rsidRPr="009B19F4">
        <w:t>Relevant standards for inclusion in this section are specific to the determination there is a public need for the proposed services as demonstrated by certain factors,</w:t>
      </w:r>
      <w:r w:rsidR="007A565D">
        <w:t xml:space="preserve"> including, but not limited to:</w:t>
      </w:r>
    </w:p>
    <w:p w:rsidR="00AC7333" w:rsidRPr="007A565D" w:rsidRDefault="00AC7333" w:rsidP="000C1C82">
      <w:pPr>
        <w:ind w:left="-360"/>
      </w:pPr>
    </w:p>
    <w:p w:rsidR="00AC7333" w:rsidRPr="009B19F4" w:rsidRDefault="00AC7333" w:rsidP="00FD7A27">
      <w:pPr>
        <w:numPr>
          <w:ilvl w:val="0"/>
          <w:numId w:val="2"/>
        </w:numPr>
        <w:jc w:val="both"/>
      </w:pPr>
      <w:r w:rsidRPr="009B19F4">
        <w:t>Whether, and the extent to which, the project will substantially address specific health problems as measured by health needs in the area to be served by the project;</w:t>
      </w:r>
    </w:p>
    <w:p w:rsidR="00AC7333" w:rsidRPr="009B19F4" w:rsidRDefault="00AC7333" w:rsidP="00FD7A27">
      <w:pPr>
        <w:numPr>
          <w:ilvl w:val="0"/>
          <w:numId w:val="2"/>
        </w:numPr>
        <w:jc w:val="both"/>
      </w:pPr>
      <w:r w:rsidRPr="009B19F4">
        <w:t>Whether the project will have a positive impact on the health status indicators of the population to be served;</w:t>
      </w:r>
    </w:p>
    <w:p w:rsidR="00AC7333" w:rsidRPr="004D716B" w:rsidRDefault="00AC7333" w:rsidP="00FD7A27">
      <w:pPr>
        <w:numPr>
          <w:ilvl w:val="0"/>
          <w:numId w:val="2"/>
        </w:numPr>
        <w:jc w:val="both"/>
        <w:rPr>
          <w:b/>
        </w:rPr>
      </w:pPr>
      <w:r w:rsidRPr="009B19F4">
        <w:t xml:space="preserve">Whether the services affected by the project will be accessible to all residents of the </w:t>
      </w:r>
      <w:r w:rsidR="007A565D">
        <w:t>area proposed to be served; and</w:t>
      </w:r>
    </w:p>
    <w:p w:rsidR="004D716B" w:rsidRPr="004D716B" w:rsidRDefault="004D716B" w:rsidP="004D716B">
      <w:pPr>
        <w:pStyle w:val="ListParagraph"/>
        <w:numPr>
          <w:ilvl w:val="0"/>
          <w:numId w:val="2"/>
        </w:numPr>
        <w:jc w:val="both"/>
        <w:rPr>
          <w:b/>
        </w:rPr>
      </w:pPr>
      <w:r>
        <w:t>Whether the project will provide demonstrable improvements in quality and outcome measures applicable to the services proposed in the project.</w:t>
      </w:r>
    </w:p>
    <w:p w:rsidR="008E41AC" w:rsidRPr="009B19F4" w:rsidRDefault="008E41AC" w:rsidP="004D716B">
      <w:pPr>
        <w:ind w:left="450"/>
        <w:jc w:val="both"/>
        <w:rPr>
          <w:b/>
          <w:sz w:val="16"/>
          <w:szCs w:val="16"/>
        </w:rPr>
      </w:pPr>
    </w:p>
    <w:p w:rsidR="00FD7A27" w:rsidRDefault="00FD7A27" w:rsidP="000C1C82">
      <w:pPr>
        <w:ind w:left="-360"/>
        <w:rPr>
          <w:b/>
        </w:rPr>
        <w:sectPr w:rsidR="00FD7A27" w:rsidSect="009530A6">
          <w:pgSz w:w="12240" w:h="15840"/>
          <w:pgMar w:top="1440" w:right="1080" w:bottom="1440" w:left="1800" w:header="720" w:footer="720" w:gutter="0"/>
          <w:cols w:space="720"/>
          <w:docGrid w:linePitch="360"/>
        </w:sectPr>
      </w:pPr>
    </w:p>
    <w:p w:rsidR="008E41AC" w:rsidRPr="00D46EA9" w:rsidRDefault="009B19F4" w:rsidP="00D46EA9">
      <w:pPr>
        <w:pStyle w:val="ListParagraph"/>
        <w:numPr>
          <w:ilvl w:val="0"/>
          <w:numId w:val="34"/>
        </w:numPr>
        <w:ind w:left="0" w:hanging="360"/>
        <w:rPr>
          <w:b/>
        </w:rPr>
      </w:pPr>
      <w:r w:rsidRPr="00D46EA9">
        <w:rPr>
          <w:b/>
        </w:rPr>
        <w:t>CON</w:t>
      </w:r>
      <w:r w:rsidR="000A06C5" w:rsidRPr="00D46EA9">
        <w:rPr>
          <w:b/>
        </w:rPr>
        <w:t xml:space="preserve"> </w:t>
      </w:r>
      <w:r w:rsidR="00D46EA9" w:rsidRPr="00D46EA9">
        <w:rPr>
          <w:b/>
        </w:rPr>
        <w:t xml:space="preserve">Unit </w:t>
      </w:r>
      <w:r w:rsidR="008E41AC" w:rsidRPr="00D46EA9">
        <w:rPr>
          <w:b/>
        </w:rPr>
        <w:t>Analysis</w:t>
      </w:r>
    </w:p>
    <w:p w:rsidR="00555A69" w:rsidRPr="00FF21D3" w:rsidRDefault="00555A69" w:rsidP="000C1C82">
      <w:pPr>
        <w:ind w:left="-360"/>
        <w:jc w:val="both"/>
        <w:rPr>
          <w:b/>
          <w:sz w:val="10"/>
          <w:szCs w:val="10"/>
        </w:rPr>
      </w:pPr>
    </w:p>
    <w:p w:rsidR="00AC7333" w:rsidRPr="009B19F4" w:rsidRDefault="008D284C" w:rsidP="000C1C82">
      <w:pPr>
        <w:ind w:left="-360"/>
        <w:jc w:val="both"/>
      </w:pPr>
      <w:r w:rsidRPr="009B19F4">
        <w:t xml:space="preserve">In order to determine public need, CONU analyzed demographic and service use trends in MGNH service area (Aroostook County, Maine). CONU utilized the </w:t>
      </w:r>
      <w:r w:rsidRPr="009B19F4">
        <w:rPr>
          <w:u w:val="single"/>
        </w:rPr>
        <w:t>Older Adults with Physical</w:t>
      </w:r>
      <w:r w:rsidRPr="009B19F4">
        <w:t xml:space="preserve"> </w:t>
      </w:r>
      <w:r w:rsidRPr="009B19F4">
        <w:rPr>
          <w:u w:val="single"/>
        </w:rPr>
        <w:t>Disabilities: Population and Service Use Trends in Maine, 2012 Edition</w:t>
      </w:r>
      <w:r w:rsidRPr="009B19F4">
        <w:t>, prepared by the Muskie School of Public Service and the U.S. Census Bureau’s website located at</w:t>
      </w:r>
      <w:r w:rsidR="006B35F7">
        <w:t xml:space="preserve"> </w:t>
      </w:r>
      <w:hyperlink r:id="rId22" w:history="1">
        <w:r w:rsidR="00F3491B" w:rsidRPr="009B19F4">
          <w:rPr>
            <w:rStyle w:val="Hyperlink"/>
          </w:rPr>
          <w:t>http://quickfacts.census.gov</w:t>
        </w:r>
      </w:hyperlink>
      <w:r w:rsidRPr="009B19F4">
        <w:t>.</w:t>
      </w:r>
    </w:p>
    <w:p w:rsidR="00FD7A27" w:rsidRPr="00FF21D3" w:rsidRDefault="00FD7A27" w:rsidP="000C1C82">
      <w:pPr>
        <w:ind w:left="-360"/>
        <w:jc w:val="both"/>
        <w:rPr>
          <w:sz w:val="10"/>
          <w:szCs w:val="10"/>
        </w:rPr>
      </w:pPr>
    </w:p>
    <w:p w:rsidR="00494E77" w:rsidRPr="009B19F4" w:rsidRDefault="00494E77" w:rsidP="000C1C82">
      <w:pPr>
        <w:ind w:left="-360"/>
        <w:jc w:val="both"/>
      </w:pPr>
      <w:r w:rsidRPr="009B19F4">
        <w:t xml:space="preserve">Aroostook County Maine is the largest county east of the Mississippi and is larger than Connecticut and Rhode Island combined. The population is 71,757 with 13,712 people (or over 19%) of the population in the 65 or over age group. </w:t>
      </w:r>
      <w:r w:rsidR="00D71523" w:rsidRPr="009B19F4">
        <w:t xml:space="preserve">This population is the primary consumer of nursing and residential care services. </w:t>
      </w:r>
      <w:r w:rsidRPr="009B19F4">
        <w:t>The breakdown of this population by age group and projected growth is contained in the following table:</w:t>
      </w:r>
    </w:p>
    <w:p w:rsidR="00494E77" w:rsidRPr="00FF21D3" w:rsidRDefault="00494E77" w:rsidP="000C1C82">
      <w:pPr>
        <w:ind w:left="-360"/>
        <w:rPr>
          <w:sz w:val="10"/>
          <w:szCs w:val="10"/>
        </w:rPr>
      </w:pPr>
    </w:p>
    <w:tbl>
      <w:tblPr>
        <w:tblStyle w:val="TableGrid"/>
        <w:tblW w:w="0" w:type="auto"/>
        <w:tblInd w:w="-252" w:type="dxa"/>
        <w:tblLook w:val="04A0" w:firstRow="1" w:lastRow="0" w:firstColumn="1" w:lastColumn="0" w:noHBand="0" w:noVBand="1"/>
      </w:tblPr>
      <w:tblGrid>
        <w:gridCol w:w="3240"/>
        <w:gridCol w:w="2700"/>
        <w:gridCol w:w="1800"/>
        <w:gridCol w:w="1980"/>
      </w:tblGrid>
      <w:tr w:rsidR="00FD7A27" w:rsidTr="00FD7A27">
        <w:tc>
          <w:tcPr>
            <w:tcW w:w="3240" w:type="dxa"/>
          </w:tcPr>
          <w:p w:rsidR="00FD7A27" w:rsidRPr="00FD7A27" w:rsidRDefault="00FD7A27" w:rsidP="00FD7A27">
            <w:pPr>
              <w:jc w:val="center"/>
              <w:rPr>
                <w:b/>
              </w:rPr>
            </w:pPr>
            <w:r w:rsidRPr="00FD7A27">
              <w:rPr>
                <w:b/>
              </w:rPr>
              <w:t>Aroostook County Age Group</w:t>
            </w:r>
          </w:p>
        </w:tc>
        <w:tc>
          <w:tcPr>
            <w:tcW w:w="2700" w:type="dxa"/>
          </w:tcPr>
          <w:p w:rsidR="00FD7A27" w:rsidRPr="00FD7A27" w:rsidRDefault="00FD7A27" w:rsidP="00FD7A27">
            <w:pPr>
              <w:jc w:val="center"/>
              <w:rPr>
                <w:b/>
              </w:rPr>
            </w:pPr>
            <w:r w:rsidRPr="00FD7A27">
              <w:rPr>
                <w:b/>
              </w:rPr>
              <w:t>2012 Current Population</w:t>
            </w:r>
          </w:p>
        </w:tc>
        <w:tc>
          <w:tcPr>
            <w:tcW w:w="1800" w:type="dxa"/>
          </w:tcPr>
          <w:p w:rsidR="00FD7A27" w:rsidRPr="00FD7A27" w:rsidRDefault="00FD7A27" w:rsidP="00FD7A27">
            <w:pPr>
              <w:jc w:val="center"/>
              <w:rPr>
                <w:b/>
              </w:rPr>
            </w:pPr>
            <w:r w:rsidRPr="00FD7A27">
              <w:rPr>
                <w:b/>
              </w:rPr>
              <w:t>Rate of Growth</w:t>
            </w:r>
          </w:p>
        </w:tc>
        <w:tc>
          <w:tcPr>
            <w:tcW w:w="1980" w:type="dxa"/>
          </w:tcPr>
          <w:p w:rsidR="00FD7A27" w:rsidRPr="00FD7A27" w:rsidRDefault="00FD7A27" w:rsidP="00FD7A27">
            <w:pPr>
              <w:jc w:val="center"/>
              <w:rPr>
                <w:b/>
              </w:rPr>
            </w:pPr>
            <w:r w:rsidRPr="00FD7A27">
              <w:rPr>
                <w:b/>
              </w:rPr>
              <w:t>2022 Projected Population</w:t>
            </w:r>
          </w:p>
        </w:tc>
      </w:tr>
      <w:tr w:rsidR="00FD7A27" w:rsidTr="00FD7A27">
        <w:tc>
          <w:tcPr>
            <w:tcW w:w="3240" w:type="dxa"/>
          </w:tcPr>
          <w:p w:rsidR="00FD7A27" w:rsidRDefault="00FD7A27" w:rsidP="000C1C82">
            <w:r>
              <w:t>Age 85+</w:t>
            </w:r>
          </w:p>
        </w:tc>
        <w:tc>
          <w:tcPr>
            <w:tcW w:w="2700" w:type="dxa"/>
          </w:tcPr>
          <w:p w:rsidR="00FD7A27" w:rsidRDefault="00FD7A27" w:rsidP="009F3BAB">
            <w:pPr>
              <w:jc w:val="center"/>
            </w:pPr>
            <w:r>
              <w:t>1588</w:t>
            </w:r>
          </w:p>
        </w:tc>
        <w:tc>
          <w:tcPr>
            <w:tcW w:w="1800" w:type="dxa"/>
          </w:tcPr>
          <w:p w:rsidR="00FD7A27" w:rsidRDefault="00FD7A27" w:rsidP="009F3BAB">
            <w:pPr>
              <w:jc w:val="center"/>
            </w:pPr>
            <w:r>
              <w:t>4%</w:t>
            </w:r>
          </w:p>
        </w:tc>
        <w:tc>
          <w:tcPr>
            <w:tcW w:w="1980" w:type="dxa"/>
          </w:tcPr>
          <w:p w:rsidR="00FD7A27" w:rsidRDefault="00FD7A27" w:rsidP="009F3BAB">
            <w:pPr>
              <w:jc w:val="center"/>
            </w:pPr>
            <w:r>
              <w:t>1652</w:t>
            </w:r>
          </w:p>
        </w:tc>
      </w:tr>
      <w:tr w:rsidR="00FD7A27" w:rsidTr="00FD7A27">
        <w:tc>
          <w:tcPr>
            <w:tcW w:w="3240" w:type="dxa"/>
          </w:tcPr>
          <w:p w:rsidR="00FD7A27" w:rsidRDefault="00FD7A27" w:rsidP="00FD7A27">
            <w:r>
              <w:t xml:space="preserve">Age 75 – 84 </w:t>
            </w:r>
          </w:p>
        </w:tc>
        <w:tc>
          <w:tcPr>
            <w:tcW w:w="2700" w:type="dxa"/>
          </w:tcPr>
          <w:p w:rsidR="00FD7A27" w:rsidRDefault="00FD7A27" w:rsidP="009F3BAB">
            <w:pPr>
              <w:jc w:val="center"/>
            </w:pPr>
            <w:r>
              <w:t>4805</w:t>
            </w:r>
          </w:p>
        </w:tc>
        <w:tc>
          <w:tcPr>
            <w:tcW w:w="1800" w:type="dxa"/>
          </w:tcPr>
          <w:p w:rsidR="00FD7A27" w:rsidRDefault="00FD7A27" w:rsidP="009F3BAB">
            <w:pPr>
              <w:jc w:val="center"/>
            </w:pPr>
            <w:r>
              <w:t>29%</w:t>
            </w:r>
          </w:p>
        </w:tc>
        <w:tc>
          <w:tcPr>
            <w:tcW w:w="1980" w:type="dxa"/>
          </w:tcPr>
          <w:p w:rsidR="00FD7A27" w:rsidRDefault="00FD7A27" w:rsidP="009F3BAB">
            <w:pPr>
              <w:jc w:val="center"/>
            </w:pPr>
            <w:r>
              <w:t>6198</w:t>
            </w:r>
          </w:p>
        </w:tc>
      </w:tr>
      <w:tr w:rsidR="00FD7A27" w:rsidTr="00FD7A27">
        <w:tc>
          <w:tcPr>
            <w:tcW w:w="3240" w:type="dxa"/>
          </w:tcPr>
          <w:p w:rsidR="00FD7A27" w:rsidRDefault="00FD7A27" w:rsidP="000C1C82">
            <w:r>
              <w:t>Age 65 – 74</w:t>
            </w:r>
          </w:p>
        </w:tc>
        <w:tc>
          <w:tcPr>
            <w:tcW w:w="2700" w:type="dxa"/>
          </w:tcPr>
          <w:p w:rsidR="00FD7A27" w:rsidRDefault="00FD7A27" w:rsidP="009F3BAB">
            <w:pPr>
              <w:jc w:val="center"/>
            </w:pPr>
            <w:r>
              <w:t>7319</w:t>
            </w:r>
          </w:p>
        </w:tc>
        <w:tc>
          <w:tcPr>
            <w:tcW w:w="1800" w:type="dxa"/>
          </w:tcPr>
          <w:p w:rsidR="00FD7A27" w:rsidRDefault="00FD7A27" w:rsidP="009F3BAB">
            <w:pPr>
              <w:jc w:val="center"/>
            </w:pPr>
            <w:r>
              <w:t>38%</w:t>
            </w:r>
          </w:p>
        </w:tc>
        <w:tc>
          <w:tcPr>
            <w:tcW w:w="1980" w:type="dxa"/>
          </w:tcPr>
          <w:p w:rsidR="00FD7A27" w:rsidRDefault="00FD7A27" w:rsidP="009F3BAB">
            <w:pPr>
              <w:jc w:val="center"/>
            </w:pPr>
            <w:r>
              <w:t>10,101</w:t>
            </w:r>
          </w:p>
        </w:tc>
      </w:tr>
      <w:tr w:rsidR="00FD7A27" w:rsidRPr="00FD7A27" w:rsidTr="00FD7A27">
        <w:tc>
          <w:tcPr>
            <w:tcW w:w="3240" w:type="dxa"/>
          </w:tcPr>
          <w:p w:rsidR="00FD7A27" w:rsidRPr="00FD7A27" w:rsidRDefault="00FD7A27" w:rsidP="000C1C82">
            <w:pPr>
              <w:rPr>
                <w:b/>
              </w:rPr>
            </w:pPr>
            <w:r w:rsidRPr="00FD7A27">
              <w:rPr>
                <w:b/>
              </w:rPr>
              <w:t>Total</w:t>
            </w:r>
          </w:p>
        </w:tc>
        <w:tc>
          <w:tcPr>
            <w:tcW w:w="2700" w:type="dxa"/>
          </w:tcPr>
          <w:p w:rsidR="00FD7A27" w:rsidRPr="00FD7A27" w:rsidRDefault="00FD7A27" w:rsidP="009F3BAB">
            <w:pPr>
              <w:jc w:val="center"/>
              <w:rPr>
                <w:b/>
              </w:rPr>
            </w:pPr>
            <w:r w:rsidRPr="00FD7A27">
              <w:rPr>
                <w:b/>
              </w:rPr>
              <w:t>13,712</w:t>
            </w:r>
          </w:p>
        </w:tc>
        <w:tc>
          <w:tcPr>
            <w:tcW w:w="1800" w:type="dxa"/>
          </w:tcPr>
          <w:p w:rsidR="00FD7A27" w:rsidRPr="00FD7A27" w:rsidRDefault="00FD7A27" w:rsidP="009F3BAB">
            <w:pPr>
              <w:jc w:val="center"/>
              <w:rPr>
                <w:b/>
              </w:rPr>
            </w:pPr>
          </w:p>
        </w:tc>
        <w:tc>
          <w:tcPr>
            <w:tcW w:w="1980" w:type="dxa"/>
          </w:tcPr>
          <w:p w:rsidR="00FD7A27" w:rsidRPr="00FD7A27" w:rsidRDefault="00FD7A27" w:rsidP="009F3BAB">
            <w:pPr>
              <w:jc w:val="center"/>
              <w:rPr>
                <w:b/>
              </w:rPr>
            </w:pPr>
            <w:r w:rsidRPr="00FD7A27">
              <w:rPr>
                <w:b/>
              </w:rPr>
              <w:t>17,950</w:t>
            </w:r>
          </w:p>
        </w:tc>
      </w:tr>
    </w:tbl>
    <w:p w:rsidR="00FD7A27" w:rsidRPr="00FF21D3" w:rsidRDefault="00FD7A27" w:rsidP="000C1C82">
      <w:pPr>
        <w:ind w:left="-360"/>
        <w:rPr>
          <w:sz w:val="10"/>
          <w:szCs w:val="10"/>
        </w:rPr>
      </w:pPr>
    </w:p>
    <w:p w:rsidR="006409DB" w:rsidRPr="009B19F4" w:rsidRDefault="0046130E" w:rsidP="000C1C82">
      <w:pPr>
        <w:ind w:left="-360"/>
        <w:jc w:val="both"/>
      </w:pPr>
      <w:r w:rsidRPr="009B19F4">
        <w:t>This rate of growth coincides with the State of Maine as a whole where the 65 and over population continues to grow at a rate faster than New England and the United States as a whole.  Statewide nursing home utilization declined between 2000 and 2008 but leveled of</w:t>
      </w:r>
      <w:r w:rsidR="00D71523" w:rsidRPr="009B19F4">
        <w:t xml:space="preserve">f </w:t>
      </w:r>
      <w:r w:rsidRPr="009B19F4">
        <w:t>in 2010. Utilization of residential care facilities grew 30% between 2000 and 2010 before declining slightly in 2010.</w:t>
      </w:r>
      <w:r w:rsidR="00D75FEB" w:rsidRPr="009B19F4">
        <w:t xml:space="preserve"> </w:t>
      </w:r>
      <w:r w:rsidR="00992457" w:rsidRPr="009B19F4">
        <w:t xml:space="preserve">The average statewide </w:t>
      </w:r>
      <w:r w:rsidR="008E08D6" w:rsidRPr="009B19F4">
        <w:t>percentages of the 65+ population utilizing SNF/NF and RCF services are</w:t>
      </w:r>
      <w:r w:rsidR="00992457" w:rsidRPr="009B19F4">
        <w:t xml:space="preserve"> as </w:t>
      </w:r>
      <w:r w:rsidR="00992457" w:rsidRPr="009F3BAB">
        <w:t>follows:</w:t>
      </w:r>
    </w:p>
    <w:p w:rsidR="00FD7A27" w:rsidRPr="00FF21D3" w:rsidRDefault="00FD7A27" w:rsidP="000C1C82">
      <w:pPr>
        <w:ind w:left="-360"/>
        <w:rPr>
          <w:sz w:val="10"/>
          <w:szCs w:val="10"/>
        </w:rPr>
      </w:pPr>
    </w:p>
    <w:tbl>
      <w:tblPr>
        <w:tblStyle w:val="TableGrid"/>
        <w:tblW w:w="0" w:type="auto"/>
        <w:tblInd w:w="-252" w:type="dxa"/>
        <w:tblLook w:val="04A0" w:firstRow="1" w:lastRow="0" w:firstColumn="1" w:lastColumn="0" w:noHBand="0" w:noVBand="1"/>
      </w:tblPr>
      <w:tblGrid>
        <w:gridCol w:w="3084"/>
        <w:gridCol w:w="3192"/>
        <w:gridCol w:w="3444"/>
      </w:tblGrid>
      <w:tr w:rsidR="00FD7A27" w:rsidTr="00FD7A27">
        <w:tc>
          <w:tcPr>
            <w:tcW w:w="3084" w:type="dxa"/>
          </w:tcPr>
          <w:p w:rsidR="00FD7A27" w:rsidRPr="00FD7A27" w:rsidRDefault="00FD7A27" w:rsidP="00FD7A27">
            <w:pPr>
              <w:jc w:val="center"/>
              <w:rPr>
                <w:b/>
              </w:rPr>
            </w:pPr>
            <w:r w:rsidRPr="00FD7A27">
              <w:rPr>
                <w:b/>
              </w:rPr>
              <w:t>Age Group</w:t>
            </w:r>
          </w:p>
        </w:tc>
        <w:tc>
          <w:tcPr>
            <w:tcW w:w="3192" w:type="dxa"/>
          </w:tcPr>
          <w:p w:rsidR="00FD7A27" w:rsidRPr="00FD7A27" w:rsidRDefault="00FD7A27" w:rsidP="00FD7A27">
            <w:pPr>
              <w:jc w:val="center"/>
              <w:rPr>
                <w:b/>
              </w:rPr>
            </w:pPr>
            <w:r w:rsidRPr="00FD7A27">
              <w:rPr>
                <w:b/>
              </w:rPr>
              <w:t>% of age group needing SNF/NF care</w:t>
            </w:r>
          </w:p>
        </w:tc>
        <w:tc>
          <w:tcPr>
            <w:tcW w:w="3444" w:type="dxa"/>
          </w:tcPr>
          <w:p w:rsidR="00FD7A27" w:rsidRPr="00FD7A27" w:rsidRDefault="00FD7A27" w:rsidP="00FD7A27">
            <w:pPr>
              <w:jc w:val="center"/>
              <w:rPr>
                <w:b/>
              </w:rPr>
            </w:pPr>
            <w:r w:rsidRPr="00FD7A27">
              <w:rPr>
                <w:b/>
              </w:rPr>
              <w:t>% of age group needing RCF care</w:t>
            </w:r>
          </w:p>
        </w:tc>
      </w:tr>
      <w:tr w:rsidR="00FD7A27" w:rsidTr="00FD7A27">
        <w:tc>
          <w:tcPr>
            <w:tcW w:w="3084" w:type="dxa"/>
          </w:tcPr>
          <w:p w:rsidR="00FD7A27" w:rsidRDefault="00FD7A27" w:rsidP="000C1C82">
            <w:r>
              <w:t>Age 85+</w:t>
            </w:r>
          </w:p>
        </w:tc>
        <w:tc>
          <w:tcPr>
            <w:tcW w:w="3192" w:type="dxa"/>
          </w:tcPr>
          <w:p w:rsidR="00FD7A27" w:rsidRDefault="00FD7A27" w:rsidP="009F3BAB">
            <w:pPr>
              <w:jc w:val="center"/>
            </w:pPr>
            <w:r>
              <w:t>11.50%</w:t>
            </w:r>
          </w:p>
        </w:tc>
        <w:tc>
          <w:tcPr>
            <w:tcW w:w="3444" w:type="dxa"/>
          </w:tcPr>
          <w:p w:rsidR="00FD7A27" w:rsidRDefault="00FD7A27" w:rsidP="009F3BAB">
            <w:pPr>
              <w:jc w:val="center"/>
            </w:pPr>
            <w:r>
              <w:t>6.30%</w:t>
            </w:r>
          </w:p>
        </w:tc>
      </w:tr>
      <w:tr w:rsidR="00FD7A27" w:rsidTr="00FD7A27">
        <w:tc>
          <w:tcPr>
            <w:tcW w:w="3084" w:type="dxa"/>
          </w:tcPr>
          <w:p w:rsidR="00FD7A27" w:rsidRDefault="00FD7A27" w:rsidP="000C1C82">
            <w:r>
              <w:t xml:space="preserve">Age 75 – 84 </w:t>
            </w:r>
          </w:p>
        </w:tc>
        <w:tc>
          <w:tcPr>
            <w:tcW w:w="3192" w:type="dxa"/>
          </w:tcPr>
          <w:p w:rsidR="00FD7A27" w:rsidRDefault="00FD7A27" w:rsidP="009F3BAB">
            <w:pPr>
              <w:jc w:val="center"/>
            </w:pPr>
            <w:r>
              <w:t>3.60%</w:t>
            </w:r>
          </w:p>
        </w:tc>
        <w:tc>
          <w:tcPr>
            <w:tcW w:w="3444" w:type="dxa"/>
          </w:tcPr>
          <w:p w:rsidR="00FD7A27" w:rsidRDefault="00FD7A27" w:rsidP="009F3BAB">
            <w:pPr>
              <w:jc w:val="center"/>
            </w:pPr>
            <w:r>
              <w:t>1.80%</w:t>
            </w:r>
          </w:p>
        </w:tc>
      </w:tr>
      <w:tr w:rsidR="00FD7A27" w:rsidTr="00FD7A27">
        <w:tc>
          <w:tcPr>
            <w:tcW w:w="3084" w:type="dxa"/>
          </w:tcPr>
          <w:p w:rsidR="00FD7A27" w:rsidRDefault="00FD7A27" w:rsidP="000C1C82">
            <w:r>
              <w:t xml:space="preserve">Age 65 – 74 </w:t>
            </w:r>
          </w:p>
        </w:tc>
        <w:tc>
          <w:tcPr>
            <w:tcW w:w="3192" w:type="dxa"/>
          </w:tcPr>
          <w:p w:rsidR="00FD7A27" w:rsidRDefault="00FD7A27" w:rsidP="009F3BAB">
            <w:pPr>
              <w:jc w:val="center"/>
            </w:pPr>
            <w:r>
              <w:t>0.80%</w:t>
            </w:r>
          </w:p>
        </w:tc>
        <w:tc>
          <w:tcPr>
            <w:tcW w:w="3444" w:type="dxa"/>
          </w:tcPr>
          <w:p w:rsidR="00FD7A27" w:rsidRDefault="00FD7A27" w:rsidP="009F3BAB">
            <w:pPr>
              <w:jc w:val="center"/>
            </w:pPr>
            <w:r>
              <w:t>0.50%</w:t>
            </w:r>
          </w:p>
        </w:tc>
      </w:tr>
    </w:tbl>
    <w:p w:rsidR="00FD7A27" w:rsidRPr="00FD7A27" w:rsidRDefault="00FD7A27" w:rsidP="000C1C82">
      <w:pPr>
        <w:ind w:left="-360"/>
        <w:rPr>
          <w:sz w:val="16"/>
          <w:szCs w:val="16"/>
        </w:rPr>
      </w:pPr>
    </w:p>
    <w:p w:rsidR="00996AB4" w:rsidRDefault="00992457" w:rsidP="00996AB4">
      <w:pPr>
        <w:ind w:left="-360"/>
        <w:jc w:val="both"/>
      </w:pPr>
      <w:r w:rsidRPr="009B19F4">
        <w:t xml:space="preserve">With the projected increase in the 65+ population it is likely that additional SNF/NF and RCF services will be required over the next ten years. Adding additional SNF/NF and RCF beds would substantially address specific health problems associated with an aging population </w:t>
      </w:r>
      <w:r w:rsidR="009F3BAB">
        <w:t xml:space="preserve">requiring more intensive care. </w:t>
      </w:r>
      <w:r w:rsidR="00AC4EDB" w:rsidRPr="009B19F4">
        <w:t xml:space="preserve">Aroostook County had 46 NF beds and 25 RCF beds per 1,000 </w:t>
      </w:r>
      <w:r w:rsidR="008E08D6" w:rsidRPr="009B19F4">
        <w:t>person’s</w:t>
      </w:r>
      <w:r w:rsidR="00AC4EDB" w:rsidRPr="009B19F4">
        <w:t xml:space="preserve"> age 65-and-above in 2010 as compared to the </w:t>
      </w:r>
      <w:proofErr w:type="gramStart"/>
      <w:r w:rsidR="00AC4EDB" w:rsidRPr="009B19F4">
        <w:t>Statewide</w:t>
      </w:r>
      <w:proofErr w:type="gramEnd"/>
      <w:r w:rsidR="00AC4EDB" w:rsidRPr="009B19F4">
        <w:t xml:space="preserve"> average of 33 NF beds and 20 RCF beds per 1,000 persons age 65 and above. </w:t>
      </w:r>
      <w:r w:rsidR="00A26C43" w:rsidRPr="009B19F4">
        <w:t>Although the available beds in Aroostook County exceeds the State average the applicant provided</w:t>
      </w:r>
      <w:r w:rsidR="00B27A2C" w:rsidRPr="009B19F4">
        <w:t xml:space="preserve"> 2010 through 2012 occupancy data for b</w:t>
      </w:r>
      <w:r w:rsidR="009F3BAB">
        <w:t xml:space="preserve">oth MGNH  and Aroostook County </w:t>
      </w:r>
      <w:r w:rsidR="00B27A2C" w:rsidRPr="009B19F4">
        <w:t>SNF/NF and RCF’s. MGNH had an</w:t>
      </w:r>
      <w:r w:rsidR="009A05CA" w:rsidRPr="009B19F4">
        <w:t xml:space="preserve"> </w:t>
      </w:r>
      <w:r w:rsidR="00B27A2C" w:rsidRPr="009B19F4">
        <w:t>average 2010 – 2012 SNF/SNF occupancy of 95.66% and a RCF occupancy of 92.33%. During the same time period the Aroostook County</w:t>
      </w:r>
      <w:r w:rsidRPr="009B19F4">
        <w:t xml:space="preserve"> </w:t>
      </w:r>
      <w:r w:rsidR="00B27A2C" w:rsidRPr="009B19F4">
        <w:t>SNF/NF occupancy was 92.33% and the RCF occupancy was 97%.</w:t>
      </w:r>
      <w:r w:rsidR="000E3361" w:rsidRPr="009B19F4">
        <w:t xml:space="preserve">  </w:t>
      </w:r>
      <w:r w:rsidR="00835451" w:rsidRPr="009B19F4">
        <w:t>The applicant states that MGNH’ waiting list has expanded since the closure</w:t>
      </w:r>
      <w:r w:rsidR="009A05CA" w:rsidRPr="009B19F4">
        <w:t xml:space="preserve"> of 28 SNF/NF beds at Houlton Regional</w:t>
      </w:r>
      <w:r w:rsidR="00835451" w:rsidRPr="009B19F4">
        <w:t xml:space="preserve">. For the 8 month period ending January 31, 2014 there were 160 referrals to MGNH and there were 73 admissions. The remaining referrals were not admitted mainly due to a lack of beds. </w:t>
      </w:r>
      <w:r w:rsidR="000E3361" w:rsidRPr="009B19F4">
        <w:t xml:space="preserve">CONU expanded the </w:t>
      </w:r>
      <w:r w:rsidR="00996AB4" w:rsidRPr="009B19F4">
        <w:t>applicants’</w:t>
      </w:r>
      <w:r w:rsidR="000E3361" w:rsidRPr="009B19F4">
        <w:t xml:space="preserve"> analysis to provide the names, locations, </w:t>
      </w:r>
      <w:r w:rsidR="001E6731" w:rsidRPr="009B19F4">
        <w:t xml:space="preserve">mileage from applicant, </w:t>
      </w:r>
      <w:r w:rsidR="000E3361" w:rsidRPr="009B19F4">
        <w:t>number of licensed beds and most</w:t>
      </w:r>
    </w:p>
    <w:p w:rsidR="00996AB4" w:rsidRDefault="00996AB4" w:rsidP="00996AB4">
      <w:pPr>
        <w:ind w:left="-360"/>
        <w:jc w:val="both"/>
      </w:pPr>
      <w:proofErr w:type="gramStart"/>
      <w:r>
        <w:t>recent</w:t>
      </w:r>
      <w:proofErr w:type="gramEnd"/>
      <w:r>
        <w:t xml:space="preserve"> occupancy data for SNF/NF’s and RCF facilities in Aroostook County. </w:t>
      </w:r>
    </w:p>
    <w:p w:rsidR="000C1C82" w:rsidRDefault="000C1C82" w:rsidP="000C1C82">
      <w:pPr>
        <w:ind w:left="-360"/>
        <w:jc w:val="both"/>
        <w:sectPr w:rsidR="000C1C82" w:rsidSect="009530A6">
          <w:pgSz w:w="12240" w:h="15840"/>
          <w:pgMar w:top="1440" w:right="1080" w:bottom="1440" w:left="1800" w:header="720" w:footer="720" w:gutter="0"/>
          <w:cols w:space="720"/>
          <w:docGrid w:linePitch="360"/>
        </w:sectPr>
      </w:pPr>
    </w:p>
    <w:tbl>
      <w:tblPr>
        <w:tblW w:w="9720" w:type="dxa"/>
        <w:tblInd w:w="-252" w:type="dxa"/>
        <w:tblLook w:val="04A0" w:firstRow="1" w:lastRow="0" w:firstColumn="1" w:lastColumn="0" w:noHBand="0" w:noVBand="1"/>
      </w:tblPr>
      <w:tblGrid>
        <w:gridCol w:w="2340"/>
        <w:gridCol w:w="1440"/>
        <w:gridCol w:w="1148"/>
        <w:gridCol w:w="960"/>
        <w:gridCol w:w="960"/>
        <w:gridCol w:w="1522"/>
        <w:gridCol w:w="1350"/>
      </w:tblGrid>
      <w:tr w:rsidR="00940562" w:rsidRPr="009B19F4" w:rsidTr="00CC4A9A">
        <w:trPr>
          <w:trHeight w:val="300"/>
        </w:trPr>
        <w:tc>
          <w:tcPr>
            <w:tcW w:w="2340" w:type="dxa"/>
            <w:tcBorders>
              <w:top w:val="single" w:sz="4" w:space="0" w:color="auto"/>
              <w:left w:val="single" w:sz="4" w:space="0" w:color="auto"/>
              <w:bottom w:val="nil"/>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p>
        </w:tc>
        <w:tc>
          <w:tcPr>
            <w:tcW w:w="1440" w:type="dxa"/>
            <w:tcBorders>
              <w:top w:val="single" w:sz="4" w:space="0" w:color="auto"/>
              <w:left w:val="nil"/>
              <w:bottom w:val="nil"/>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p>
        </w:tc>
        <w:tc>
          <w:tcPr>
            <w:tcW w:w="1148" w:type="dxa"/>
            <w:tcBorders>
              <w:top w:val="single" w:sz="4" w:space="0" w:color="auto"/>
              <w:left w:val="nil"/>
              <w:bottom w:val="nil"/>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r w:rsidRPr="009B19F4">
              <w:rPr>
                <w:b/>
                <w:bCs/>
                <w:color w:val="000000"/>
                <w:sz w:val="22"/>
                <w:szCs w:val="22"/>
              </w:rPr>
              <w:t>Mileage</w:t>
            </w:r>
          </w:p>
        </w:tc>
        <w:tc>
          <w:tcPr>
            <w:tcW w:w="960" w:type="dxa"/>
            <w:tcBorders>
              <w:top w:val="single" w:sz="4" w:space="0" w:color="auto"/>
              <w:left w:val="nil"/>
              <w:bottom w:val="nil"/>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p>
        </w:tc>
        <w:tc>
          <w:tcPr>
            <w:tcW w:w="960" w:type="dxa"/>
            <w:tcBorders>
              <w:top w:val="single" w:sz="4" w:space="0" w:color="auto"/>
              <w:left w:val="nil"/>
              <w:bottom w:val="nil"/>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p>
        </w:tc>
        <w:tc>
          <w:tcPr>
            <w:tcW w:w="1522" w:type="dxa"/>
            <w:tcBorders>
              <w:top w:val="single" w:sz="4" w:space="0" w:color="auto"/>
              <w:left w:val="nil"/>
              <w:bottom w:val="nil"/>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r w:rsidRPr="009B19F4">
              <w:rPr>
                <w:b/>
                <w:bCs/>
                <w:color w:val="000000"/>
                <w:sz w:val="22"/>
                <w:szCs w:val="22"/>
              </w:rPr>
              <w:t>AVG NF/SNF</w:t>
            </w:r>
          </w:p>
        </w:tc>
        <w:tc>
          <w:tcPr>
            <w:tcW w:w="1350" w:type="dxa"/>
            <w:tcBorders>
              <w:top w:val="single" w:sz="4" w:space="0" w:color="auto"/>
              <w:left w:val="nil"/>
              <w:bottom w:val="nil"/>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r w:rsidRPr="009B19F4">
              <w:rPr>
                <w:b/>
                <w:bCs/>
                <w:color w:val="000000"/>
                <w:sz w:val="22"/>
                <w:szCs w:val="22"/>
              </w:rPr>
              <w:t>AVG RCF</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r w:rsidRPr="009B19F4">
              <w:rPr>
                <w:b/>
                <w:bCs/>
                <w:color w:val="000000"/>
                <w:sz w:val="22"/>
                <w:szCs w:val="22"/>
              </w:rPr>
              <w:t>Facility</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r w:rsidRPr="009B19F4">
              <w:rPr>
                <w:b/>
                <w:bCs/>
                <w:color w:val="000000"/>
                <w:sz w:val="22"/>
                <w:szCs w:val="22"/>
              </w:rPr>
              <w:t>Location</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r w:rsidRPr="009B19F4">
              <w:rPr>
                <w:b/>
                <w:bCs/>
                <w:color w:val="000000"/>
                <w:sz w:val="22"/>
                <w:szCs w:val="22"/>
              </w:rPr>
              <w:t>from applicant</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r w:rsidRPr="009B19F4">
              <w:rPr>
                <w:b/>
                <w:bCs/>
                <w:color w:val="000000"/>
                <w:sz w:val="22"/>
                <w:szCs w:val="22"/>
              </w:rPr>
              <w:t>NF Beds</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r w:rsidRPr="009B19F4">
              <w:rPr>
                <w:b/>
                <w:bCs/>
                <w:color w:val="000000"/>
                <w:sz w:val="22"/>
                <w:szCs w:val="22"/>
              </w:rPr>
              <w:t>RCF Beds</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r w:rsidRPr="009B19F4">
              <w:rPr>
                <w:b/>
                <w:bCs/>
                <w:color w:val="000000"/>
                <w:sz w:val="22"/>
                <w:szCs w:val="22"/>
              </w:rPr>
              <w:t>Occupancy</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center"/>
              <w:rPr>
                <w:b/>
                <w:bCs/>
                <w:color w:val="000000"/>
                <w:sz w:val="22"/>
                <w:szCs w:val="22"/>
              </w:rPr>
            </w:pPr>
            <w:r w:rsidRPr="009B19F4">
              <w:rPr>
                <w:b/>
                <w:bCs/>
                <w:color w:val="000000"/>
                <w:sz w:val="22"/>
                <w:szCs w:val="22"/>
              </w:rPr>
              <w:t>Occupancy</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 xml:space="preserve">Borderview </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Van Buren</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77</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55</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53</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92.73%</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90.57%</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Caribou</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Caribou</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54</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61</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98.36%</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Forest Hill</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Fort Kent</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97.78%</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Gardiner</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Houlton</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45</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95.56%</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100.00%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High View</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Madawaska</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51</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100.00%</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Madigan</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Houlton</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47</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95.35%</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87.23%</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MVH - Caribou</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Caribou</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54</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40</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30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95.00%</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100.00%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 xml:space="preserve">Mercy </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Eagle Lake</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92</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40</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95.00%</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110.00%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Presque Isle</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Presque Isle</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42</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67</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98.51%</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St. Joseph</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Frenchville</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61</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43</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100.00%</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TAMC -AHC</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Mars Hill</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28</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72</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80.56%</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 xml:space="preserve">Crestview </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Houlton</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20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105.00%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Crosswinds</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Fort Kent</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98</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45</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97.78%</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Country Village</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Madawaska</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27</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96.30%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Limestone Manor</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Limestone</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57</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40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85.00%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Ridgewood Estates</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Madawaska</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102</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43</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100.00%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Southern Acres</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Westfield</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30</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0.00%</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color w:val="000000"/>
                <w:sz w:val="22"/>
                <w:szCs w:val="22"/>
              </w:rPr>
            </w:pPr>
            <w:r w:rsidRPr="009B19F4">
              <w:rPr>
                <w:color w:val="000000"/>
                <w:sz w:val="22"/>
                <w:szCs w:val="22"/>
              </w:rPr>
              <w:t>90.00%</w:t>
            </w:r>
          </w:p>
        </w:tc>
      </w:tr>
      <w:tr w:rsidR="00940562" w:rsidRPr="009B19F4" w:rsidTr="00CC4A9A">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940562" w:rsidRPr="009B19F4" w:rsidRDefault="00940562" w:rsidP="000C1C82">
            <w:pPr>
              <w:rPr>
                <w:b/>
                <w:bCs/>
                <w:color w:val="000000"/>
                <w:sz w:val="22"/>
                <w:szCs w:val="22"/>
              </w:rPr>
            </w:pPr>
            <w:r w:rsidRPr="009B19F4">
              <w:rPr>
                <w:b/>
                <w:bCs/>
                <w:color w:val="000000"/>
                <w:sz w:val="22"/>
                <w:szCs w:val="22"/>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 </w:t>
            </w:r>
          </w:p>
        </w:tc>
        <w:tc>
          <w:tcPr>
            <w:tcW w:w="1148"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rPr>
                <w:color w:val="000000"/>
                <w:sz w:val="22"/>
                <w:szCs w:val="22"/>
              </w:rPr>
            </w:pPr>
            <w:r w:rsidRPr="009B19F4">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b/>
                <w:bCs/>
                <w:color w:val="000000"/>
                <w:sz w:val="22"/>
                <w:szCs w:val="22"/>
              </w:rPr>
            </w:pPr>
            <w:r w:rsidRPr="009B19F4">
              <w:rPr>
                <w:b/>
                <w:bCs/>
                <w:color w:val="000000"/>
                <w:sz w:val="22"/>
                <w:szCs w:val="22"/>
              </w:rPr>
              <w:t>605</w:t>
            </w:r>
          </w:p>
        </w:tc>
        <w:tc>
          <w:tcPr>
            <w:tcW w:w="96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b/>
                <w:bCs/>
                <w:color w:val="000000"/>
                <w:sz w:val="22"/>
                <w:szCs w:val="22"/>
              </w:rPr>
            </w:pPr>
            <w:r w:rsidRPr="009B19F4">
              <w:rPr>
                <w:b/>
                <w:bCs/>
                <w:color w:val="000000"/>
                <w:sz w:val="22"/>
                <w:szCs w:val="22"/>
              </w:rPr>
              <w:t>355</w:t>
            </w:r>
          </w:p>
        </w:tc>
        <w:tc>
          <w:tcPr>
            <w:tcW w:w="1522"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b/>
                <w:bCs/>
                <w:color w:val="000000"/>
                <w:sz w:val="22"/>
                <w:szCs w:val="22"/>
              </w:rPr>
            </w:pPr>
            <w:r w:rsidRPr="009B19F4">
              <w:rPr>
                <w:b/>
                <w:bCs/>
                <w:color w:val="000000"/>
                <w:sz w:val="22"/>
                <w:szCs w:val="22"/>
              </w:rPr>
              <w:t>95.35%</w:t>
            </w:r>
          </w:p>
        </w:tc>
        <w:tc>
          <w:tcPr>
            <w:tcW w:w="1350" w:type="dxa"/>
            <w:tcBorders>
              <w:top w:val="nil"/>
              <w:left w:val="nil"/>
              <w:bottom w:val="single" w:sz="4" w:space="0" w:color="auto"/>
              <w:right w:val="single" w:sz="4" w:space="0" w:color="auto"/>
            </w:tcBorders>
            <w:shd w:val="clear" w:color="auto" w:fill="auto"/>
            <w:noWrap/>
            <w:vAlign w:val="bottom"/>
            <w:hideMark/>
          </w:tcPr>
          <w:p w:rsidR="00940562" w:rsidRPr="009B19F4" w:rsidRDefault="00940562" w:rsidP="000C1C82">
            <w:pPr>
              <w:jc w:val="right"/>
              <w:rPr>
                <w:b/>
                <w:bCs/>
                <w:color w:val="000000"/>
                <w:sz w:val="22"/>
                <w:szCs w:val="22"/>
              </w:rPr>
            </w:pPr>
            <w:r w:rsidRPr="009B19F4">
              <w:rPr>
                <w:b/>
                <w:bCs/>
                <w:color w:val="000000"/>
                <w:sz w:val="22"/>
                <w:szCs w:val="22"/>
              </w:rPr>
              <w:t>96.53%</w:t>
            </w:r>
          </w:p>
        </w:tc>
      </w:tr>
    </w:tbl>
    <w:p w:rsidR="00835451" w:rsidRPr="009B19F4" w:rsidRDefault="00835451" w:rsidP="000C1C82">
      <w:pPr>
        <w:ind w:left="-360"/>
      </w:pPr>
    </w:p>
    <w:p w:rsidR="00AC4EDB" w:rsidRPr="009B19F4" w:rsidRDefault="009A1931" w:rsidP="00FD7A27">
      <w:pPr>
        <w:ind w:left="-360"/>
        <w:jc w:val="both"/>
      </w:pPr>
      <w:r w:rsidRPr="009B19F4">
        <w:t>In the Economic Feasibility section of our analysis we showed that the project</w:t>
      </w:r>
      <w:r w:rsidR="006541BC" w:rsidRPr="009B19F4">
        <w:t>,</w:t>
      </w:r>
      <w:r w:rsidRPr="009B19F4">
        <w:t xml:space="preserve"> as proposed</w:t>
      </w:r>
      <w:r w:rsidR="006541BC" w:rsidRPr="009B19F4">
        <w:t>,</w:t>
      </w:r>
      <w:r w:rsidRPr="009B19F4">
        <w:t xml:space="preserve"> does not achieve MaineCare neutrality. Additional resources of $522,186 are required. As shown in the table above TAMC-AHC has an occupancy rate of 80.56% for SNF/NF beds. A review of almost two years of occupancy data shows that </w:t>
      </w:r>
      <w:r w:rsidR="006541BC" w:rsidRPr="009B19F4">
        <w:t xml:space="preserve">the average occupancy rate at TAMC-AHC is approximately 79%. </w:t>
      </w:r>
      <w:r w:rsidR="009A05CA" w:rsidRPr="009B19F4">
        <w:t>In addition</w:t>
      </w:r>
      <w:r w:rsidR="00B55616" w:rsidRPr="009B19F4">
        <w:t>,</w:t>
      </w:r>
      <w:r w:rsidR="009A05CA" w:rsidRPr="009B19F4">
        <w:t xml:space="preserve"> although Houlton Regional closed it’s 28 SNF/NF bed nursing unit the hospital has received a swing bed designation which allows it to use its beds, as needed, to provide either acute or SNF care. </w:t>
      </w:r>
      <w:r w:rsidR="006541BC" w:rsidRPr="009B19F4">
        <w:t>Due to the availability of SNF/NF beds in close proximity (within 30 miles) to Houlton we recommend that the applicant downsize the requested new SNF/NF beds until neutrality is achieved.</w:t>
      </w:r>
    </w:p>
    <w:p w:rsidR="006541BC" w:rsidRPr="009B19F4" w:rsidRDefault="006541BC" w:rsidP="000C1C82">
      <w:pPr>
        <w:ind w:left="-360"/>
      </w:pPr>
    </w:p>
    <w:p w:rsidR="006541BC" w:rsidRPr="009B19F4" w:rsidRDefault="006541BC" w:rsidP="00FD7A27">
      <w:pPr>
        <w:ind w:left="-360"/>
        <w:jc w:val="both"/>
      </w:pPr>
      <w:r w:rsidRPr="009B19F4">
        <w:t xml:space="preserve">This proposal also requests that 13 RCF beds be converted to SNF/NF beds. An analysis of facilities within a 30 mile radius of Houlton reveals that both Crestview and Gardiner </w:t>
      </w:r>
      <w:r w:rsidR="00736BA5" w:rsidRPr="009B19F4">
        <w:t xml:space="preserve">currently </w:t>
      </w:r>
      <w:r w:rsidRPr="009B19F4">
        <w:t xml:space="preserve">have occupancy rates of over 100%. </w:t>
      </w:r>
      <w:r w:rsidR="00736BA5" w:rsidRPr="009B19F4">
        <w:t xml:space="preserve">For 2013 Crestview averaged 104% occupancy while Gardiner averaged 93% occupancy. The applicant states that Madigan averaged over 92% occupancy during this time period. </w:t>
      </w:r>
      <w:r w:rsidR="00641DB5" w:rsidRPr="009B19F4">
        <w:t>This analysis shows that RCF services in close proximity (within 30 miles) to Houlton are equally vital. By reducing the requested number of SNF/NF beds and reducing the projected additional staffing required for SNF/NF beds some of the necessary RCF beds can be retained.</w:t>
      </w:r>
    </w:p>
    <w:p w:rsidR="00641DB5" w:rsidRPr="009B19F4" w:rsidRDefault="00641DB5" w:rsidP="000C1C82">
      <w:pPr>
        <w:ind w:left="-360"/>
      </w:pPr>
    </w:p>
    <w:p w:rsidR="00641DB5" w:rsidRPr="009B19F4" w:rsidRDefault="00B55616" w:rsidP="00FD7A27">
      <w:pPr>
        <w:ind w:left="-360"/>
        <w:jc w:val="both"/>
      </w:pPr>
      <w:r w:rsidRPr="009B19F4">
        <w:t>Maintaining and e</w:t>
      </w:r>
      <w:r w:rsidR="00641DB5" w:rsidRPr="009B19F4">
        <w:t>nhancing needed SNF/NF and Residential Care services will have a positive impact on the health status indicators of the population to be served.  This facility enables residents to remain close to home and family while receiving services. The facility will continue to provide individualized care and specialized rehabilitation services which include podiatry services, occupational therapy, speech therapy and physical therapy.</w:t>
      </w:r>
    </w:p>
    <w:p w:rsidR="00641DB5" w:rsidRPr="009B19F4" w:rsidRDefault="00641DB5" w:rsidP="00FD7A27">
      <w:pPr>
        <w:ind w:left="-360"/>
        <w:jc w:val="both"/>
      </w:pPr>
    </w:p>
    <w:p w:rsidR="00641DB5" w:rsidRPr="009B19F4" w:rsidRDefault="00641DB5" w:rsidP="00FD7A27">
      <w:pPr>
        <w:ind w:left="-360"/>
        <w:jc w:val="both"/>
      </w:pPr>
      <w:r w:rsidRPr="009B19F4">
        <w:t>The services affected by the project will be accessible to all residents in the area.</w:t>
      </w:r>
    </w:p>
    <w:p w:rsidR="00641DB5" w:rsidRPr="009B19F4" w:rsidRDefault="00641DB5" w:rsidP="00FD7A27">
      <w:pPr>
        <w:ind w:left="-360"/>
        <w:jc w:val="both"/>
      </w:pPr>
    </w:p>
    <w:p w:rsidR="00641DB5" w:rsidRDefault="00641DB5" w:rsidP="00FD7A27">
      <w:pPr>
        <w:ind w:left="-360"/>
        <w:jc w:val="both"/>
      </w:pPr>
      <w:r w:rsidRPr="009B19F4">
        <w:t xml:space="preserve">MGNH </w:t>
      </w:r>
      <w:r w:rsidR="00835451" w:rsidRPr="009B19F4">
        <w:t>plans to continue to enhance its rehabilitation program which will benefit patients by speeding their recovery and eventual discharge to home or community based services which are far less</w:t>
      </w:r>
      <w:r w:rsidR="009F3BAB">
        <w:t xml:space="preserve"> expensive than long-term care.</w:t>
      </w:r>
    </w:p>
    <w:p w:rsidR="001C4E9F" w:rsidRDefault="001C4E9F" w:rsidP="00FD7A27">
      <w:pPr>
        <w:ind w:left="-360"/>
        <w:jc w:val="both"/>
      </w:pPr>
    </w:p>
    <w:p w:rsidR="001C4E9F" w:rsidRDefault="001C4E9F" w:rsidP="00FD7A27">
      <w:pPr>
        <w:ind w:left="-360"/>
        <w:jc w:val="both"/>
        <w:rPr>
          <w:b/>
          <w:u w:val="single"/>
        </w:rPr>
      </w:pPr>
      <w:r w:rsidRPr="001C4E9F">
        <w:rPr>
          <w:b/>
          <w:u w:val="single"/>
        </w:rPr>
        <w:t>CONU Comment:</w:t>
      </w:r>
    </w:p>
    <w:p w:rsidR="001C4E9F" w:rsidRPr="001B696D" w:rsidRDefault="007A565D" w:rsidP="00FD7A27">
      <w:pPr>
        <w:ind w:left="-360"/>
        <w:jc w:val="both"/>
      </w:pPr>
      <w:r>
        <w:t>The applicant</w:t>
      </w:r>
      <w:r w:rsidR="001B696D">
        <w:t xml:space="preserve"> revised project has addressed previous CONU concerns. Leaving the existing 47 bed RCF capacity in place at Madigan estates will ensure that necessary RCF services in the Houlton area will remain in place. The addition of only 13 SNF/NF beds ensures MaineCare neutrality while meeting current demand for SNF/NF services.</w:t>
      </w:r>
    </w:p>
    <w:p w:rsidR="00AC7333" w:rsidRPr="009B19F4" w:rsidRDefault="00AC7333" w:rsidP="00FD7A27">
      <w:pPr>
        <w:ind w:left="-360"/>
        <w:jc w:val="both"/>
        <w:rPr>
          <w:b/>
        </w:rPr>
      </w:pPr>
    </w:p>
    <w:p w:rsidR="00B132AC" w:rsidRPr="009B19F4" w:rsidRDefault="008E41AC" w:rsidP="00D46EA9">
      <w:pPr>
        <w:pStyle w:val="ListParagraph"/>
        <w:numPr>
          <w:ilvl w:val="0"/>
          <w:numId w:val="34"/>
        </w:numPr>
        <w:ind w:left="0" w:hanging="360"/>
        <w:jc w:val="both"/>
      </w:pPr>
      <w:r w:rsidRPr="00D46EA9">
        <w:rPr>
          <w:b/>
        </w:rPr>
        <w:t>Conclusion</w:t>
      </w:r>
    </w:p>
    <w:p w:rsidR="00D77F04" w:rsidRPr="0064020C" w:rsidRDefault="00D77F04" w:rsidP="00FD7A27">
      <w:pPr>
        <w:ind w:left="-360"/>
        <w:jc w:val="both"/>
      </w:pPr>
    </w:p>
    <w:p w:rsidR="00AC7333" w:rsidRPr="006B35F7" w:rsidRDefault="00AC7333" w:rsidP="00FD7A27">
      <w:pPr>
        <w:ind w:left="-360"/>
        <w:jc w:val="both"/>
      </w:pPr>
      <w:r w:rsidRPr="009B19F4">
        <w:t xml:space="preserve">The Certificate of Need Unit recommends that the Commissioner find that the applicant has met their burden to show that there is a public need for the proposed project. </w:t>
      </w:r>
    </w:p>
    <w:p w:rsidR="00D77F04" w:rsidRPr="009B19F4" w:rsidRDefault="00D77F04" w:rsidP="00FD7A27">
      <w:pPr>
        <w:jc w:val="both"/>
        <w:sectPr w:rsidR="00D77F04" w:rsidRPr="009B19F4" w:rsidSect="009530A6">
          <w:pgSz w:w="12240" w:h="15840"/>
          <w:pgMar w:top="1440" w:right="1080" w:bottom="1440" w:left="1800" w:header="720" w:footer="720" w:gutter="0"/>
          <w:cols w:space="720"/>
          <w:docGrid w:linePitch="360"/>
        </w:sectPr>
      </w:pPr>
    </w:p>
    <w:p w:rsidR="004336AF" w:rsidRPr="009B19F4" w:rsidRDefault="004336AF" w:rsidP="0094379E">
      <w:pPr>
        <w:pStyle w:val="Heading1"/>
        <w:spacing w:after="0"/>
        <w:ind w:left="-360"/>
        <w:rPr>
          <w:rFonts w:ascii="Times New Roman" w:hAnsi="Times New Roman" w:cs="Times New Roman"/>
        </w:rPr>
      </w:pPr>
      <w:bookmarkStart w:id="16" w:name="_Ref195319951"/>
      <w:r w:rsidRPr="009B19F4">
        <w:rPr>
          <w:rFonts w:ascii="Times New Roman" w:hAnsi="Times New Roman" w:cs="Times New Roman"/>
        </w:rPr>
        <w:t xml:space="preserve">V. </w:t>
      </w:r>
      <w:bookmarkEnd w:id="16"/>
      <w:r w:rsidR="00CF12AC" w:rsidRPr="009B19F4">
        <w:rPr>
          <w:rFonts w:ascii="Times New Roman" w:hAnsi="Times New Roman" w:cs="Times New Roman"/>
        </w:rPr>
        <w:t>Orderly and Economic Development</w:t>
      </w:r>
    </w:p>
    <w:p w:rsidR="00C841B6" w:rsidRPr="009B19F4" w:rsidRDefault="00C841B6" w:rsidP="00FF1025">
      <w:pPr>
        <w:ind w:left="-360"/>
        <w:rPr>
          <w:b/>
        </w:rPr>
      </w:pPr>
    </w:p>
    <w:p w:rsidR="00664296" w:rsidRPr="009B19F4" w:rsidRDefault="00555A69" w:rsidP="00FF1025">
      <w:pPr>
        <w:ind w:left="-360"/>
        <w:rPr>
          <w:b/>
        </w:rPr>
      </w:pPr>
      <w:r w:rsidRPr="009B19F4">
        <w:rPr>
          <w:b/>
        </w:rPr>
        <w:t xml:space="preserve">A. </w:t>
      </w:r>
      <w:r w:rsidR="00664296" w:rsidRPr="006B35F7">
        <w:rPr>
          <w:b/>
          <w:u w:val="single"/>
        </w:rPr>
        <w:t>From Applicant</w:t>
      </w:r>
    </w:p>
    <w:p w:rsidR="00E46A96" w:rsidRPr="009B19F4" w:rsidRDefault="00E46A96" w:rsidP="00FF1025">
      <w:pPr>
        <w:ind w:left="-360"/>
        <w:rPr>
          <w:b/>
          <w:sz w:val="16"/>
          <w:szCs w:val="16"/>
          <w:u w:val="single"/>
        </w:rPr>
      </w:pPr>
    </w:p>
    <w:p w:rsidR="007C4103" w:rsidRPr="006B35F7" w:rsidRDefault="003A2BF6" w:rsidP="00FF1025">
      <w:pPr>
        <w:ind w:left="-360"/>
        <w:jc w:val="both"/>
        <w:rPr>
          <w:sz w:val="22"/>
          <w:szCs w:val="22"/>
        </w:rPr>
      </w:pPr>
      <w:r w:rsidRPr="006B35F7">
        <w:rPr>
          <w:sz w:val="22"/>
          <w:szCs w:val="22"/>
        </w:rPr>
        <w:t>“</w:t>
      </w:r>
      <w:r w:rsidR="007C4103" w:rsidRPr="006B35F7">
        <w:rPr>
          <w:sz w:val="22"/>
          <w:szCs w:val="22"/>
        </w:rPr>
        <w:t>Relevant criteria for inclusion in this section are specific to the determination that the proposed services are consistent with the orderly and economic development of health facilities and health resources for the State as demonstrated by:</w:t>
      </w:r>
    </w:p>
    <w:p w:rsidR="007C4103" w:rsidRPr="006B35F7" w:rsidRDefault="007C4103" w:rsidP="00FF1025">
      <w:pPr>
        <w:ind w:left="-360"/>
        <w:jc w:val="both"/>
        <w:rPr>
          <w:sz w:val="22"/>
          <w:szCs w:val="22"/>
        </w:rPr>
      </w:pPr>
    </w:p>
    <w:p w:rsidR="007C4103" w:rsidRPr="006B35F7" w:rsidRDefault="007C4103" w:rsidP="00FF1025">
      <w:pPr>
        <w:numPr>
          <w:ilvl w:val="0"/>
          <w:numId w:val="29"/>
        </w:numPr>
        <w:ind w:left="630"/>
        <w:jc w:val="both"/>
        <w:rPr>
          <w:sz w:val="22"/>
          <w:szCs w:val="22"/>
        </w:rPr>
      </w:pPr>
      <w:r w:rsidRPr="006B35F7">
        <w:rPr>
          <w:sz w:val="22"/>
          <w:szCs w:val="22"/>
        </w:rPr>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2D5216" w:rsidRPr="006B35F7" w:rsidRDefault="002D5216" w:rsidP="00FF1025">
      <w:pPr>
        <w:ind w:left="630"/>
        <w:jc w:val="both"/>
        <w:rPr>
          <w:sz w:val="22"/>
          <w:szCs w:val="22"/>
        </w:rPr>
      </w:pPr>
    </w:p>
    <w:p w:rsidR="007C4103" w:rsidRPr="006B35F7" w:rsidRDefault="007C4103" w:rsidP="00FF1025">
      <w:pPr>
        <w:numPr>
          <w:ilvl w:val="0"/>
          <w:numId w:val="29"/>
        </w:numPr>
        <w:ind w:left="630"/>
        <w:jc w:val="both"/>
        <w:rPr>
          <w:sz w:val="22"/>
          <w:szCs w:val="22"/>
        </w:rPr>
      </w:pPr>
      <w:r w:rsidRPr="006B35F7">
        <w:rPr>
          <w:sz w:val="22"/>
          <w:szCs w:val="22"/>
        </w:rPr>
        <w:t>The availability of state funds to cover any increase in state costs associated with utilization of the project’s services; and</w:t>
      </w:r>
    </w:p>
    <w:p w:rsidR="002D5216" w:rsidRPr="006B35F7" w:rsidRDefault="002D5216" w:rsidP="00FF1025">
      <w:pPr>
        <w:ind w:left="630"/>
        <w:jc w:val="both"/>
        <w:rPr>
          <w:sz w:val="22"/>
          <w:szCs w:val="22"/>
        </w:rPr>
      </w:pPr>
    </w:p>
    <w:p w:rsidR="007C4103" w:rsidRPr="006B35F7" w:rsidRDefault="007C4103" w:rsidP="00FF1025">
      <w:pPr>
        <w:numPr>
          <w:ilvl w:val="0"/>
          <w:numId w:val="29"/>
        </w:numPr>
        <w:ind w:left="630"/>
        <w:jc w:val="both"/>
        <w:rPr>
          <w:sz w:val="22"/>
          <w:szCs w:val="22"/>
        </w:rPr>
      </w:pPr>
      <w:r w:rsidRPr="006B35F7">
        <w:rPr>
          <w:sz w:val="22"/>
          <w:szCs w:val="22"/>
        </w:rPr>
        <w:t>The likelihood that more effective, more accessible or less costly alternative technologies or methods of service delivery may become available.</w:t>
      </w:r>
      <w:r w:rsidR="003A2BF6" w:rsidRPr="006B35F7">
        <w:rPr>
          <w:sz w:val="22"/>
          <w:szCs w:val="22"/>
        </w:rPr>
        <w:t>”</w:t>
      </w:r>
    </w:p>
    <w:p w:rsidR="007C4103" w:rsidRPr="006B35F7" w:rsidRDefault="007C4103" w:rsidP="00FF1025">
      <w:pPr>
        <w:ind w:left="-360"/>
        <w:jc w:val="both"/>
        <w:rPr>
          <w:sz w:val="22"/>
          <w:szCs w:val="22"/>
          <w:u w:val="single"/>
        </w:rPr>
      </w:pPr>
    </w:p>
    <w:p w:rsidR="007C4103" w:rsidRPr="006B35F7" w:rsidRDefault="003A2BF6" w:rsidP="00FF1025">
      <w:pPr>
        <w:ind w:left="-360"/>
        <w:jc w:val="both"/>
        <w:rPr>
          <w:sz w:val="22"/>
          <w:szCs w:val="22"/>
        </w:rPr>
      </w:pPr>
      <w:bookmarkStart w:id="17" w:name="_Ref195319957"/>
      <w:r w:rsidRPr="006B35F7">
        <w:rPr>
          <w:sz w:val="22"/>
          <w:szCs w:val="22"/>
        </w:rPr>
        <w:t>“</w:t>
      </w:r>
      <w:r w:rsidR="007C4103" w:rsidRPr="006B35F7">
        <w:rPr>
          <w:sz w:val="22"/>
          <w:szCs w:val="22"/>
        </w:rPr>
        <w:t>In overview, the proposed project of MGNH is consistent with the orderly and economic development of health facilities and health resources for the State because it will continue needed services that have historically been provided over the past 40 years. The project likewise fulfills the MaineCare neutrality requirement.</w:t>
      </w:r>
      <w:r w:rsidRPr="006B35F7">
        <w:rPr>
          <w:sz w:val="22"/>
          <w:szCs w:val="22"/>
        </w:rPr>
        <w:t>”</w:t>
      </w:r>
    </w:p>
    <w:p w:rsidR="007C4103" w:rsidRPr="006B35F7" w:rsidRDefault="007C4103" w:rsidP="00FF1025">
      <w:pPr>
        <w:ind w:left="-360"/>
        <w:jc w:val="both"/>
        <w:rPr>
          <w:sz w:val="22"/>
          <w:szCs w:val="22"/>
        </w:rPr>
      </w:pPr>
    </w:p>
    <w:p w:rsidR="007C4103" w:rsidRPr="006B35F7" w:rsidRDefault="003A2BF6" w:rsidP="00FF1025">
      <w:pPr>
        <w:ind w:left="-360"/>
        <w:jc w:val="both"/>
        <w:rPr>
          <w:sz w:val="22"/>
          <w:szCs w:val="22"/>
        </w:rPr>
      </w:pPr>
      <w:r w:rsidRPr="006B35F7">
        <w:rPr>
          <w:sz w:val="22"/>
          <w:szCs w:val="22"/>
        </w:rPr>
        <w:t>“</w:t>
      </w:r>
      <w:r w:rsidR="007C4103" w:rsidRPr="006B35F7">
        <w:rPr>
          <w:sz w:val="22"/>
          <w:szCs w:val="22"/>
        </w:rPr>
        <w:t>The facility has serviced its community effectively for many years. MGNH is committed to building on this long record of service with updated programs and proven systems. In addition, it is highly unlikely that a more effective, more accessible or less costly alternative technologies or methods or services delivery may become available as MGNH is already very well established within the community. In fact, the continuation of nursing and residential services in central Aroostook County is vital to the community and the population being served.</w:t>
      </w:r>
      <w:r w:rsidRPr="006B35F7">
        <w:rPr>
          <w:sz w:val="22"/>
          <w:szCs w:val="22"/>
        </w:rPr>
        <w:t>”</w:t>
      </w:r>
    </w:p>
    <w:p w:rsidR="007C4103" w:rsidRPr="006B35F7" w:rsidRDefault="007C4103" w:rsidP="00FF1025">
      <w:pPr>
        <w:ind w:left="-360"/>
        <w:jc w:val="both"/>
        <w:rPr>
          <w:sz w:val="22"/>
          <w:szCs w:val="22"/>
        </w:rPr>
      </w:pPr>
    </w:p>
    <w:p w:rsidR="007C4103" w:rsidRPr="006B35F7" w:rsidRDefault="003A2BF6" w:rsidP="00FF1025">
      <w:pPr>
        <w:ind w:left="-360"/>
        <w:jc w:val="both"/>
        <w:rPr>
          <w:sz w:val="22"/>
          <w:szCs w:val="22"/>
        </w:rPr>
      </w:pPr>
      <w:r w:rsidRPr="006B35F7">
        <w:rPr>
          <w:sz w:val="22"/>
          <w:szCs w:val="22"/>
        </w:rPr>
        <w:t>“</w:t>
      </w:r>
      <w:r w:rsidR="007C4103" w:rsidRPr="006B35F7">
        <w:rPr>
          <w:sz w:val="22"/>
          <w:szCs w:val="22"/>
        </w:rPr>
        <w:t>The proposed project will result in the rebasing of the facility’s MaineCare rates and additional depreciation and interest expense. We have provided and attached a proforma cost report included at Exhibit VIII for the first full year of operations following completion of the proposed project. The report has been prepared consistent with the Principles of Reimbursement and is based on the rate letters currently in effect. The estimated increase cost to the State of Maine is $811,000.</w:t>
      </w:r>
      <w:r w:rsidRPr="006B35F7">
        <w:rPr>
          <w:sz w:val="22"/>
          <w:szCs w:val="22"/>
        </w:rPr>
        <w:t>”</w:t>
      </w:r>
    </w:p>
    <w:p w:rsidR="007C4103" w:rsidRPr="006B35F7" w:rsidRDefault="007C4103" w:rsidP="00FF1025">
      <w:pPr>
        <w:ind w:left="-360"/>
        <w:jc w:val="both"/>
        <w:rPr>
          <w:sz w:val="22"/>
          <w:szCs w:val="22"/>
        </w:rPr>
      </w:pPr>
    </w:p>
    <w:p w:rsidR="007C4103" w:rsidRPr="006B35F7" w:rsidRDefault="003A2BF6" w:rsidP="00FF1025">
      <w:pPr>
        <w:ind w:left="-360"/>
        <w:jc w:val="both"/>
        <w:rPr>
          <w:sz w:val="22"/>
          <w:szCs w:val="22"/>
        </w:rPr>
      </w:pPr>
      <w:r w:rsidRPr="006B35F7">
        <w:rPr>
          <w:sz w:val="22"/>
          <w:szCs w:val="22"/>
        </w:rPr>
        <w:t>“</w:t>
      </w:r>
      <w:r w:rsidR="007C4103" w:rsidRPr="006B35F7">
        <w:rPr>
          <w:sz w:val="22"/>
          <w:szCs w:val="22"/>
        </w:rPr>
        <w:t>Despite this increase in reimbursement dollars, the project will achieve MaineCare neutrality through the use of the revenue stream associated with the purchase of Houlton Regional Hospital’s 28-bed skilled nursing unit (see Exhibit XII for MaineCare neutrality analysis).</w:t>
      </w:r>
      <w:r w:rsidRPr="006B35F7">
        <w:rPr>
          <w:sz w:val="22"/>
          <w:szCs w:val="22"/>
        </w:rPr>
        <w:t>”</w:t>
      </w:r>
    </w:p>
    <w:bookmarkEnd w:id="17"/>
    <w:p w:rsidR="007C4103" w:rsidRPr="006B35F7" w:rsidRDefault="007C4103" w:rsidP="00FF1025">
      <w:pPr>
        <w:ind w:left="-360"/>
        <w:jc w:val="both"/>
        <w:rPr>
          <w:sz w:val="22"/>
          <w:szCs w:val="22"/>
        </w:rPr>
      </w:pPr>
    </w:p>
    <w:p w:rsidR="007C4103" w:rsidRPr="006B35F7" w:rsidRDefault="003A2BF6" w:rsidP="00FF1025">
      <w:pPr>
        <w:ind w:left="-360"/>
        <w:jc w:val="both"/>
        <w:rPr>
          <w:sz w:val="22"/>
          <w:szCs w:val="22"/>
        </w:rPr>
      </w:pPr>
      <w:r w:rsidRPr="006B35F7">
        <w:rPr>
          <w:sz w:val="22"/>
          <w:szCs w:val="22"/>
        </w:rPr>
        <w:t>“</w:t>
      </w:r>
      <w:r w:rsidR="007C4103" w:rsidRPr="006B35F7">
        <w:rPr>
          <w:sz w:val="22"/>
          <w:szCs w:val="22"/>
        </w:rPr>
        <w:t>Gardiner Health Care Facility, which is located in Houlton, also has a higher than average census, therefore there should be no impact to that facility.</w:t>
      </w:r>
      <w:r w:rsidRPr="006B35F7">
        <w:rPr>
          <w:sz w:val="22"/>
          <w:szCs w:val="22"/>
        </w:rPr>
        <w:t>”</w:t>
      </w:r>
    </w:p>
    <w:p w:rsidR="007C4103" w:rsidRPr="006B35F7" w:rsidRDefault="007C4103" w:rsidP="00FF1025">
      <w:pPr>
        <w:ind w:left="-360"/>
        <w:jc w:val="both"/>
        <w:rPr>
          <w:sz w:val="22"/>
          <w:szCs w:val="22"/>
        </w:rPr>
      </w:pPr>
    </w:p>
    <w:p w:rsidR="007C4103" w:rsidRPr="006B35F7" w:rsidRDefault="003A2BF6" w:rsidP="00FF1025">
      <w:pPr>
        <w:ind w:left="-360"/>
        <w:jc w:val="both"/>
        <w:rPr>
          <w:sz w:val="22"/>
          <w:szCs w:val="22"/>
        </w:rPr>
      </w:pPr>
      <w:r w:rsidRPr="006B35F7">
        <w:rPr>
          <w:sz w:val="22"/>
          <w:szCs w:val="22"/>
        </w:rPr>
        <w:t>“</w:t>
      </w:r>
      <w:r w:rsidR="007C4103" w:rsidRPr="006B35F7">
        <w:rPr>
          <w:sz w:val="22"/>
          <w:szCs w:val="22"/>
        </w:rPr>
        <w:t>Crestview Manor, which is also located in Houlton, could potentially see an increase in occupancy due to the loss of the 13 RCF beds at MGNH.</w:t>
      </w:r>
      <w:r w:rsidRPr="006B35F7">
        <w:rPr>
          <w:sz w:val="22"/>
          <w:szCs w:val="22"/>
        </w:rPr>
        <w:t>”</w:t>
      </w:r>
    </w:p>
    <w:p w:rsidR="00F65F28" w:rsidRPr="006B35F7" w:rsidRDefault="00F65F28" w:rsidP="00FF1025">
      <w:pPr>
        <w:ind w:left="-360"/>
        <w:jc w:val="both"/>
        <w:rPr>
          <w:sz w:val="22"/>
          <w:szCs w:val="22"/>
        </w:rPr>
      </w:pPr>
    </w:p>
    <w:p w:rsidR="007C4103" w:rsidRPr="006B35F7" w:rsidRDefault="003A2BF6" w:rsidP="00FF1025">
      <w:pPr>
        <w:ind w:left="-360"/>
        <w:jc w:val="both"/>
        <w:rPr>
          <w:sz w:val="22"/>
          <w:szCs w:val="22"/>
        </w:rPr>
      </w:pPr>
      <w:r w:rsidRPr="006B35F7">
        <w:rPr>
          <w:sz w:val="22"/>
          <w:szCs w:val="22"/>
        </w:rPr>
        <w:t>“</w:t>
      </w:r>
      <w:r w:rsidR="007C4103" w:rsidRPr="006B35F7">
        <w:rPr>
          <w:sz w:val="22"/>
          <w:szCs w:val="22"/>
        </w:rPr>
        <w:t>See Exhibit XIII for copies of letters from community leaders and medical staff as evidence of quality services offered by the facility and support for the project.</w:t>
      </w:r>
      <w:r w:rsidRPr="006B35F7">
        <w:rPr>
          <w:sz w:val="22"/>
          <w:szCs w:val="22"/>
        </w:rPr>
        <w:t>”</w:t>
      </w:r>
    </w:p>
    <w:p w:rsidR="007A565D" w:rsidRDefault="007A565D" w:rsidP="00FF1025">
      <w:pPr>
        <w:ind w:left="-360"/>
        <w:jc w:val="both"/>
        <w:rPr>
          <w:sz w:val="22"/>
          <w:szCs w:val="22"/>
        </w:rPr>
        <w:sectPr w:rsidR="007A565D" w:rsidSect="001123F4">
          <w:headerReference w:type="default" r:id="rId23"/>
          <w:pgSz w:w="12240" w:h="15840"/>
          <w:pgMar w:top="1440" w:right="1080" w:bottom="1440" w:left="1800" w:header="720" w:footer="720" w:gutter="0"/>
          <w:cols w:space="720"/>
          <w:docGrid w:linePitch="360"/>
        </w:sectPr>
      </w:pPr>
    </w:p>
    <w:p w:rsidR="003C47D5" w:rsidRPr="007A565D" w:rsidRDefault="003C47D5" w:rsidP="00FF1025">
      <w:pPr>
        <w:ind w:left="-360"/>
        <w:jc w:val="both"/>
        <w:rPr>
          <w:sz w:val="10"/>
          <w:szCs w:val="10"/>
        </w:rPr>
      </w:pPr>
    </w:p>
    <w:p w:rsidR="007C4103" w:rsidRPr="006B35F7" w:rsidRDefault="003A2BF6" w:rsidP="00FF1025">
      <w:pPr>
        <w:ind w:left="-360"/>
        <w:jc w:val="both"/>
        <w:rPr>
          <w:sz w:val="22"/>
          <w:szCs w:val="22"/>
        </w:rPr>
      </w:pPr>
      <w:r w:rsidRPr="006B35F7">
        <w:rPr>
          <w:sz w:val="22"/>
          <w:szCs w:val="22"/>
        </w:rPr>
        <w:t>“</w:t>
      </w:r>
      <w:r w:rsidR="007C4103" w:rsidRPr="006B35F7">
        <w:rPr>
          <w:sz w:val="22"/>
          <w:szCs w:val="22"/>
        </w:rPr>
        <w:t>This project will require an additional 12-15 FTE employees to staff</w:t>
      </w:r>
      <w:r w:rsidR="008517F2" w:rsidRPr="006B35F7">
        <w:rPr>
          <w:sz w:val="22"/>
          <w:szCs w:val="22"/>
        </w:rPr>
        <w:t xml:space="preserve"> </w:t>
      </w:r>
      <w:r w:rsidR="007C4103" w:rsidRPr="006B35F7">
        <w:rPr>
          <w:sz w:val="22"/>
          <w:szCs w:val="22"/>
        </w:rPr>
        <w:t xml:space="preserve"> this expansion of the facility. The facility has numerous applications for RN’s and CNA’s that will be needed to provide care to the residents. The facility conducts a CNA training program that is held at least annually to support the facility’s needs. The staffing in the RCF that will be displaced due to the conversion could also be trained as CNA’s to meet the needs of the facility.</w:t>
      </w:r>
      <w:r w:rsidRPr="006B35F7">
        <w:rPr>
          <w:sz w:val="22"/>
          <w:szCs w:val="22"/>
        </w:rPr>
        <w:t>”</w:t>
      </w:r>
    </w:p>
    <w:p w:rsidR="00664296" w:rsidRPr="007A565D" w:rsidRDefault="00664296" w:rsidP="00FF1025">
      <w:pPr>
        <w:ind w:left="-360"/>
        <w:rPr>
          <w:b/>
          <w:sz w:val="10"/>
          <w:szCs w:val="10"/>
          <w:u w:val="single"/>
        </w:rPr>
      </w:pPr>
    </w:p>
    <w:p w:rsidR="008E41AC" w:rsidRPr="009B19F4" w:rsidRDefault="00555A69" w:rsidP="00FF1025">
      <w:pPr>
        <w:ind w:left="-360"/>
        <w:rPr>
          <w:b/>
        </w:rPr>
      </w:pPr>
      <w:r w:rsidRPr="009B19F4">
        <w:rPr>
          <w:b/>
        </w:rPr>
        <w:t xml:space="preserve">B. </w:t>
      </w:r>
      <w:r w:rsidR="006A7CB7" w:rsidRPr="006B35F7">
        <w:rPr>
          <w:b/>
          <w:u w:val="single"/>
        </w:rPr>
        <w:t>Certificate of Need Unit</w:t>
      </w:r>
      <w:r w:rsidR="008E41AC" w:rsidRPr="006B35F7">
        <w:rPr>
          <w:b/>
          <w:u w:val="single"/>
        </w:rPr>
        <w:t xml:space="preserve"> Discussion</w:t>
      </w:r>
    </w:p>
    <w:p w:rsidR="008E41AC" w:rsidRPr="007A565D" w:rsidRDefault="008E41AC" w:rsidP="00FF1025">
      <w:pPr>
        <w:ind w:left="-360"/>
        <w:rPr>
          <w:b/>
          <w:sz w:val="10"/>
          <w:szCs w:val="10"/>
        </w:rPr>
      </w:pPr>
    </w:p>
    <w:p w:rsidR="00792060" w:rsidRPr="00D46EA9" w:rsidRDefault="006B35F7" w:rsidP="00D46EA9">
      <w:pPr>
        <w:pStyle w:val="ListParagraph"/>
        <w:numPr>
          <w:ilvl w:val="0"/>
          <w:numId w:val="35"/>
        </w:numPr>
        <w:ind w:left="-90" w:hanging="270"/>
        <w:rPr>
          <w:b/>
        </w:rPr>
      </w:pPr>
      <w:r w:rsidRPr="00D46EA9">
        <w:rPr>
          <w:b/>
        </w:rPr>
        <w:t>CON</w:t>
      </w:r>
      <w:r w:rsidR="001C5ECE" w:rsidRPr="00D46EA9">
        <w:rPr>
          <w:b/>
        </w:rPr>
        <w:t xml:space="preserve"> </w:t>
      </w:r>
      <w:r w:rsidR="00E7467A" w:rsidRPr="00D46EA9">
        <w:rPr>
          <w:b/>
        </w:rPr>
        <w:t>Standard</w:t>
      </w:r>
      <w:r w:rsidR="000C1C82" w:rsidRPr="00D46EA9">
        <w:rPr>
          <w:b/>
        </w:rPr>
        <w:t>s</w:t>
      </w:r>
    </w:p>
    <w:p w:rsidR="00792060" w:rsidRPr="007A565D" w:rsidRDefault="00792060" w:rsidP="00FF1025">
      <w:pPr>
        <w:ind w:left="-360"/>
        <w:rPr>
          <w:b/>
          <w:sz w:val="10"/>
          <w:szCs w:val="10"/>
        </w:rPr>
      </w:pPr>
    </w:p>
    <w:p w:rsidR="00822DE4" w:rsidRPr="009B19F4" w:rsidRDefault="00822DE4" w:rsidP="00FF1025">
      <w:pPr>
        <w:ind w:left="-360"/>
        <w:jc w:val="both"/>
      </w:pPr>
      <w:r w:rsidRPr="009B19F4">
        <w:t xml:space="preserve">Relevant standards for inclusion in this section are specific to the determination that the proposed services are consistent with the orderly and economic development of health facilities and health resources for the State as demonstrated by: </w:t>
      </w:r>
    </w:p>
    <w:p w:rsidR="00822DE4" w:rsidRPr="007A565D" w:rsidRDefault="00822DE4" w:rsidP="00FF1025">
      <w:pPr>
        <w:ind w:left="-360"/>
        <w:jc w:val="both"/>
        <w:rPr>
          <w:sz w:val="10"/>
          <w:szCs w:val="10"/>
        </w:rPr>
      </w:pPr>
    </w:p>
    <w:p w:rsidR="00822DE4" w:rsidRDefault="00822DE4" w:rsidP="00FF1025">
      <w:pPr>
        <w:numPr>
          <w:ilvl w:val="0"/>
          <w:numId w:val="3"/>
        </w:numPr>
        <w:tabs>
          <w:tab w:val="clear" w:pos="720"/>
          <w:tab w:val="num" w:pos="180"/>
          <w:tab w:val="left" w:pos="540"/>
        </w:tabs>
        <w:ind w:left="540"/>
        <w:jc w:val="both"/>
      </w:pPr>
      <w:r w:rsidRPr="009B19F4">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6B35F7" w:rsidRPr="009B19F4" w:rsidRDefault="006B35F7" w:rsidP="00FF1025">
      <w:pPr>
        <w:tabs>
          <w:tab w:val="left" w:pos="540"/>
        </w:tabs>
        <w:ind w:left="540" w:hanging="360"/>
        <w:jc w:val="both"/>
      </w:pPr>
    </w:p>
    <w:p w:rsidR="00822DE4" w:rsidRDefault="00822DE4" w:rsidP="00FF1025">
      <w:pPr>
        <w:numPr>
          <w:ilvl w:val="0"/>
          <w:numId w:val="3"/>
        </w:numPr>
        <w:tabs>
          <w:tab w:val="clear" w:pos="720"/>
          <w:tab w:val="left" w:pos="540"/>
        </w:tabs>
        <w:ind w:left="540"/>
        <w:jc w:val="both"/>
      </w:pPr>
      <w:r w:rsidRPr="009B19F4">
        <w:t xml:space="preserve">The availability of state funds to cover any increase in state costs associated with utilization of the project's services; and </w:t>
      </w:r>
    </w:p>
    <w:p w:rsidR="006B35F7" w:rsidRPr="009B19F4" w:rsidRDefault="006B35F7" w:rsidP="00FF1025">
      <w:pPr>
        <w:tabs>
          <w:tab w:val="left" w:pos="540"/>
        </w:tabs>
        <w:ind w:left="540" w:hanging="360"/>
        <w:jc w:val="both"/>
      </w:pPr>
    </w:p>
    <w:p w:rsidR="008E41AC" w:rsidRPr="006B35F7" w:rsidRDefault="00822DE4" w:rsidP="00FF1025">
      <w:pPr>
        <w:pStyle w:val="ListParagraph"/>
        <w:numPr>
          <w:ilvl w:val="0"/>
          <w:numId w:val="3"/>
        </w:numPr>
        <w:tabs>
          <w:tab w:val="clear" w:pos="720"/>
          <w:tab w:val="num" w:pos="270"/>
          <w:tab w:val="left" w:pos="540"/>
        </w:tabs>
        <w:ind w:left="540"/>
        <w:rPr>
          <w:b/>
        </w:rPr>
      </w:pPr>
      <w:r w:rsidRPr="009B19F4">
        <w:t>The likelihood that more effective, more accessible or less costly alternative technologies or methods of service delivery may become available</w:t>
      </w:r>
    </w:p>
    <w:p w:rsidR="008E41AC" w:rsidRPr="007A565D" w:rsidRDefault="008E41AC" w:rsidP="00FF1025">
      <w:pPr>
        <w:ind w:left="-360"/>
        <w:rPr>
          <w:b/>
          <w:sz w:val="10"/>
          <w:szCs w:val="10"/>
        </w:rPr>
      </w:pPr>
    </w:p>
    <w:p w:rsidR="008E41AC" w:rsidRPr="00D46EA9" w:rsidRDefault="006B35F7" w:rsidP="00D46EA9">
      <w:pPr>
        <w:pStyle w:val="ListParagraph"/>
        <w:numPr>
          <w:ilvl w:val="0"/>
          <w:numId w:val="35"/>
        </w:numPr>
        <w:tabs>
          <w:tab w:val="left" w:pos="-360"/>
        </w:tabs>
        <w:ind w:left="-90" w:hanging="270"/>
        <w:jc w:val="both"/>
        <w:rPr>
          <w:b/>
        </w:rPr>
      </w:pPr>
      <w:r w:rsidRPr="00D46EA9">
        <w:rPr>
          <w:b/>
        </w:rPr>
        <w:t>CON</w:t>
      </w:r>
      <w:r w:rsidR="00211D06" w:rsidRPr="00D46EA9">
        <w:rPr>
          <w:b/>
        </w:rPr>
        <w:t xml:space="preserve"> </w:t>
      </w:r>
      <w:r w:rsidR="00D46EA9" w:rsidRPr="00D46EA9">
        <w:rPr>
          <w:b/>
        </w:rPr>
        <w:t xml:space="preserve">Unit </w:t>
      </w:r>
      <w:r w:rsidR="008E41AC" w:rsidRPr="00D46EA9">
        <w:rPr>
          <w:b/>
        </w:rPr>
        <w:t>Analysis</w:t>
      </w:r>
    </w:p>
    <w:p w:rsidR="005D47BC" w:rsidRPr="007A565D" w:rsidRDefault="005D47BC" w:rsidP="00FF1025">
      <w:pPr>
        <w:ind w:left="-360"/>
        <w:jc w:val="both"/>
        <w:rPr>
          <w:b/>
          <w:sz w:val="10"/>
          <w:szCs w:val="10"/>
        </w:rPr>
      </w:pPr>
    </w:p>
    <w:p w:rsidR="00C5107E" w:rsidRPr="009B19F4" w:rsidRDefault="00175D23" w:rsidP="00FF1025">
      <w:pPr>
        <w:ind w:left="-360"/>
        <w:jc w:val="both"/>
      </w:pPr>
      <w:r w:rsidRPr="009B19F4">
        <w:t xml:space="preserve">The decision to increase MGNH SNF/NF capacity from 86 to 111 beds </w:t>
      </w:r>
      <w:r w:rsidR="00782270" w:rsidRPr="009B19F4">
        <w:t>would address a demonstrated need for additional SNF/NF beds in the Houlton area. Unfortunately this benefit would be offset by a reduction in necessary RCF beds in the area by redu</w:t>
      </w:r>
      <w:r w:rsidR="00904DD5">
        <w:t>cing MGNH census from 47 to 34.</w:t>
      </w:r>
    </w:p>
    <w:p w:rsidR="00C5107E" w:rsidRPr="007A565D" w:rsidRDefault="00C5107E" w:rsidP="00FF1025">
      <w:pPr>
        <w:ind w:left="-360"/>
        <w:jc w:val="both"/>
        <w:rPr>
          <w:sz w:val="10"/>
          <w:szCs w:val="10"/>
        </w:rPr>
      </w:pPr>
    </w:p>
    <w:p w:rsidR="00175D23" w:rsidRPr="009B19F4" w:rsidRDefault="00782270" w:rsidP="00FF1025">
      <w:pPr>
        <w:ind w:left="-360"/>
        <w:jc w:val="both"/>
      </w:pPr>
      <w:r w:rsidRPr="009B19F4">
        <w:t xml:space="preserve">The increased operating costs associated with the 25 additional SNF/NF beds would only be partially offset by the MaineCare revenue stream associated with the 28 Houlton Regional SNF/NF beds. </w:t>
      </w:r>
      <w:r w:rsidR="00C5107E" w:rsidRPr="009B19F4">
        <w:t>Total health care expenditures would increase by</w:t>
      </w:r>
      <w:r w:rsidRPr="009B19F4">
        <w:t xml:space="preserve"> of $522,186</w:t>
      </w:r>
      <w:r w:rsidR="00C5107E" w:rsidRPr="009B19F4">
        <w:t>.</w:t>
      </w:r>
      <w:r w:rsidRPr="009B19F4">
        <w:t xml:space="preserve"> </w:t>
      </w:r>
      <w:r w:rsidR="00C5107E" w:rsidRPr="009B19F4">
        <w:t>There are no State funds to cover any increased costs therefore MaineCare neutrality needs to be achieved.</w:t>
      </w:r>
    </w:p>
    <w:p w:rsidR="00C5107E" w:rsidRPr="007A565D" w:rsidRDefault="00C5107E" w:rsidP="00FF1025">
      <w:pPr>
        <w:ind w:left="-360"/>
        <w:jc w:val="both"/>
        <w:rPr>
          <w:sz w:val="10"/>
          <w:szCs w:val="10"/>
        </w:rPr>
      </w:pPr>
    </w:p>
    <w:p w:rsidR="00C5107E" w:rsidRDefault="00C5107E" w:rsidP="00FF1025">
      <w:pPr>
        <w:ind w:left="-360"/>
        <w:jc w:val="both"/>
      </w:pPr>
      <w:r w:rsidRPr="009B19F4">
        <w:t>A less costly alternative would be to add fewer SNF/NF beds which would require less intensive staffing while retaining some necessary RCF beds. There is additional SNF/NF capacity in the Houlton area at TAMC-AHC and Houlton Re</w:t>
      </w:r>
      <w:r w:rsidR="006B35F7">
        <w:t xml:space="preserve">gional has </w:t>
      </w:r>
      <w:r w:rsidRPr="009B19F4">
        <w:t>licensed swing beds which can be used to provide either acute or SNF care.</w:t>
      </w:r>
    </w:p>
    <w:p w:rsidR="001B696D" w:rsidRPr="007A565D" w:rsidRDefault="001B696D" w:rsidP="001B696D">
      <w:pPr>
        <w:ind w:left="-360"/>
        <w:rPr>
          <w:b/>
          <w:sz w:val="10"/>
          <w:szCs w:val="10"/>
        </w:rPr>
      </w:pPr>
    </w:p>
    <w:p w:rsidR="001B696D" w:rsidRPr="007A565D" w:rsidRDefault="001B696D" w:rsidP="001B696D">
      <w:pPr>
        <w:ind w:left="-360"/>
        <w:rPr>
          <w:b/>
        </w:rPr>
      </w:pPr>
      <w:r w:rsidRPr="007A565D">
        <w:rPr>
          <w:b/>
          <w:u w:val="single"/>
        </w:rPr>
        <w:t>CONU Comment</w:t>
      </w:r>
      <w:r w:rsidRPr="007A565D">
        <w:rPr>
          <w:b/>
        </w:rPr>
        <w:t>:</w:t>
      </w:r>
    </w:p>
    <w:p w:rsidR="001B696D" w:rsidRDefault="00AA10F0" w:rsidP="007A565D">
      <w:pPr>
        <w:ind w:left="-360"/>
        <w:jc w:val="both"/>
        <w:rPr>
          <w:b/>
        </w:rPr>
      </w:pPr>
      <w:r>
        <w:t>The revised project which adds only 13 SNF/NF beds achieves MaineCare neutrality, thus eliminating the need for additional State funding. Necessary RCF services in the Houlton area will remain in place because the current 47 bed RCF licensed capacity will remain unchanged.</w:t>
      </w:r>
    </w:p>
    <w:p w:rsidR="001B696D" w:rsidRPr="007A565D" w:rsidRDefault="001B696D" w:rsidP="001B696D">
      <w:pPr>
        <w:ind w:left="-360"/>
        <w:rPr>
          <w:b/>
          <w:sz w:val="10"/>
          <w:szCs w:val="10"/>
        </w:rPr>
      </w:pPr>
    </w:p>
    <w:p w:rsidR="004336AF" w:rsidRPr="001B696D" w:rsidRDefault="001B696D" w:rsidP="001B696D">
      <w:pPr>
        <w:ind w:left="-360"/>
        <w:rPr>
          <w:b/>
        </w:rPr>
      </w:pPr>
      <w:r>
        <w:rPr>
          <w:b/>
        </w:rPr>
        <w:t xml:space="preserve">III. </w:t>
      </w:r>
      <w:r w:rsidR="00904DD5" w:rsidRPr="001B696D">
        <w:rPr>
          <w:b/>
        </w:rPr>
        <w:t>Conclusion</w:t>
      </w:r>
    </w:p>
    <w:p w:rsidR="0041551C" w:rsidRPr="007A565D" w:rsidRDefault="0041551C" w:rsidP="00FF1025">
      <w:pPr>
        <w:ind w:left="-360"/>
        <w:rPr>
          <w:b/>
          <w:sz w:val="10"/>
          <w:szCs w:val="10"/>
        </w:rPr>
      </w:pPr>
    </w:p>
    <w:p w:rsidR="0041551C" w:rsidRPr="009B19F4" w:rsidRDefault="0041551C" w:rsidP="007A565D">
      <w:pPr>
        <w:autoSpaceDE w:val="0"/>
        <w:autoSpaceDN w:val="0"/>
        <w:adjustRightInd w:val="0"/>
        <w:ind w:left="-360"/>
        <w:jc w:val="both"/>
        <w:rPr>
          <w:b/>
        </w:rPr>
      </w:pPr>
      <w:r w:rsidRPr="00904DD5">
        <w:t>The Certificate of Need Unit recommends that the Commissioner find that the applicant has  met its</w:t>
      </w:r>
      <w:r w:rsidR="00904DD5" w:rsidRPr="00904DD5">
        <w:t xml:space="preserve"> </w:t>
      </w:r>
      <w:r w:rsidRPr="00904DD5">
        <w:t>burden to demonstrate that the proposed project is consistent with the orderly and economic development</w:t>
      </w:r>
      <w:r w:rsidR="00904DD5" w:rsidRPr="00904DD5">
        <w:t xml:space="preserve"> </w:t>
      </w:r>
      <w:r w:rsidRPr="00904DD5">
        <w:t>of health facilities and health resources for the State</w:t>
      </w:r>
      <w:r w:rsidRPr="009B19F4">
        <w:rPr>
          <w:sz w:val="22"/>
          <w:szCs w:val="22"/>
        </w:rPr>
        <w:t>.</w:t>
      </w:r>
    </w:p>
    <w:p w:rsidR="0095550A" w:rsidRPr="009B19F4" w:rsidRDefault="0095550A" w:rsidP="004336AF">
      <w:pPr>
        <w:sectPr w:rsidR="0095550A" w:rsidRPr="009B19F4" w:rsidSect="001123F4">
          <w:pgSz w:w="12240" w:h="15840"/>
          <w:pgMar w:top="1440" w:right="1080" w:bottom="1440" w:left="1800" w:header="720" w:footer="720" w:gutter="0"/>
          <w:cols w:space="720"/>
          <w:docGrid w:linePitch="360"/>
        </w:sectPr>
      </w:pPr>
    </w:p>
    <w:p w:rsidR="00496DFB" w:rsidRPr="009B19F4" w:rsidRDefault="00595EC7" w:rsidP="0064020C">
      <w:pPr>
        <w:pStyle w:val="Heading1"/>
        <w:spacing w:after="0"/>
        <w:rPr>
          <w:rFonts w:ascii="Times New Roman" w:hAnsi="Times New Roman" w:cs="Times New Roman"/>
        </w:rPr>
      </w:pPr>
      <w:bookmarkStart w:id="18" w:name="_Ref195319965"/>
      <w:r w:rsidRPr="009B19F4">
        <w:rPr>
          <w:rFonts w:ascii="Times New Roman" w:hAnsi="Times New Roman" w:cs="Times New Roman"/>
        </w:rPr>
        <w:t>V</w:t>
      </w:r>
      <w:r w:rsidR="004336AF" w:rsidRPr="009B19F4">
        <w:rPr>
          <w:rFonts w:ascii="Times New Roman" w:hAnsi="Times New Roman" w:cs="Times New Roman"/>
        </w:rPr>
        <w:t>I. Outcomes and Community Impact</w:t>
      </w:r>
      <w:bookmarkEnd w:id="18"/>
    </w:p>
    <w:p w:rsidR="00E46A96" w:rsidRPr="009B19F4" w:rsidRDefault="00E46A96" w:rsidP="00E46A96"/>
    <w:p w:rsidR="00664296" w:rsidRPr="009B19F4" w:rsidRDefault="00555A69" w:rsidP="006E7A2A">
      <w:pPr>
        <w:rPr>
          <w:b/>
        </w:rPr>
      </w:pPr>
      <w:r w:rsidRPr="009B19F4">
        <w:rPr>
          <w:b/>
        </w:rPr>
        <w:t xml:space="preserve">A. </w:t>
      </w:r>
      <w:r w:rsidR="00664296" w:rsidRPr="006B35F7">
        <w:rPr>
          <w:b/>
          <w:u w:val="single"/>
        </w:rPr>
        <w:t>From Applicant</w:t>
      </w:r>
    </w:p>
    <w:p w:rsidR="005D1220" w:rsidRPr="009B19F4" w:rsidRDefault="005D1220" w:rsidP="006E7A2A">
      <w:pPr>
        <w:rPr>
          <w:b/>
          <w:sz w:val="16"/>
          <w:szCs w:val="16"/>
          <w:u w:val="single"/>
        </w:rPr>
      </w:pPr>
    </w:p>
    <w:p w:rsidR="007C4103" w:rsidRPr="006B35F7" w:rsidRDefault="003A2BF6" w:rsidP="007C4103">
      <w:pPr>
        <w:jc w:val="both"/>
        <w:rPr>
          <w:sz w:val="22"/>
          <w:szCs w:val="22"/>
        </w:rPr>
      </w:pPr>
      <w:r w:rsidRPr="006B35F7">
        <w:rPr>
          <w:sz w:val="22"/>
          <w:szCs w:val="22"/>
        </w:rPr>
        <w:t>“</w:t>
      </w:r>
      <w:r w:rsidR="007C4103" w:rsidRPr="006B35F7">
        <w:rPr>
          <w:sz w:val="22"/>
          <w:szCs w:val="22"/>
        </w:rPr>
        <w:t>Relevant criteria for inclusion in this section are specific to the determination that the project ensures high-quality outcomes and does not negatively affect the quality of care delivered by existing service providers.</w:t>
      </w:r>
      <w:r w:rsidRPr="006B35F7">
        <w:rPr>
          <w:sz w:val="22"/>
          <w:szCs w:val="22"/>
        </w:rPr>
        <w:t>”</w:t>
      </w:r>
    </w:p>
    <w:p w:rsidR="007C4103" w:rsidRPr="006B35F7" w:rsidRDefault="007C4103" w:rsidP="007C4103">
      <w:pPr>
        <w:jc w:val="both"/>
        <w:rPr>
          <w:sz w:val="22"/>
          <w:szCs w:val="22"/>
          <w:u w:val="single"/>
        </w:rPr>
      </w:pPr>
    </w:p>
    <w:p w:rsidR="007C4103" w:rsidRPr="006B35F7" w:rsidRDefault="003A2BF6" w:rsidP="007C4103">
      <w:pPr>
        <w:jc w:val="both"/>
        <w:rPr>
          <w:sz w:val="22"/>
          <w:szCs w:val="22"/>
        </w:rPr>
      </w:pPr>
      <w:r w:rsidRPr="006B35F7">
        <w:rPr>
          <w:sz w:val="22"/>
          <w:szCs w:val="22"/>
        </w:rPr>
        <w:t>“</w:t>
      </w:r>
      <w:r w:rsidR="007C4103" w:rsidRPr="006B35F7">
        <w:rPr>
          <w:sz w:val="22"/>
          <w:szCs w:val="22"/>
        </w:rPr>
        <w:t>This project was developed in response to the reduction of SNF/NF beds at Houlton Regional Hospital (HRH). During 2013, HRH began a self-imposed reduction in utilization of their SNF/NF beds to ensure that on October 1, 2013 all patients would be appropriately placed and the unit could be closed. During the FY 2012, HRH had approximately 6,935 patient days in the SNF unit. This need is not being met at this time. Patients are being forced to accept placement at other facilities greater than 30 miles away from home or they remain in a more costly setting.</w:t>
      </w:r>
      <w:r w:rsidRPr="006B35F7">
        <w:rPr>
          <w:sz w:val="22"/>
          <w:szCs w:val="22"/>
        </w:rPr>
        <w:t>”</w:t>
      </w:r>
    </w:p>
    <w:p w:rsidR="007C4103" w:rsidRPr="006B35F7" w:rsidRDefault="007C4103" w:rsidP="007C4103">
      <w:pPr>
        <w:jc w:val="both"/>
        <w:rPr>
          <w:sz w:val="22"/>
          <w:szCs w:val="22"/>
        </w:rPr>
      </w:pPr>
    </w:p>
    <w:p w:rsidR="007C4103" w:rsidRPr="006B35F7" w:rsidRDefault="003A2BF6" w:rsidP="007C4103">
      <w:pPr>
        <w:jc w:val="both"/>
        <w:rPr>
          <w:sz w:val="22"/>
          <w:szCs w:val="22"/>
        </w:rPr>
      </w:pPr>
      <w:r w:rsidRPr="006B35F7">
        <w:rPr>
          <w:sz w:val="22"/>
          <w:szCs w:val="22"/>
        </w:rPr>
        <w:t>“</w:t>
      </w:r>
      <w:r w:rsidR="007C4103" w:rsidRPr="006B35F7">
        <w:rPr>
          <w:sz w:val="22"/>
          <w:szCs w:val="22"/>
        </w:rPr>
        <w:t>The majority of our waiting list is from the Greater Houlton area. Our waiting list is very fluid and changes daily. We can typically fill a bed via contacting referring hospitals to make them aware that we have available beds.</w:t>
      </w:r>
      <w:r w:rsidRPr="006B35F7">
        <w:rPr>
          <w:sz w:val="22"/>
          <w:szCs w:val="22"/>
        </w:rPr>
        <w:t>”</w:t>
      </w:r>
    </w:p>
    <w:p w:rsidR="007C4103" w:rsidRPr="006B35F7" w:rsidRDefault="007C4103" w:rsidP="007C4103">
      <w:pPr>
        <w:jc w:val="both"/>
        <w:rPr>
          <w:sz w:val="22"/>
          <w:szCs w:val="22"/>
        </w:rPr>
      </w:pPr>
    </w:p>
    <w:p w:rsidR="007C4103" w:rsidRPr="006B35F7" w:rsidRDefault="003A2BF6" w:rsidP="007C4103">
      <w:pPr>
        <w:jc w:val="both"/>
        <w:rPr>
          <w:i/>
          <w:sz w:val="22"/>
          <w:szCs w:val="22"/>
        </w:rPr>
      </w:pPr>
      <w:r w:rsidRPr="006B35F7">
        <w:rPr>
          <w:sz w:val="22"/>
          <w:szCs w:val="22"/>
        </w:rPr>
        <w:t>“</w:t>
      </w:r>
      <w:r w:rsidR="007C4103" w:rsidRPr="006B35F7">
        <w:rPr>
          <w:sz w:val="22"/>
          <w:szCs w:val="22"/>
        </w:rPr>
        <w:t xml:space="preserve">This project will enhance our rehabilitation program which will provide our patients with a faster recovery time. This care will be less costly to the MaineCare program due to services being provided under the residents’ Medicare benefits and also that Madigan Estates is one of the </w:t>
      </w:r>
      <w:r w:rsidR="007C4103" w:rsidRPr="006B35F7">
        <w:rPr>
          <w:i/>
          <w:sz w:val="22"/>
          <w:szCs w:val="22"/>
        </w:rPr>
        <w:t>lowest cost providers of MaineCare NF services.</w:t>
      </w:r>
      <w:r w:rsidRPr="006B35F7">
        <w:rPr>
          <w:i/>
          <w:sz w:val="22"/>
          <w:szCs w:val="22"/>
        </w:rPr>
        <w:t>”</w:t>
      </w:r>
    </w:p>
    <w:p w:rsidR="007C4103" w:rsidRPr="006B35F7" w:rsidRDefault="007C4103" w:rsidP="007C4103">
      <w:pPr>
        <w:jc w:val="both"/>
        <w:rPr>
          <w:sz w:val="22"/>
          <w:szCs w:val="22"/>
        </w:rPr>
      </w:pPr>
    </w:p>
    <w:p w:rsidR="007C4103" w:rsidRPr="006B35F7" w:rsidRDefault="003A2BF6" w:rsidP="007C4103">
      <w:pPr>
        <w:jc w:val="both"/>
        <w:rPr>
          <w:sz w:val="22"/>
          <w:szCs w:val="22"/>
        </w:rPr>
      </w:pPr>
      <w:r w:rsidRPr="006B35F7">
        <w:rPr>
          <w:sz w:val="22"/>
          <w:szCs w:val="22"/>
        </w:rPr>
        <w:t>“</w:t>
      </w:r>
      <w:r w:rsidR="007C4103" w:rsidRPr="006B35F7">
        <w:rPr>
          <w:sz w:val="22"/>
          <w:szCs w:val="22"/>
        </w:rPr>
        <w:t>We have a QA program which identifies and addresses quality issues, and implements corrective action plans as necessary. The QA committee meets quarterly to monitor the quality of services and to identify any problems or deficiencies.</w:t>
      </w:r>
      <w:r w:rsidRPr="006B35F7">
        <w:rPr>
          <w:sz w:val="22"/>
          <w:szCs w:val="22"/>
        </w:rPr>
        <w:t>”</w:t>
      </w:r>
    </w:p>
    <w:p w:rsidR="007C4103" w:rsidRPr="006B35F7" w:rsidRDefault="007C4103" w:rsidP="007C4103">
      <w:pPr>
        <w:jc w:val="both"/>
        <w:rPr>
          <w:sz w:val="22"/>
          <w:szCs w:val="22"/>
        </w:rPr>
      </w:pPr>
    </w:p>
    <w:p w:rsidR="007C4103" w:rsidRPr="006B35F7" w:rsidRDefault="003A2BF6" w:rsidP="007C4103">
      <w:pPr>
        <w:jc w:val="both"/>
        <w:rPr>
          <w:sz w:val="22"/>
          <w:szCs w:val="22"/>
        </w:rPr>
      </w:pPr>
      <w:r w:rsidRPr="006B35F7">
        <w:rPr>
          <w:sz w:val="22"/>
          <w:szCs w:val="22"/>
        </w:rPr>
        <w:t>“</w:t>
      </w:r>
      <w:r w:rsidR="007C4103" w:rsidRPr="006B35F7">
        <w:rPr>
          <w:sz w:val="22"/>
          <w:szCs w:val="22"/>
        </w:rPr>
        <w:t>The primary goals of the Quality Assessment and Assurance Committee are:</w:t>
      </w:r>
    </w:p>
    <w:p w:rsidR="007C4103" w:rsidRPr="006B35F7" w:rsidRDefault="007C4103" w:rsidP="007C4103">
      <w:pPr>
        <w:jc w:val="both"/>
        <w:rPr>
          <w:sz w:val="22"/>
          <w:szCs w:val="22"/>
        </w:rPr>
      </w:pPr>
    </w:p>
    <w:p w:rsidR="007C4103" w:rsidRPr="006B35F7" w:rsidRDefault="007C4103" w:rsidP="007C4103">
      <w:pPr>
        <w:numPr>
          <w:ilvl w:val="0"/>
          <w:numId w:val="30"/>
        </w:numPr>
        <w:contextualSpacing/>
        <w:jc w:val="both"/>
        <w:rPr>
          <w:rFonts w:eastAsia="Calibri"/>
          <w:sz w:val="22"/>
          <w:szCs w:val="22"/>
        </w:rPr>
      </w:pPr>
      <w:r w:rsidRPr="006B35F7">
        <w:rPr>
          <w:rFonts w:eastAsia="Calibri"/>
          <w:sz w:val="22"/>
          <w:szCs w:val="22"/>
        </w:rPr>
        <w:t>To monitor and evaluate the appropriateness and quality of care provided within the framework of the Quality Assessment and Assurance Plan.</w:t>
      </w:r>
    </w:p>
    <w:p w:rsidR="007C4103" w:rsidRPr="006B35F7" w:rsidRDefault="007C4103" w:rsidP="007C4103">
      <w:pPr>
        <w:ind w:left="720"/>
        <w:contextualSpacing/>
        <w:jc w:val="both"/>
        <w:rPr>
          <w:rFonts w:eastAsia="Calibri"/>
          <w:sz w:val="22"/>
          <w:szCs w:val="22"/>
        </w:rPr>
      </w:pPr>
    </w:p>
    <w:p w:rsidR="007C4103" w:rsidRPr="006B35F7" w:rsidRDefault="007C4103" w:rsidP="007C4103">
      <w:pPr>
        <w:numPr>
          <w:ilvl w:val="0"/>
          <w:numId w:val="30"/>
        </w:numPr>
        <w:contextualSpacing/>
        <w:jc w:val="both"/>
        <w:rPr>
          <w:rFonts w:eastAsia="Calibri"/>
          <w:sz w:val="22"/>
          <w:szCs w:val="22"/>
        </w:rPr>
      </w:pPr>
      <w:r w:rsidRPr="006B35F7">
        <w:rPr>
          <w:rFonts w:eastAsia="Calibri"/>
          <w:sz w:val="22"/>
          <w:szCs w:val="22"/>
        </w:rPr>
        <w:t>To provide a means whereby negative outcomes relative to resident care can be identified and resolved through an interdisciplinary approach, and positive outcomes can be reinforced through education and monitoring.</w:t>
      </w:r>
      <w:r w:rsidR="003A2BF6" w:rsidRPr="006B35F7">
        <w:rPr>
          <w:rFonts w:eastAsia="Calibri"/>
          <w:sz w:val="22"/>
          <w:szCs w:val="22"/>
        </w:rPr>
        <w:t>”</w:t>
      </w:r>
    </w:p>
    <w:p w:rsidR="007C4103" w:rsidRPr="006B35F7" w:rsidRDefault="007C4103" w:rsidP="007C4103">
      <w:pPr>
        <w:contextualSpacing/>
        <w:jc w:val="both"/>
        <w:rPr>
          <w:rFonts w:eastAsia="Calibri"/>
          <w:sz w:val="22"/>
          <w:szCs w:val="22"/>
        </w:rPr>
      </w:pPr>
    </w:p>
    <w:p w:rsidR="007C4103" w:rsidRPr="006B35F7" w:rsidRDefault="003A2BF6" w:rsidP="007C4103">
      <w:pPr>
        <w:jc w:val="both"/>
        <w:rPr>
          <w:sz w:val="22"/>
          <w:szCs w:val="22"/>
        </w:rPr>
      </w:pPr>
      <w:r w:rsidRPr="006B35F7">
        <w:rPr>
          <w:sz w:val="22"/>
          <w:szCs w:val="22"/>
        </w:rPr>
        <w:t>“</w:t>
      </w:r>
      <w:r w:rsidR="007C4103" w:rsidRPr="006B35F7">
        <w:rPr>
          <w:sz w:val="22"/>
          <w:szCs w:val="22"/>
        </w:rPr>
        <w:t>This practice will continue to ensure that this project will not have any negative impact on the current level of the quality care we are providing.</w:t>
      </w:r>
      <w:r w:rsidRPr="006B35F7">
        <w:rPr>
          <w:sz w:val="22"/>
          <w:szCs w:val="22"/>
        </w:rPr>
        <w:t>”</w:t>
      </w:r>
    </w:p>
    <w:p w:rsidR="007C4103" w:rsidRPr="006B35F7" w:rsidRDefault="007C4103" w:rsidP="007C4103">
      <w:pPr>
        <w:jc w:val="both"/>
        <w:rPr>
          <w:sz w:val="22"/>
          <w:szCs w:val="22"/>
        </w:rPr>
      </w:pPr>
    </w:p>
    <w:p w:rsidR="007C4103" w:rsidRPr="006B35F7" w:rsidRDefault="003A2BF6" w:rsidP="007C4103">
      <w:pPr>
        <w:jc w:val="both"/>
        <w:rPr>
          <w:sz w:val="22"/>
          <w:szCs w:val="22"/>
        </w:rPr>
      </w:pPr>
      <w:r w:rsidRPr="006B35F7">
        <w:rPr>
          <w:sz w:val="22"/>
          <w:szCs w:val="22"/>
        </w:rPr>
        <w:t>“</w:t>
      </w:r>
      <w:r w:rsidR="007C4103" w:rsidRPr="006B35F7">
        <w:rPr>
          <w:sz w:val="22"/>
          <w:szCs w:val="22"/>
        </w:rPr>
        <w:t>Approval of this project will not negatively affect the quality of care delivered by existing service providers. As previously discussed, MGNH has demonstrated a strong track record of quality of care and positive outcomes. There will be no significant changes in services offered by MGNH as a result of this project.</w:t>
      </w:r>
      <w:r w:rsidRPr="006B35F7">
        <w:rPr>
          <w:sz w:val="22"/>
          <w:szCs w:val="22"/>
        </w:rPr>
        <w:t>”</w:t>
      </w:r>
    </w:p>
    <w:p w:rsidR="008500D6" w:rsidRPr="009B19F4" w:rsidRDefault="008500D6" w:rsidP="008500D6">
      <w:pPr>
        <w:widowControl w:val="0"/>
        <w:autoSpaceDE w:val="0"/>
        <w:autoSpaceDN w:val="0"/>
        <w:adjustRightInd w:val="0"/>
      </w:pPr>
    </w:p>
    <w:p w:rsidR="006B35F7" w:rsidRDefault="006B35F7" w:rsidP="0067753E">
      <w:pPr>
        <w:rPr>
          <w:b/>
        </w:rPr>
        <w:sectPr w:rsidR="006B35F7" w:rsidSect="00F25D90">
          <w:headerReference w:type="even" r:id="rId24"/>
          <w:headerReference w:type="default" r:id="rId25"/>
          <w:headerReference w:type="first" r:id="rId26"/>
          <w:pgSz w:w="12240" w:h="15840"/>
          <w:pgMar w:top="1440" w:right="1440" w:bottom="1440" w:left="1440" w:header="720" w:footer="720" w:gutter="0"/>
          <w:cols w:space="720"/>
          <w:docGrid w:linePitch="360"/>
        </w:sectPr>
      </w:pPr>
    </w:p>
    <w:p w:rsidR="0064020C" w:rsidRPr="0064020C" w:rsidRDefault="0064020C" w:rsidP="0067753E"/>
    <w:p w:rsidR="0067753E" w:rsidRPr="009B19F4" w:rsidRDefault="00D05069" w:rsidP="0067753E">
      <w:pPr>
        <w:rPr>
          <w:b/>
        </w:rPr>
      </w:pPr>
      <w:r w:rsidRPr="009B19F4">
        <w:rPr>
          <w:b/>
        </w:rPr>
        <w:t xml:space="preserve">B. </w:t>
      </w:r>
      <w:r w:rsidR="006A7CB7" w:rsidRPr="006B35F7">
        <w:rPr>
          <w:b/>
          <w:u w:val="single"/>
        </w:rPr>
        <w:t>Certificate of Need Unit</w:t>
      </w:r>
      <w:r w:rsidR="0067753E" w:rsidRPr="006B35F7">
        <w:rPr>
          <w:b/>
          <w:u w:val="single"/>
        </w:rPr>
        <w:t xml:space="preserve"> Discussion</w:t>
      </w:r>
    </w:p>
    <w:p w:rsidR="00D05069" w:rsidRPr="0064020C" w:rsidRDefault="00D05069" w:rsidP="0067753E"/>
    <w:p w:rsidR="0067753E" w:rsidRPr="00D46EA9" w:rsidRDefault="006B35F7" w:rsidP="00D46EA9">
      <w:pPr>
        <w:pStyle w:val="ListParagraph"/>
        <w:numPr>
          <w:ilvl w:val="0"/>
          <w:numId w:val="36"/>
        </w:numPr>
        <w:ind w:left="270" w:hanging="270"/>
        <w:rPr>
          <w:b/>
        </w:rPr>
      </w:pPr>
      <w:r w:rsidRPr="00D46EA9">
        <w:rPr>
          <w:b/>
        </w:rPr>
        <w:t xml:space="preserve">CON </w:t>
      </w:r>
      <w:r w:rsidR="00E7467A" w:rsidRPr="00D46EA9">
        <w:rPr>
          <w:b/>
        </w:rPr>
        <w:t>Standard</w:t>
      </w:r>
      <w:r w:rsidRPr="00D46EA9">
        <w:rPr>
          <w:b/>
        </w:rPr>
        <w:t>s</w:t>
      </w:r>
    </w:p>
    <w:p w:rsidR="00C5107E" w:rsidRPr="0064020C" w:rsidRDefault="00C5107E" w:rsidP="0067753E"/>
    <w:p w:rsidR="00CB04E4" w:rsidRPr="009B19F4" w:rsidRDefault="00CB04E4" w:rsidP="006B35F7">
      <w:pPr>
        <w:jc w:val="both"/>
        <w:rPr>
          <w:b/>
        </w:rPr>
      </w:pPr>
      <w:r w:rsidRPr="009B19F4">
        <w:t>Relevant standards for inclusion in this section are specific to the determination that the project ensures high-quality outcomes and does not negatively affect the quality of care delivered</w:t>
      </w:r>
      <w:r w:rsidR="009F3BAB">
        <w:t xml:space="preserve"> by existing service providers.</w:t>
      </w:r>
    </w:p>
    <w:p w:rsidR="0067753E" w:rsidRPr="0064020C" w:rsidRDefault="0067753E" w:rsidP="0067753E"/>
    <w:p w:rsidR="0067753E" w:rsidRPr="00D46EA9" w:rsidRDefault="006B35F7" w:rsidP="00D46EA9">
      <w:pPr>
        <w:pStyle w:val="ListParagraph"/>
        <w:numPr>
          <w:ilvl w:val="0"/>
          <w:numId w:val="36"/>
        </w:numPr>
        <w:ind w:left="270" w:hanging="270"/>
        <w:rPr>
          <w:b/>
        </w:rPr>
      </w:pPr>
      <w:r w:rsidRPr="00D46EA9">
        <w:rPr>
          <w:b/>
        </w:rPr>
        <w:t>CON</w:t>
      </w:r>
      <w:r w:rsidR="006A7CB7" w:rsidRPr="00D46EA9">
        <w:rPr>
          <w:b/>
        </w:rPr>
        <w:t xml:space="preserve"> Unit</w:t>
      </w:r>
      <w:r w:rsidR="000A06C5" w:rsidRPr="00D46EA9">
        <w:rPr>
          <w:b/>
        </w:rPr>
        <w:t xml:space="preserve"> </w:t>
      </w:r>
      <w:r w:rsidR="0067753E" w:rsidRPr="00D46EA9">
        <w:rPr>
          <w:b/>
        </w:rPr>
        <w:t>Analysis</w:t>
      </w:r>
    </w:p>
    <w:p w:rsidR="00A96B6A" w:rsidRPr="009B19F4" w:rsidRDefault="00A96B6A" w:rsidP="0067753E">
      <w:pPr>
        <w:rPr>
          <w:b/>
        </w:rPr>
      </w:pPr>
    </w:p>
    <w:p w:rsidR="00A96B6A" w:rsidRPr="009B19F4" w:rsidRDefault="00A96B6A" w:rsidP="006B35F7">
      <w:pPr>
        <w:jc w:val="both"/>
      </w:pPr>
      <w:r w:rsidRPr="009B19F4">
        <w:t xml:space="preserve">The addition of 25 nursing home beds </w:t>
      </w:r>
      <w:r w:rsidR="006B44B0" w:rsidRPr="009B19F4">
        <w:t>and reduction in RCF beds</w:t>
      </w:r>
      <w:r w:rsidR="0041551C" w:rsidRPr="009B19F4">
        <w:t xml:space="preserve"> </w:t>
      </w:r>
      <w:r w:rsidR="006B35F7">
        <w:t>in the Aroostook County</w:t>
      </w:r>
      <w:r w:rsidRPr="009B19F4">
        <w:t xml:space="preserve"> area will have a minimal effect on the quality of care delivered by existing service providers. Seniors needing SNF/NF care will have a greater likelihood of finding the services offered </w:t>
      </w:r>
      <w:r w:rsidR="009F3BAB">
        <w:t>in the area where they reside.</w:t>
      </w:r>
    </w:p>
    <w:p w:rsidR="0041551C" w:rsidRPr="009B19F4" w:rsidRDefault="0041551C" w:rsidP="00A96B6A"/>
    <w:p w:rsidR="00A96B6A" w:rsidRDefault="00A96B6A" w:rsidP="006B35F7">
      <w:pPr>
        <w:jc w:val="both"/>
      </w:pPr>
      <w:r w:rsidRPr="009B19F4">
        <w:t>This proposal addresses the lack of available nursing home beds in the area. MGNH focus will be on rehabilitation with the goal of returning the patient to their homes and/or to community-based services rather than placing residents permanently in a more costly long term care nursing bed. This reintroduction of a patient into the at-large community is consistent with the goals of the department and national trends of extending home-based services</w:t>
      </w:r>
    </w:p>
    <w:p w:rsidR="00AA10F0" w:rsidRDefault="00AA10F0" w:rsidP="006B35F7">
      <w:pPr>
        <w:jc w:val="both"/>
      </w:pPr>
    </w:p>
    <w:p w:rsidR="00AA10F0" w:rsidRPr="00AA10F0" w:rsidRDefault="00AA10F0" w:rsidP="006B35F7">
      <w:pPr>
        <w:jc w:val="both"/>
        <w:rPr>
          <w:b/>
          <w:u w:val="single"/>
        </w:rPr>
      </w:pPr>
      <w:r w:rsidRPr="00AA10F0">
        <w:rPr>
          <w:b/>
          <w:u w:val="single"/>
        </w:rPr>
        <w:t>CONU Comment:</w:t>
      </w:r>
    </w:p>
    <w:p w:rsidR="00DF7001" w:rsidRDefault="00AA10F0" w:rsidP="006B35F7">
      <w:pPr>
        <w:tabs>
          <w:tab w:val="left" w:pos="-180"/>
        </w:tabs>
        <w:jc w:val="both"/>
      </w:pPr>
      <w:r>
        <w:t>No additional analysis is needed for the Outcome and Community Impact standard of this as a result of the revised project. The addition of only 13 SNF/NF beds to the area instead of the original 25 will further minimize any impact on other service providers while still addressing the need for additional SNF/NF beds in the area. Existing RCF services will remain in place.</w:t>
      </w:r>
    </w:p>
    <w:p w:rsidR="00AA10F0" w:rsidRPr="009B19F4" w:rsidRDefault="00AA10F0" w:rsidP="006B35F7">
      <w:pPr>
        <w:tabs>
          <w:tab w:val="left" w:pos="-180"/>
        </w:tabs>
        <w:jc w:val="both"/>
      </w:pPr>
    </w:p>
    <w:p w:rsidR="0041551C" w:rsidRPr="00D46EA9" w:rsidRDefault="0067753E" w:rsidP="00D46EA9">
      <w:pPr>
        <w:pStyle w:val="ListParagraph"/>
        <w:numPr>
          <w:ilvl w:val="0"/>
          <w:numId w:val="36"/>
        </w:numPr>
        <w:ind w:left="360" w:hanging="360"/>
        <w:rPr>
          <w:b/>
        </w:rPr>
      </w:pPr>
      <w:r w:rsidRPr="00D46EA9">
        <w:rPr>
          <w:b/>
        </w:rPr>
        <w:t>Conclusion</w:t>
      </w:r>
    </w:p>
    <w:p w:rsidR="0041551C" w:rsidRPr="0064020C" w:rsidRDefault="0041551C" w:rsidP="00D05069"/>
    <w:p w:rsidR="00003E55" w:rsidRPr="009B19F4" w:rsidRDefault="0041551C" w:rsidP="006B35F7">
      <w:pPr>
        <w:autoSpaceDE w:val="0"/>
        <w:autoSpaceDN w:val="0"/>
        <w:adjustRightInd w:val="0"/>
        <w:jc w:val="both"/>
        <w:rPr>
          <w:b/>
        </w:rPr>
      </w:pPr>
      <w:r w:rsidRPr="009B19F4">
        <w:t>Certificate of Need Unit recommends that the Commissioner find that the applicant has met their burden to demonstrate that this project will ensure high-quality outcomes and does not</w:t>
      </w:r>
      <w:r w:rsidR="006B35F7">
        <w:t xml:space="preserve"> </w:t>
      </w:r>
      <w:r w:rsidRPr="009B19F4">
        <w:t>negatively affect the quality of care delivered by existing service providers.</w:t>
      </w:r>
    </w:p>
    <w:p w:rsidR="001A2774" w:rsidRPr="009B19F4" w:rsidRDefault="001A2774" w:rsidP="0067753E">
      <w:pPr>
        <w:rPr>
          <w:sz w:val="16"/>
          <w:szCs w:val="16"/>
        </w:rPr>
      </w:pPr>
    </w:p>
    <w:p w:rsidR="003A2BF6" w:rsidRPr="009B19F4" w:rsidRDefault="003A2BF6" w:rsidP="00D05069">
      <w:pPr>
        <w:pStyle w:val="Heading1"/>
        <w:spacing w:before="0" w:after="0"/>
        <w:rPr>
          <w:rFonts w:ascii="Times New Roman" w:hAnsi="Times New Roman" w:cs="Times New Roman"/>
          <w:sz w:val="28"/>
          <w:szCs w:val="28"/>
          <w:u w:val="single"/>
        </w:rPr>
        <w:sectPr w:rsidR="003A2BF6" w:rsidRPr="009B19F4" w:rsidSect="00F25D90">
          <w:pgSz w:w="12240" w:h="15840"/>
          <w:pgMar w:top="1440" w:right="1440" w:bottom="1440" w:left="1440" w:header="720" w:footer="720" w:gutter="0"/>
          <w:cols w:space="720"/>
          <w:docGrid w:linePitch="360"/>
        </w:sectPr>
      </w:pPr>
      <w:bookmarkStart w:id="19" w:name="_Ref195319971"/>
    </w:p>
    <w:p w:rsidR="00496DFB" w:rsidRPr="009B19F4" w:rsidRDefault="00595EC7" w:rsidP="0064020C">
      <w:pPr>
        <w:pStyle w:val="Heading1"/>
        <w:spacing w:after="0"/>
        <w:rPr>
          <w:rFonts w:ascii="Times New Roman" w:hAnsi="Times New Roman" w:cs="Times New Roman"/>
        </w:rPr>
      </w:pPr>
      <w:r w:rsidRPr="009B19F4">
        <w:rPr>
          <w:rFonts w:ascii="Times New Roman" w:hAnsi="Times New Roman" w:cs="Times New Roman"/>
        </w:rPr>
        <w:t>VI</w:t>
      </w:r>
      <w:r w:rsidR="004336AF" w:rsidRPr="009B19F4">
        <w:rPr>
          <w:rFonts w:ascii="Times New Roman" w:hAnsi="Times New Roman" w:cs="Times New Roman"/>
        </w:rPr>
        <w:t>I. Service Utilization</w:t>
      </w:r>
      <w:bookmarkEnd w:id="19"/>
    </w:p>
    <w:p w:rsidR="00AA21FB" w:rsidRPr="009B19F4" w:rsidRDefault="00AA21FB" w:rsidP="0064020C">
      <w:pPr>
        <w:tabs>
          <w:tab w:val="left" w:pos="2190"/>
        </w:tabs>
      </w:pPr>
    </w:p>
    <w:p w:rsidR="00AA21FB" w:rsidRPr="009B19F4" w:rsidRDefault="00D05069" w:rsidP="006E7A2A">
      <w:pPr>
        <w:rPr>
          <w:b/>
        </w:rPr>
      </w:pPr>
      <w:r w:rsidRPr="009B19F4">
        <w:rPr>
          <w:b/>
        </w:rPr>
        <w:t xml:space="preserve">A. </w:t>
      </w:r>
      <w:r w:rsidR="00AA21FB" w:rsidRPr="006B35F7">
        <w:rPr>
          <w:b/>
          <w:u w:val="single"/>
        </w:rPr>
        <w:t>From Applicant</w:t>
      </w:r>
    </w:p>
    <w:p w:rsidR="00E04446" w:rsidRPr="0064020C" w:rsidRDefault="00E04446" w:rsidP="00E04446"/>
    <w:p w:rsidR="007C4103" w:rsidRPr="006B35F7" w:rsidRDefault="003A2BF6" w:rsidP="007C4103">
      <w:pPr>
        <w:jc w:val="both"/>
        <w:rPr>
          <w:sz w:val="22"/>
          <w:szCs w:val="22"/>
        </w:rPr>
      </w:pPr>
      <w:r w:rsidRPr="006B35F7">
        <w:rPr>
          <w:sz w:val="22"/>
          <w:szCs w:val="22"/>
        </w:rPr>
        <w:t>“</w:t>
      </w:r>
      <w:r w:rsidR="007C4103" w:rsidRPr="006B35F7">
        <w:rPr>
          <w:sz w:val="22"/>
          <w:szCs w:val="22"/>
        </w:rPr>
        <w:t>Relevant criteria for inclusion in this section are specific to the determination that the project does not result in inappropriate increases in service utilization, according to the principles of evidence-based medicine adopted by the Maine Quality Forum.</w:t>
      </w:r>
      <w:r w:rsidRPr="006B35F7">
        <w:rPr>
          <w:sz w:val="22"/>
          <w:szCs w:val="22"/>
        </w:rPr>
        <w:t>”</w:t>
      </w:r>
    </w:p>
    <w:p w:rsidR="007C4103" w:rsidRPr="0064020C" w:rsidRDefault="007C4103" w:rsidP="007C4103">
      <w:pPr>
        <w:jc w:val="both"/>
      </w:pPr>
    </w:p>
    <w:p w:rsidR="007C4103" w:rsidRPr="006B35F7" w:rsidRDefault="003A2BF6" w:rsidP="007C4103">
      <w:pPr>
        <w:jc w:val="both"/>
        <w:rPr>
          <w:sz w:val="22"/>
          <w:szCs w:val="22"/>
        </w:rPr>
      </w:pPr>
      <w:r w:rsidRPr="006B35F7">
        <w:rPr>
          <w:sz w:val="22"/>
          <w:szCs w:val="22"/>
        </w:rPr>
        <w:t>“</w:t>
      </w:r>
      <w:r w:rsidR="007C4103" w:rsidRPr="006B35F7">
        <w:rPr>
          <w:sz w:val="22"/>
          <w:szCs w:val="22"/>
        </w:rPr>
        <w:t xml:space="preserve">There will be no significant changes in the services offered by MGNH as a result of the proposed project. Historical census data was provided in Section IV. </w:t>
      </w:r>
      <w:proofErr w:type="gramStart"/>
      <w:r w:rsidR="007C4103" w:rsidRPr="006B35F7">
        <w:rPr>
          <w:sz w:val="22"/>
          <w:szCs w:val="22"/>
        </w:rPr>
        <w:t>Public Need.</w:t>
      </w:r>
      <w:proofErr w:type="gramEnd"/>
      <w:r w:rsidR="007C4103" w:rsidRPr="006B35F7">
        <w:rPr>
          <w:sz w:val="22"/>
          <w:szCs w:val="22"/>
        </w:rPr>
        <w:t xml:space="preserve"> We anticipate census and utilization to increase as current market conditions described in Section IV. Public Need and the population in the surrounding communities continue to age.</w:t>
      </w:r>
      <w:r w:rsidRPr="006B35F7">
        <w:rPr>
          <w:sz w:val="22"/>
          <w:szCs w:val="22"/>
        </w:rPr>
        <w:t>”</w:t>
      </w:r>
    </w:p>
    <w:p w:rsidR="00377656" w:rsidRPr="009B19F4" w:rsidRDefault="00377656" w:rsidP="00377656"/>
    <w:p w:rsidR="0067753E" w:rsidRPr="009B19F4" w:rsidRDefault="00D05069" w:rsidP="0067753E">
      <w:pPr>
        <w:rPr>
          <w:b/>
        </w:rPr>
      </w:pPr>
      <w:bookmarkStart w:id="20" w:name="_Ref195320003"/>
      <w:r w:rsidRPr="009B19F4">
        <w:rPr>
          <w:b/>
        </w:rPr>
        <w:t xml:space="preserve">B. </w:t>
      </w:r>
      <w:r w:rsidR="006A7CB7" w:rsidRPr="006B35F7">
        <w:rPr>
          <w:b/>
          <w:u w:val="single"/>
        </w:rPr>
        <w:t>Certificate of Need Unit</w:t>
      </w:r>
      <w:r w:rsidR="0067753E" w:rsidRPr="006B35F7">
        <w:rPr>
          <w:b/>
          <w:u w:val="single"/>
        </w:rPr>
        <w:t xml:space="preserve"> Discussion</w:t>
      </w:r>
    </w:p>
    <w:p w:rsidR="0067753E" w:rsidRPr="0064020C" w:rsidRDefault="0067753E" w:rsidP="0067753E"/>
    <w:p w:rsidR="0067753E" w:rsidRPr="00D46EA9" w:rsidRDefault="0067753E" w:rsidP="00D46EA9">
      <w:pPr>
        <w:pStyle w:val="ListParagraph"/>
        <w:numPr>
          <w:ilvl w:val="0"/>
          <w:numId w:val="37"/>
        </w:numPr>
        <w:ind w:left="270" w:hanging="270"/>
        <w:rPr>
          <w:b/>
        </w:rPr>
      </w:pPr>
      <w:r w:rsidRPr="00D46EA9">
        <w:rPr>
          <w:b/>
        </w:rPr>
        <w:t xml:space="preserve">CON </w:t>
      </w:r>
      <w:r w:rsidR="00E7467A" w:rsidRPr="00D46EA9">
        <w:rPr>
          <w:b/>
        </w:rPr>
        <w:t>Standard</w:t>
      </w:r>
      <w:r w:rsidR="006B35F7" w:rsidRPr="00D46EA9">
        <w:rPr>
          <w:b/>
        </w:rPr>
        <w:t>s</w:t>
      </w:r>
    </w:p>
    <w:p w:rsidR="0067753E" w:rsidRPr="0064020C" w:rsidRDefault="0067753E" w:rsidP="0067753E"/>
    <w:p w:rsidR="007C57A3" w:rsidRPr="009B19F4" w:rsidRDefault="007C57A3" w:rsidP="009068F5">
      <w:pPr>
        <w:jc w:val="both"/>
      </w:pPr>
      <w:r w:rsidRPr="009B19F4">
        <w:t>Relevant standards for inclusion in this section are specific to the determination that the project does not result in inappropriate increases in service utilization, according to the principles of evidence-based medicine adopted by the Maine Quality Forum</w:t>
      </w:r>
      <w:r w:rsidRPr="009B19F4">
        <w:rPr>
          <w:color w:val="000000"/>
          <w:sz w:val="20"/>
          <w:szCs w:val="20"/>
        </w:rPr>
        <w:t xml:space="preserve"> </w:t>
      </w:r>
      <w:r w:rsidRPr="009B19F4">
        <w:t xml:space="preserve">as established in Title 24-A, section 6951, when the principles adopted by the Maine Quality Forum are directly </w:t>
      </w:r>
      <w:r w:rsidR="009068F5">
        <w:t>applicable to the application.</w:t>
      </w:r>
    </w:p>
    <w:p w:rsidR="007C57A3" w:rsidRPr="0064020C" w:rsidRDefault="007C57A3" w:rsidP="0067753E"/>
    <w:p w:rsidR="0067753E" w:rsidRPr="00D46EA9" w:rsidRDefault="006B35F7" w:rsidP="00D46EA9">
      <w:pPr>
        <w:pStyle w:val="ListParagraph"/>
        <w:numPr>
          <w:ilvl w:val="0"/>
          <w:numId w:val="37"/>
        </w:numPr>
        <w:ind w:left="270" w:hanging="270"/>
        <w:rPr>
          <w:b/>
        </w:rPr>
      </w:pPr>
      <w:r w:rsidRPr="00D46EA9">
        <w:rPr>
          <w:b/>
        </w:rPr>
        <w:t>CON</w:t>
      </w:r>
      <w:r w:rsidR="006A7CB7" w:rsidRPr="00D46EA9">
        <w:rPr>
          <w:b/>
        </w:rPr>
        <w:t xml:space="preserve"> Unit</w:t>
      </w:r>
      <w:r w:rsidR="000A06C5" w:rsidRPr="00D46EA9">
        <w:rPr>
          <w:b/>
        </w:rPr>
        <w:t xml:space="preserve"> </w:t>
      </w:r>
      <w:r w:rsidR="0067753E" w:rsidRPr="00D46EA9">
        <w:rPr>
          <w:b/>
        </w:rPr>
        <w:t>Analysis</w:t>
      </w:r>
    </w:p>
    <w:p w:rsidR="00526BA7" w:rsidRPr="0064020C" w:rsidRDefault="00526BA7" w:rsidP="0067753E"/>
    <w:p w:rsidR="006B44B0" w:rsidRDefault="006B44B0" w:rsidP="009068F5">
      <w:pPr>
        <w:jc w:val="both"/>
      </w:pPr>
      <w:r w:rsidRPr="009B19F4">
        <w:t>The Maine Quality Forum has not adopted any principles of evidence-based medicine directly applicable to the application; therefore this application meets the standard for this determination.</w:t>
      </w:r>
    </w:p>
    <w:p w:rsidR="00AA10F0" w:rsidRDefault="00AA10F0" w:rsidP="009068F5">
      <w:pPr>
        <w:jc w:val="both"/>
      </w:pPr>
    </w:p>
    <w:p w:rsidR="00AA10F0" w:rsidRPr="00AA10F0" w:rsidRDefault="00AA10F0" w:rsidP="009068F5">
      <w:pPr>
        <w:jc w:val="both"/>
        <w:rPr>
          <w:b/>
          <w:u w:val="single"/>
        </w:rPr>
      </w:pPr>
      <w:r w:rsidRPr="00AA10F0">
        <w:rPr>
          <w:b/>
          <w:u w:val="single"/>
        </w:rPr>
        <w:t>CONU Comment:</w:t>
      </w:r>
    </w:p>
    <w:p w:rsidR="00AA10F0" w:rsidRPr="00AA10F0" w:rsidRDefault="00AA10F0" w:rsidP="009068F5">
      <w:pPr>
        <w:jc w:val="both"/>
      </w:pPr>
      <w:r>
        <w:t>No additional analysis is needed as a result of the revised project. This project is being undertaken as a result of demonstrated need for SNF/NF services and will not un</w:t>
      </w:r>
      <w:r w:rsidR="00E35E14">
        <w:t>ne</w:t>
      </w:r>
      <w:r>
        <w:t xml:space="preserve">cessarily </w:t>
      </w:r>
      <w:r w:rsidR="00E35E14">
        <w:t>increase utilization.</w:t>
      </w:r>
    </w:p>
    <w:p w:rsidR="00F37DC8" w:rsidRPr="0064020C" w:rsidRDefault="00F37DC8" w:rsidP="008B172B"/>
    <w:p w:rsidR="00403EEC" w:rsidRPr="00D46EA9" w:rsidRDefault="009068F5" w:rsidP="00D46EA9">
      <w:pPr>
        <w:pStyle w:val="ListParagraph"/>
        <w:numPr>
          <w:ilvl w:val="0"/>
          <w:numId w:val="37"/>
        </w:numPr>
        <w:ind w:left="360" w:hanging="360"/>
        <w:rPr>
          <w:b/>
        </w:rPr>
      </w:pPr>
      <w:r w:rsidRPr="00D46EA9">
        <w:rPr>
          <w:b/>
        </w:rPr>
        <w:t>Conclusion</w:t>
      </w:r>
    </w:p>
    <w:p w:rsidR="001A2774" w:rsidRPr="0064020C" w:rsidRDefault="001A2774" w:rsidP="0067753E">
      <w:pPr>
        <w:rPr>
          <w:b/>
        </w:rPr>
      </w:pPr>
    </w:p>
    <w:bookmarkEnd w:id="20"/>
    <w:p w:rsidR="00C820D0" w:rsidRPr="009B19F4" w:rsidRDefault="0041551C" w:rsidP="009068F5">
      <w:pPr>
        <w:autoSpaceDE w:val="0"/>
        <w:autoSpaceDN w:val="0"/>
        <w:adjustRightInd w:val="0"/>
        <w:jc w:val="both"/>
      </w:pPr>
      <w:r w:rsidRPr="009B19F4">
        <w:t>Certificate of Need Unit recommends that the Commissioner find that the applicant has</w:t>
      </w:r>
      <w:r w:rsidR="009068F5">
        <w:t xml:space="preserve"> </w:t>
      </w:r>
      <w:r w:rsidRPr="009B19F4">
        <w:t>met their burden to demonstrate that the project does not result in inappropriate increases</w:t>
      </w:r>
      <w:r w:rsidR="009068F5">
        <w:t xml:space="preserve"> </w:t>
      </w:r>
      <w:r w:rsidRPr="009B19F4">
        <w:t>in service utilization, according to the principles of evidence-based medicine adopted by</w:t>
      </w:r>
      <w:r w:rsidR="009068F5">
        <w:t xml:space="preserve"> </w:t>
      </w:r>
      <w:r w:rsidRPr="009B19F4">
        <w:t>the Maine Quality Forum.</w:t>
      </w:r>
    </w:p>
    <w:p w:rsidR="00C820D0" w:rsidRPr="009B19F4" w:rsidRDefault="00C820D0" w:rsidP="008D3354">
      <w:pPr>
        <w:sectPr w:rsidR="00C820D0" w:rsidRPr="009B19F4" w:rsidSect="00F25D90">
          <w:headerReference w:type="default" r:id="rId27"/>
          <w:pgSz w:w="12240" w:h="15840"/>
          <w:pgMar w:top="1440" w:right="1440" w:bottom="1440" w:left="1440" w:header="720" w:footer="720" w:gutter="0"/>
          <w:cols w:space="720"/>
          <w:docGrid w:linePitch="360"/>
        </w:sectPr>
      </w:pPr>
    </w:p>
    <w:p w:rsidR="008B0522" w:rsidRPr="009B19F4" w:rsidRDefault="008B0522" w:rsidP="008B0522">
      <w:pPr>
        <w:pStyle w:val="Heading1"/>
        <w:spacing w:after="0"/>
        <w:rPr>
          <w:rFonts w:ascii="Times New Roman" w:hAnsi="Times New Roman" w:cs="Times New Roman"/>
        </w:rPr>
      </w:pPr>
      <w:r w:rsidRPr="009B19F4">
        <w:rPr>
          <w:rFonts w:ascii="Times New Roman" w:hAnsi="Times New Roman" w:cs="Times New Roman"/>
        </w:rPr>
        <w:t>VII</w:t>
      </w:r>
      <w:r>
        <w:rPr>
          <w:rFonts w:ascii="Times New Roman" w:hAnsi="Times New Roman" w:cs="Times New Roman"/>
        </w:rPr>
        <w:t>I. MaineCare Funding Pool and MaineCare Neutrality</w:t>
      </w:r>
    </w:p>
    <w:p w:rsidR="008B0522" w:rsidRPr="009B19F4" w:rsidRDefault="008B0522" w:rsidP="008B0522">
      <w:pPr>
        <w:tabs>
          <w:tab w:val="left" w:pos="2190"/>
        </w:tabs>
      </w:pPr>
    </w:p>
    <w:p w:rsidR="008B0522" w:rsidRPr="009B19F4" w:rsidRDefault="008B0522" w:rsidP="008B0522">
      <w:pPr>
        <w:rPr>
          <w:b/>
        </w:rPr>
      </w:pPr>
      <w:r w:rsidRPr="009B19F4">
        <w:rPr>
          <w:b/>
        </w:rPr>
        <w:t xml:space="preserve">A. </w:t>
      </w:r>
      <w:r w:rsidRPr="006B35F7">
        <w:rPr>
          <w:b/>
          <w:u w:val="single"/>
        </w:rPr>
        <w:t>From Applicant</w:t>
      </w:r>
    </w:p>
    <w:p w:rsidR="008B0522" w:rsidRDefault="008B0522" w:rsidP="008B0522"/>
    <w:p w:rsidR="006828CF" w:rsidRDefault="006828CF" w:rsidP="006828CF">
      <w:pPr>
        <w:jc w:val="both"/>
        <w:rPr>
          <w:sz w:val="22"/>
          <w:szCs w:val="22"/>
        </w:rPr>
      </w:pPr>
      <w:r w:rsidRPr="009B19F4">
        <w:rPr>
          <w:sz w:val="22"/>
          <w:szCs w:val="22"/>
        </w:rPr>
        <w:t>“Finally, in August 2013, MGNH purchased the revenue stream associated with Houlton Regional Hospital’s 28-bed skilled nursing unit which it will use to achieve MaineCare neutrality for the project.”</w:t>
      </w:r>
    </w:p>
    <w:p w:rsidR="006828CF" w:rsidRPr="009B19F4" w:rsidRDefault="006828CF" w:rsidP="008B0522"/>
    <w:p w:rsidR="008B0522" w:rsidRPr="009B19F4" w:rsidRDefault="008B0522" w:rsidP="008B0522">
      <w:pPr>
        <w:rPr>
          <w:b/>
        </w:rPr>
      </w:pPr>
      <w:r w:rsidRPr="009B19F4">
        <w:rPr>
          <w:b/>
        </w:rPr>
        <w:t xml:space="preserve">B. </w:t>
      </w:r>
      <w:r w:rsidRPr="006B35F7">
        <w:rPr>
          <w:b/>
          <w:u w:val="single"/>
        </w:rPr>
        <w:t>Certificate of Need Unit Discussion</w:t>
      </w:r>
    </w:p>
    <w:p w:rsidR="006828CF" w:rsidRDefault="006828CF" w:rsidP="006828CF"/>
    <w:p w:rsidR="008B0522" w:rsidRPr="006828CF" w:rsidRDefault="008B0522" w:rsidP="006828CF">
      <w:pPr>
        <w:pStyle w:val="ListParagraph"/>
        <w:numPr>
          <w:ilvl w:val="0"/>
          <w:numId w:val="40"/>
        </w:numPr>
        <w:ind w:left="360" w:hanging="360"/>
        <w:rPr>
          <w:b/>
        </w:rPr>
      </w:pPr>
      <w:r w:rsidRPr="006828CF">
        <w:rPr>
          <w:b/>
        </w:rPr>
        <w:t>CON Standards</w:t>
      </w:r>
    </w:p>
    <w:p w:rsidR="008B0522" w:rsidRPr="0064020C" w:rsidRDefault="008B0522" w:rsidP="008B0522"/>
    <w:p w:rsidR="008B0522" w:rsidRPr="0019690A" w:rsidRDefault="008B0522" w:rsidP="008B0522">
      <w:pPr>
        <w:jc w:val="both"/>
      </w:pPr>
      <w:r w:rsidRPr="009B19F4">
        <w:t xml:space="preserve">Relevant standards for inclusion in this section are specific to the determination that </w:t>
      </w:r>
      <w:r w:rsidR="005D6500">
        <w:t>i</w:t>
      </w:r>
      <w:r>
        <w:t>n the case of a nursing facility project that proposes to add new nursing facility beds to the inventory of nursing facility beds within the State, is consistent with the nursing facility MaineCare funding pool and other applicable provisions of sections 333-A and 334-A.</w:t>
      </w:r>
    </w:p>
    <w:p w:rsidR="008B0522" w:rsidRPr="0064020C" w:rsidRDefault="008B0522" w:rsidP="008B0522"/>
    <w:p w:rsidR="008B0522" w:rsidRPr="006828CF" w:rsidRDefault="008B0522" w:rsidP="006828CF">
      <w:pPr>
        <w:pStyle w:val="ListParagraph"/>
        <w:numPr>
          <w:ilvl w:val="0"/>
          <w:numId w:val="40"/>
        </w:numPr>
        <w:ind w:left="360" w:hanging="360"/>
        <w:rPr>
          <w:b/>
        </w:rPr>
      </w:pPr>
      <w:r w:rsidRPr="006828CF">
        <w:rPr>
          <w:b/>
        </w:rPr>
        <w:t>CON Unit Analysis</w:t>
      </w:r>
    </w:p>
    <w:p w:rsidR="008B0522" w:rsidRPr="0064020C" w:rsidRDefault="008B0522" w:rsidP="008B0522"/>
    <w:p w:rsidR="005D6500" w:rsidRDefault="005D6500" w:rsidP="005D6500">
      <w:pPr>
        <w:jc w:val="both"/>
      </w:pPr>
      <w:r>
        <w:t>The revised information provided by the applicant changes the results of the MaineCare neutrality calculation as follows:</w:t>
      </w:r>
    </w:p>
    <w:p w:rsidR="005D6500" w:rsidRPr="007A565D" w:rsidRDefault="005D6500" w:rsidP="005D6500">
      <w:pPr>
        <w:jc w:val="both"/>
        <w:rPr>
          <w:sz w:val="16"/>
          <w:szCs w:val="16"/>
        </w:rPr>
      </w:pPr>
    </w:p>
    <w:p w:rsidR="005D6500" w:rsidRPr="009B19F4" w:rsidRDefault="005D6500" w:rsidP="005D6500">
      <w:pPr>
        <w:jc w:val="both"/>
        <w:rPr>
          <w:b/>
        </w:rPr>
      </w:pPr>
      <w:r w:rsidRPr="009B19F4">
        <w:rPr>
          <w:b/>
        </w:rPr>
        <w:t>Table 1: Sources and Uses of MaineCare Funding:</w:t>
      </w:r>
    </w:p>
    <w:tbl>
      <w:tblPr>
        <w:tblW w:w="9483" w:type="dxa"/>
        <w:tblInd w:w="93" w:type="dxa"/>
        <w:tblLook w:val="04A0" w:firstRow="1" w:lastRow="0" w:firstColumn="1" w:lastColumn="0" w:noHBand="0" w:noVBand="1"/>
      </w:tblPr>
      <w:tblGrid>
        <w:gridCol w:w="2625"/>
        <w:gridCol w:w="2060"/>
        <w:gridCol w:w="699"/>
        <w:gridCol w:w="1547"/>
        <w:gridCol w:w="1274"/>
        <w:gridCol w:w="1278"/>
      </w:tblGrid>
      <w:tr w:rsidR="005D6500" w:rsidRPr="009B19F4" w:rsidTr="008C6AF9">
        <w:trPr>
          <w:trHeight w:val="30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500" w:rsidRPr="009B19F4" w:rsidRDefault="005D6500" w:rsidP="008C6AF9">
            <w:pPr>
              <w:jc w:val="center"/>
              <w:rPr>
                <w:b/>
                <w:color w:val="000000"/>
                <w:sz w:val="22"/>
                <w:szCs w:val="22"/>
              </w:rPr>
            </w:pPr>
            <w:r>
              <w:rPr>
                <w:b/>
                <w:color w:val="000000"/>
                <w:sz w:val="22"/>
                <w:szCs w:val="22"/>
              </w:rPr>
              <w:t>Source</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b/>
                <w:color w:val="000000"/>
                <w:sz w:val="22"/>
                <w:szCs w:val="22"/>
              </w:rPr>
            </w:pPr>
            <w:r w:rsidRPr="009B19F4">
              <w:rPr>
                <w:b/>
                <w:color w:val="000000"/>
                <w:sz w:val="22"/>
                <w:szCs w:val="22"/>
              </w:rPr>
              <w:t>Facility</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b/>
                <w:color w:val="000000"/>
                <w:sz w:val="22"/>
                <w:szCs w:val="22"/>
              </w:rPr>
            </w:pPr>
            <w:r w:rsidRPr="009B19F4">
              <w:rPr>
                <w:b/>
                <w:color w:val="000000"/>
                <w:sz w:val="22"/>
                <w:szCs w:val="22"/>
              </w:rPr>
              <w:t># of Beds</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b/>
                <w:color w:val="000000"/>
                <w:sz w:val="22"/>
                <w:szCs w:val="22"/>
              </w:rPr>
            </w:pPr>
            <w:r w:rsidRPr="009B19F4">
              <w:rPr>
                <w:b/>
                <w:color w:val="000000"/>
                <w:sz w:val="22"/>
                <w:szCs w:val="22"/>
              </w:rPr>
              <w:t>$ Value</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b/>
                <w:color w:val="000000"/>
                <w:sz w:val="22"/>
                <w:szCs w:val="22"/>
              </w:rPr>
            </w:pPr>
            <w:r w:rsidRPr="009B19F4">
              <w:rPr>
                <w:b/>
                <w:color w:val="000000"/>
                <w:sz w:val="22"/>
                <w:szCs w:val="22"/>
              </w:rPr>
              <w:t>Allocated Beds</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b/>
                <w:color w:val="000000"/>
                <w:sz w:val="22"/>
                <w:szCs w:val="22"/>
              </w:rPr>
            </w:pPr>
            <w:r w:rsidRPr="009B19F4">
              <w:rPr>
                <w:b/>
                <w:color w:val="000000"/>
                <w:sz w:val="22"/>
                <w:szCs w:val="22"/>
              </w:rPr>
              <w:t>$ value</w:t>
            </w:r>
          </w:p>
        </w:tc>
      </w:tr>
      <w:tr w:rsidR="005D6500" w:rsidRPr="009B19F4" w:rsidTr="008C6AF9">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ind w:right="-98"/>
              <w:rPr>
                <w:color w:val="000000"/>
                <w:sz w:val="22"/>
                <w:szCs w:val="22"/>
              </w:rPr>
            </w:pPr>
            <w:r w:rsidRPr="009B19F4">
              <w:rPr>
                <w:color w:val="000000"/>
                <w:sz w:val="22"/>
                <w:szCs w:val="22"/>
              </w:rPr>
              <w:t>The Houlton Reg</w:t>
            </w:r>
            <w:r>
              <w:rPr>
                <w:color w:val="000000"/>
                <w:sz w:val="22"/>
                <w:szCs w:val="22"/>
              </w:rPr>
              <w:t>.</w:t>
            </w:r>
          </w:p>
        </w:tc>
        <w:tc>
          <w:tcPr>
            <w:tcW w:w="699"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color w:val="000000"/>
                <w:sz w:val="22"/>
                <w:szCs w:val="22"/>
              </w:rPr>
            </w:pPr>
            <w:r w:rsidRPr="009B19F4">
              <w:rPr>
                <w:color w:val="000000"/>
                <w:sz w:val="22"/>
                <w:szCs w:val="22"/>
              </w:rPr>
              <w:t>28</w:t>
            </w:r>
          </w:p>
        </w:tc>
        <w:tc>
          <w:tcPr>
            <w:tcW w:w="1547"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right"/>
              <w:rPr>
                <w:color w:val="000000"/>
                <w:sz w:val="22"/>
                <w:szCs w:val="22"/>
              </w:rPr>
            </w:pPr>
            <w:r w:rsidRPr="009B19F4">
              <w:rPr>
                <w:color w:val="000000"/>
                <w:sz w:val="22"/>
                <w:szCs w:val="22"/>
              </w:rPr>
              <w:t xml:space="preserve">$844,800 </w:t>
            </w:r>
          </w:p>
        </w:tc>
        <w:tc>
          <w:tcPr>
            <w:tcW w:w="1274"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color w:val="000000"/>
                <w:sz w:val="22"/>
                <w:szCs w:val="22"/>
              </w:rPr>
            </w:pPr>
            <w:r w:rsidRPr="009B19F4">
              <w:rPr>
                <w:color w:val="000000"/>
                <w:sz w:val="22"/>
                <w:szCs w:val="22"/>
              </w:rPr>
              <w:t>28</w:t>
            </w:r>
          </w:p>
        </w:tc>
        <w:tc>
          <w:tcPr>
            <w:tcW w:w="1278"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right"/>
              <w:rPr>
                <w:color w:val="000000"/>
                <w:sz w:val="22"/>
                <w:szCs w:val="22"/>
              </w:rPr>
            </w:pPr>
            <w:r w:rsidRPr="009B19F4">
              <w:rPr>
                <w:color w:val="000000"/>
                <w:sz w:val="22"/>
                <w:szCs w:val="22"/>
              </w:rPr>
              <w:t xml:space="preserve">$844,800 </w:t>
            </w:r>
          </w:p>
        </w:tc>
      </w:tr>
      <w:tr w:rsidR="005D6500" w:rsidRPr="009B19F4" w:rsidTr="008C6AF9">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proofErr w:type="spellStart"/>
            <w:r w:rsidRPr="009B19F4">
              <w:rPr>
                <w:color w:val="000000"/>
                <w:sz w:val="22"/>
                <w:szCs w:val="22"/>
              </w:rPr>
              <w:t>Prog</w:t>
            </w:r>
            <w:proofErr w:type="spellEnd"/>
            <w:r>
              <w:rPr>
                <w:color w:val="000000"/>
                <w:sz w:val="22"/>
                <w:szCs w:val="22"/>
              </w:rPr>
              <w:t>.</w:t>
            </w:r>
            <w:r w:rsidRPr="009B19F4">
              <w:rPr>
                <w:color w:val="000000"/>
                <w:sz w:val="22"/>
                <w:szCs w:val="22"/>
              </w:rPr>
              <w:t xml:space="preserve"> Care Fac</w:t>
            </w:r>
            <w:r>
              <w:rPr>
                <w:color w:val="000000"/>
                <w:sz w:val="22"/>
                <w:szCs w:val="22"/>
              </w:rPr>
              <w:t>.</w:t>
            </w:r>
          </w:p>
        </w:tc>
        <w:tc>
          <w:tcPr>
            <w:tcW w:w="699"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color w:val="000000"/>
                <w:sz w:val="22"/>
                <w:szCs w:val="22"/>
              </w:rPr>
            </w:pPr>
          </w:p>
        </w:tc>
        <w:tc>
          <w:tcPr>
            <w:tcW w:w="1547"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r w:rsidRPr="009B19F4">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color w:val="000000"/>
                <w:sz w:val="22"/>
                <w:szCs w:val="22"/>
              </w:rPr>
            </w:pPr>
          </w:p>
        </w:tc>
        <w:tc>
          <w:tcPr>
            <w:tcW w:w="1278"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r w:rsidRPr="009B19F4">
              <w:rPr>
                <w:color w:val="000000"/>
                <w:sz w:val="22"/>
                <w:szCs w:val="22"/>
              </w:rPr>
              <w:t> </w:t>
            </w:r>
          </w:p>
        </w:tc>
      </w:tr>
      <w:tr w:rsidR="005D6500" w:rsidRPr="009B19F4" w:rsidTr="008C6AF9">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r w:rsidRPr="009B19F4">
              <w:rPr>
                <w:color w:val="000000"/>
                <w:sz w:val="22"/>
                <w:szCs w:val="22"/>
              </w:rPr>
              <w:t>Total</w:t>
            </w:r>
          </w:p>
        </w:tc>
        <w:tc>
          <w:tcPr>
            <w:tcW w:w="699"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color w:val="000000"/>
                <w:sz w:val="22"/>
                <w:szCs w:val="22"/>
              </w:rPr>
            </w:pPr>
            <w:r w:rsidRPr="009B19F4">
              <w:rPr>
                <w:color w:val="000000"/>
                <w:sz w:val="22"/>
                <w:szCs w:val="22"/>
              </w:rPr>
              <w:t>28</w:t>
            </w:r>
          </w:p>
        </w:tc>
        <w:tc>
          <w:tcPr>
            <w:tcW w:w="1547"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right"/>
              <w:rPr>
                <w:color w:val="000000"/>
                <w:sz w:val="22"/>
                <w:szCs w:val="22"/>
              </w:rPr>
            </w:pPr>
            <w:r w:rsidRPr="009B19F4">
              <w:rPr>
                <w:color w:val="000000"/>
                <w:sz w:val="22"/>
                <w:szCs w:val="22"/>
              </w:rPr>
              <w:t xml:space="preserve">$844,800 </w:t>
            </w:r>
          </w:p>
        </w:tc>
        <w:tc>
          <w:tcPr>
            <w:tcW w:w="1274"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color w:val="000000"/>
                <w:sz w:val="22"/>
                <w:szCs w:val="22"/>
              </w:rPr>
            </w:pPr>
            <w:r w:rsidRPr="009B19F4">
              <w:rPr>
                <w:color w:val="000000"/>
                <w:sz w:val="22"/>
                <w:szCs w:val="22"/>
              </w:rPr>
              <w:t>28</w:t>
            </w:r>
          </w:p>
        </w:tc>
        <w:tc>
          <w:tcPr>
            <w:tcW w:w="1278"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right"/>
              <w:rPr>
                <w:color w:val="000000"/>
                <w:sz w:val="22"/>
                <w:szCs w:val="22"/>
              </w:rPr>
            </w:pPr>
            <w:r w:rsidRPr="009B19F4">
              <w:rPr>
                <w:color w:val="000000"/>
                <w:sz w:val="22"/>
                <w:szCs w:val="22"/>
              </w:rPr>
              <w:t xml:space="preserve">$844,800 </w:t>
            </w:r>
          </w:p>
        </w:tc>
      </w:tr>
      <w:tr w:rsidR="005D6500" w:rsidRPr="009B19F4" w:rsidTr="008C6AF9">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p>
        </w:tc>
        <w:tc>
          <w:tcPr>
            <w:tcW w:w="2060"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r w:rsidRPr="009B19F4">
              <w:rPr>
                <w:color w:val="000000"/>
                <w:sz w:val="22"/>
                <w:szCs w:val="22"/>
              </w:rPr>
              <w:t> </w:t>
            </w:r>
          </w:p>
        </w:tc>
        <w:tc>
          <w:tcPr>
            <w:tcW w:w="699"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color w:val="000000"/>
                <w:sz w:val="22"/>
                <w:szCs w:val="22"/>
              </w:rPr>
            </w:pPr>
          </w:p>
        </w:tc>
        <w:tc>
          <w:tcPr>
            <w:tcW w:w="1547"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r w:rsidRPr="009B19F4">
              <w:rPr>
                <w:color w:val="000000"/>
                <w:sz w:val="22"/>
                <w:szCs w:val="22"/>
              </w:rPr>
              <w:t> </w:t>
            </w:r>
          </w:p>
        </w:tc>
        <w:tc>
          <w:tcPr>
            <w:tcW w:w="1274"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color w:val="000000"/>
                <w:sz w:val="22"/>
                <w:szCs w:val="22"/>
              </w:rPr>
            </w:pPr>
          </w:p>
        </w:tc>
        <w:tc>
          <w:tcPr>
            <w:tcW w:w="1278"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r w:rsidRPr="009B19F4">
              <w:rPr>
                <w:color w:val="000000"/>
                <w:sz w:val="22"/>
                <w:szCs w:val="22"/>
              </w:rPr>
              <w:t> </w:t>
            </w:r>
          </w:p>
        </w:tc>
      </w:tr>
      <w:tr w:rsidR="005D6500" w:rsidRPr="009B19F4" w:rsidTr="008C6AF9">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5D6500" w:rsidRPr="009B19F4" w:rsidRDefault="005D6500" w:rsidP="008C6AF9">
            <w:pPr>
              <w:rPr>
                <w:b/>
                <w:color w:val="000000"/>
                <w:sz w:val="22"/>
                <w:szCs w:val="22"/>
              </w:rPr>
            </w:pPr>
            <w:r>
              <w:rPr>
                <w:b/>
                <w:color w:val="000000"/>
                <w:sz w:val="22"/>
                <w:szCs w:val="22"/>
              </w:rPr>
              <w:t>Use</w:t>
            </w:r>
          </w:p>
        </w:tc>
        <w:tc>
          <w:tcPr>
            <w:tcW w:w="2060"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rPr>
                <w:b/>
                <w:color w:val="000000"/>
                <w:sz w:val="22"/>
                <w:szCs w:val="22"/>
              </w:rPr>
            </w:pPr>
            <w:r w:rsidRPr="009B19F4">
              <w:rPr>
                <w:b/>
                <w:color w:val="000000"/>
                <w:sz w:val="22"/>
                <w:szCs w:val="22"/>
              </w:rPr>
              <w:t>Madigan SNF/NF</w:t>
            </w:r>
          </w:p>
        </w:tc>
        <w:tc>
          <w:tcPr>
            <w:tcW w:w="699"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b/>
                <w:color w:val="000000"/>
                <w:sz w:val="22"/>
                <w:szCs w:val="22"/>
              </w:rPr>
            </w:pPr>
            <w:r>
              <w:rPr>
                <w:b/>
                <w:color w:val="000000"/>
                <w:sz w:val="22"/>
                <w:szCs w:val="22"/>
              </w:rPr>
              <w:t>13</w:t>
            </w:r>
          </w:p>
        </w:tc>
        <w:tc>
          <w:tcPr>
            <w:tcW w:w="1547"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right"/>
              <w:rPr>
                <w:b/>
                <w:color w:val="000000"/>
                <w:sz w:val="22"/>
                <w:szCs w:val="22"/>
              </w:rPr>
            </w:pPr>
            <w:r w:rsidRPr="009B19F4">
              <w:rPr>
                <w:b/>
                <w:color w:val="000000"/>
                <w:sz w:val="22"/>
                <w:szCs w:val="22"/>
              </w:rPr>
              <w:t>$</w:t>
            </w:r>
            <w:r>
              <w:rPr>
                <w:b/>
                <w:color w:val="000000"/>
                <w:sz w:val="22"/>
                <w:szCs w:val="22"/>
              </w:rPr>
              <w:t>815,232</w:t>
            </w:r>
            <w:r w:rsidRPr="009B19F4">
              <w:rPr>
                <w:b/>
                <w:color w:val="000000"/>
                <w:sz w:val="22"/>
                <w:szCs w:val="22"/>
              </w:rPr>
              <w:t xml:space="preserve"> </w:t>
            </w:r>
          </w:p>
        </w:tc>
        <w:tc>
          <w:tcPr>
            <w:tcW w:w="1274"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b/>
                <w:color w:val="000000"/>
                <w:sz w:val="22"/>
                <w:szCs w:val="22"/>
              </w:rPr>
            </w:pPr>
            <w:r>
              <w:rPr>
                <w:b/>
                <w:color w:val="000000"/>
                <w:sz w:val="22"/>
                <w:szCs w:val="22"/>
              </w:rPr>
              <w:t>13</w:t>
            </w:r>
          </w:p>
        </w:tc>
        <w:tc>
          <w:tcPr>
            <w:tcW w:w="1278"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right"/>
              <w:rPr>
                <w:b/>
                <w:color w:val="000000"/>
                <w:sz w:val="22"/>
                <w:szCs w:val="22"/>
              </w:rPr>
            </w:pPr>
            <w:r w:rsidRPr="009B19F4">
              <w:rPr>
                <w:b/>
                <w:color w:val="000000"/>
                <w:sz w:val="22"/>
                <w:szCs w:val="22"/>
              </w:rPr>
              <w:t>$</w:t>
            </w:r>
            <w:r>
              <w:rPr>
                <w:b/>
                <w:color w:val="000000"/>
                <w:sz w:val="22"/>
                <w:szCs w:val="22"/>
              </w:rPr>
              <w:t>815,232</w:t>
            </w:r>
            <w:r w:rsidRPr="009B19F4">
              <w:rPr>
                <w:b/>
                <w:color w:val="000000"/>
                <w:sz w:val="22"/>
                <w:szCs w:val="22"/>
              </w:rPr>
              <w:t xml:space="preserve"> </w:t>
            </w:r>
          </w:p>
        </w:tc>
      </w:tr>
      <w:tr w:rsidR="005D6500" w:rsidRPr="009B19F4" w:rsidTr="008C6AF9">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5D6500" w:rsidRPr="009B19F4" w:rsidRDefault="005D6500" w:rsidP="008C6AF9">
            <w:pPr>
              <w:rPr>
                <w:b/>
                <w:color w:val="000000"/>
                <w:sz w:val="22"/>
                <w:szCs w:val="22"/>
              </w:rPr>
            </w:pPr>
            <w:r w:rsidRPr="009B19F4">
              <w:rPr>
                <w:b/>
                <w:color w:val="000000"/>
                <w:sz w:val="22"/>
                <w:szCs w:val="22"/>
              </w:rPr>
              <w:t xml:space="preserve">Additional </w:t>
            </w:r>
            <w:r>
              <w:rPr>
                <w:b/>
                <w:color w:val="000000"/>
                <w:sz w:val="22"/>
                <w:szCs w:val="22"/>
              </w:rPr>
              <w:t>Savings</w:t>
            </w:r>
          </w:p>
        </w:tc>
        <w:tc>
          <w:tcPr>
            <w:tcW w:w="2060"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rPr>
                <w:color w:val="000000"/>
                <w:sz w:val="22"/>
                <w:szCs w:val="22"/>
              </w:rPr>
            </w:pPr>
            <w:r w:rsidRPr="009B19F4">
              <w:rPr>
                <w:color w:val="000000"/>
                <w:sz w:val="22"/>
                <w:szCs w:val="22"/>
              </w:rPr>
              <w:t> </w:t>
            </w:r>
          </w:p>
        </w:tc>
        <w:tc>
          <w:tcPr>
            <w:tcW w:w="699" w:type="dxa"/>
            <w:tcBorders>
              <w:top w:val="nil"/>
              <w:left w:val="nil"/>
              <w:bottom w:val="single" w:sz="4" w:space="0" w:color="auto"/>
              <w:right w:val="single" w:sz="4" w:space="0" w:color="auto"/>
            </w:tcBorders>
            <w:shd w:val="clear" w:color="auto" w:fill="auto"/>
            <w:noWrap/>
            <w:vAlign w:val="bottom"/>
            <w:hideMark/>
          </w:tcPr>
          <w:p w:rsidR="005D6500" w:rsidRPr="009B19F4" w:rsidRDefault="005D6500" w:rsidP="008C6AF9">
            <w:pPr>
              <w:jc w:val="center"/>
              <w:rPr>
                <w:color w:val="000000"/>
                <w:sz w:val="22"/>
                <w:szCs w:val="22"/>
              </w:rPr>
            </w:pPr>
            <w:r>
              <w:rPr>
                <w:color w:val="000000"/>
                <w:sz w:val="22"/>
                <w:szCs w:val="22"/>
              </w:rPr>
              <w:t>15</w:t>
            </w:r>
          </w:p>
        </w:tc>
        <w:tc>
          <w:tcPr>
            <w:tcW w:w="1547" w:type="dxa"/>
            <w:tcBorders>
              <w:top w:val="nil"/>
              <w:left w:val="nil"/>
              <w:bottom w:val="single" w:sz="4" w:space="0" w:color="auto"/>
              <w:right w:val="single" w:sz="4" w:space="0" w:color="auto"/>
            </w:tcBorders>
            <w:shd w:val="clear" w:color="auto" w:fill="auto"/>
            <w:noWrap/>
            <w:vAlign w:val="bottom"/>
            <w:hideMark/>
          </w:tcPr>
          <w:p w:rsidR="005D6500" w:rsidRPr="00FF26E6" w:rsidRDefault="005D6500" w:rsidP="008C6AF9">
            <w:pPr>
              <w:jc w:val="right"/>
              <w:rPr>
                <w:sz w:val="22"/>
                <w:szCs w:val="22"/>
              </w:rPr>
            </w:pPr>
            <w:r w:rsidRPr="00FF26E6">
              <w:rPr>
                <w:sz w:val="22"/>
                <w:szCs w:val="22"/>
              </w:rPr>
              <w:t>$29,568</w:t>
            </w:r>
          </w:p>
        </w:tc>
        <w:tc>
          <w:tcPr>
            <w:tcW w:w="1274" w:type="dxa"/>
            <w:tcBorders>
              <w:top w:val="nil"/>
              <w:left w:val="nil"/>
              <w:bottom w:val="single" w:sz="4" w:space="0" w:color="auto"/>
              <w:right w:val="single" w:sz="4" w:space="0" w:color="auto"/>
            </w:tcBorders>
            <w:shd w:val="clear" w:color="auto" w:fill="auto"/>
            <w:noWrap/>
            <w:vAlign w:val="bottom"/>
            <w:hideMark/>
          </w:tcPr>
          <w:p w:rsidR="005D6500" w:rsidRPr="00FF26E6" w:rsidRDefault="005D6500" w:rsidP="008C6AF9">
            <w:pPr>
              <w:jc w:val="center"/>
              <w:rPr>
                <w:sz w:val="22"/>
                <w:szCs w:val="22"/>
              </w:rPr>
            </w:pPr>
          </w:p>
        </w:tc>
        <w:tc>
          <w:tcPr>
            <w:tcW w:w="1278" w:type="dxa"/>
            <w:tcBorders>
              <w:top w:val="nil"/>
              <w:left w:val="nil"/>
              <w:bottom w:val="single" w:sz="4" w:space="0" w:color="auto"/>
              <w:right w:val="single" w:sz="4" w:space="0" w:color="auto"/>
            </w:tcBorders>
            <w:shd w:val="clear" w:color="auto" w:fill="auto"/>
            <w:noWrap/>
            <w:vAlign w:val="bottom"/>
            <w:hideMark/>
          </w:tcPr>
          <w:p w:rsidR="005D6500" w:rsidRPr="00FF26E6" w:rsidRDefault="005D6500" w:rsidP="008C6AF9">
            <w:pPr>
              <w:jc w:val="right"/>
              <w:rPr>
                <w:sz w:val="22"/>
                <w:szCs w:val="22"/>
              </w:rPr>
            </w:pPr>
            <w:r w:rsidRPr="00FF26E6">
              <w:rPr>
                <w:sz w:val="22"/>
                <w:szCs w:val="22"/>
              </w:rPr>
              <w:t>$29,568</w:t>
            </w:r>
          </w:p>
        </w:tc>
      </w:tr>
    </w:tbl>
    <w:p w:rsidR="005D6500" w:rsidRPr="007A565D" w:rsidRDefault="005D6500" w:rsidP="005D6500">
      <w:pPr>
        <w:jc w:val="both"/>
        <w:rPr>
          <w:sz w:val="16"/>
          <w:szCs w:val="16"/>
        </w:rPr>
      </w:pPr>
    </w:p>
    <w:p w:rsidR="005D6500" w:rsidRDefault="005D6500" w:rsidP="005D6500">
      <w:pPr>
        <w:jc w:val="both"/>
      </w:pPr>
      <w:r>
        <w:t xml:space="preserve">The above table shows that the additional resources purchased from The Houlton Reg. </w:t>
      </w:r>
      <w:proofErr w:type="spellStart"/>
      <w:r>
        <w:t>Prog</w:t>
      </w:r>
      <w:proofErr w:type="spellEnd"/>
      <w:r>
        <w:t>. Care Facility are sufficient to offset the additional expense of adding 13 additional SNF/NF beds.</w:t>
      </w:r>
    </w:p>
    <w:p w:rsidR="008B0522" w:rsidRDefault="005D6500" w:rsidP="008B0522">
      <w:pPr>
        <w:jc w:val="both"/>
      </w:pPr>
      <w:r>
        <w:t>MaineCare neutrality has been achieved. The remainder of the bed rights will be transferred to the MaineCare funding pool.</w:t>
      </w:r>
    </w:p>
    <w:p w:rsidR="008B0522" w:rsidRDefault="008B0522" w:rsidP="008B0522">
      <w:pPr>
        <w:jc w:val="both"/>
      </w:pPr>
    </w:p>
    <w:p w:rsidR="005D6500" w:rsidRDefault="005D6500" w:rsidP="005D6500">
      <w:pPr>
        <w:jc w:val="both"/>
      </w:pPr>
      <w:r>
        <w:t>No funding is utilized from the MaineCare funding pool.</w:t>
      </w:r>
    </w:p>
    <w:p w:rsidR="008B0522" w:rsidRPr="0064020C" w:rsidRDefault="008B0522" w:rsidP="008B0522"/>
    <w:p w:rsidR="008B0522" w:rsidRPr="00D46EA9" w:rsidRDefault="008B0522" w:rsidP="006828CF">
      <w:pPr>
        <w:pStyle w:val="ListParagraph"/>
        <w:numPr>
          <w:ilvl w:val="0"/>
          <w:numId w:val="40"/>
        </w:numPr>
        <w:ind w:left="360" w:hanging="360"/>
        <w:rPr>
          <w:b/>
        </w:rPr>
      </w:pPr>
      <w:r w:rsidRPr="00D46EA9">
        <w:rPr>
          <w:b/>
        </w:rPr>
        <w:t>Conclusion</w:t>
      </w:r>
    </w:p>
    <w:p w:rsidR="008B0522" w:rsidRPr="0064020C" w:rsidRDefault="008B0522" w:rsidP="008B0522">
      <w:pPr>
        <w:rPr>
          <w:b/>
        </w:rPr>
      </w:pPr>
    </w:p>
    <w:p w:rsidR="005D6500" w:rsidRPr="0019690A" w:rsidRDefault="008B0522" w:rsidP="005D6500">
      <w:pPr>
        <w:jc w:val="both"/>
      </w:pPr>
      <w:r w:rsidRPr="009B19F4">
        <w:t>Certificate of Need Unit recommends that the Commissioner find that the applicant has</w:t>
      </w:r>
      <w:r>
        <w:t xml:space="preserve"> </w:t>
      </w:r>
      <w:r w:rsidRPr="009B19F4">
        <w:t xml:space="preserve">met their burden to demonstrate that the </w:t>
      </w:r>
      <w:r w:rsidR="005D6500" w:rsidRPr="0019690A">
        <w:t xml:space="preserve">project </w:t>
      </w:r>
      <w:r w:rsidR="005D6500">
        <w:t>is consistent with the nursing facility MaineCare funding pool and other applicable provisions of sections 333-A and 334-A.</w:t>
      </w:r>
    </w:p>
    <w:p w:rsidR="008B0522" w:rsidRPr="009B19F4" w:rsidRDefault="008B0522" w:rsidP="008B0522">
      <w:pPr>
        <w:autoSpaceDE w:val="0"/>
        <w:autoSpaceDN w:val="0"/>
        <w:adjustRightInd w:val="0"/>
        <w:jc w:val="both"/>
      </w:pPr>
    </w:p>
    <w:p w:rsidR="008B0522" w:rsidRDefault="008B0522" w:rsidP="0064020C">
      <w:pPr>
        <w:pStyle w:val="Heading1"/>
        <w:spacing w:after="0"/>
        <w:rPr>
          <w:rFonts w:ascii="Times New Roman" w:hAnsi="Times New Roman" w:cs="Times New Roman"/>
        </w:rPr>
        <w:sectPr w:rsidR="008B0522" w:rsidSect="00F25D90">
          <w:headerReference w:type="default" r:id="rId28"/>
          <w:pgSz w:w="12240" w:h="15840"/>
          <w:pgMar w:top="1440" w:right="1440" w:bottom="1440" w:left="1440" w:header="720" w:footer="720" w:gutter="0"/>
          <w:cols w:space="720"/>
          <w:docGrid w:linePitch="360"/>
        </w:sectPr>
      </w:pPr>
    </w:p>
    <w:p w:rsidR="00AA3EB7" w:rsidRPr="009B19F4" w:rsidRDefault="008B0522" w:rsidP="0064020C">
      <w:pPr>
        <w:pStyle w:val="Heading1"/>
        <w:spacing w:after="0"/>
        <w:rPr>
          <w:rFonts w:ascii="Times New Roman" w:hAnsi="Times New Roman" w:cs="Times New Roman"/>
        </w:rPr>
      </w:pPr>
      <w:r>
        <w:rPr>
          <w:rFonts w:ascii="Times New Roman" w:hAnsi="Times New Roman" w:cs="Times New Roman"/>
        </w:rPr>
        <w:t>IX</w:t>
      </w:r>
      <w:r w:rsidR="00DF7001" w:rsidRPr="009B19F4">
        <w:rPr>
          <w:rFonts w:ascii="Times New Roman" w:hAnsi="Times New Roman" w:cs="Times New Roman"/>
        </w:rPr>
        <w:t>.</w:t>
      </w:r>
      <w:r w:rsidR="00AA3EB7" w:rsidRPr="009B19F4">
        <w:rPr>
          <w:rFonts w:ascii="Times New Roman" w:hAnsi="Times New Roman" w:cs="Times New Roman"/>
        </w:rPr>
        <w:t xml:space="preserve"> Timely </w:t>
      </w:r>
      <w:r w:rsidR="006B35F7">
        <w:rPr>
          <w:rFonts w:ascii="Times New Roman" w:hAnsi="Times New Roman" w:cs="Times New Roman"/>
        </w:rPr>
        <w:t>Notice</w:t>
      </w:r>
    </w:p>
    <w:p w:rsidR="00625A1A" w:rsidRPr="009B19F4" w:rsidRDefault="00625A1A" w:rsidP="00595EC7">
      <w:pPr>
        <w:rPr>
          <w:b/>
        </w:rPr>
      </w:pPr>
    </w:p>
    <w:tbl>
      <w:tblPr>
        <w:tblW w:w="0" w:type="auto"/>
        <w:tblLook w:val="01E0" w:firstRow="1" w:lastRow="1" w:firstColumn="1" w:lastColumn="1" w:noHBand="0" w:noVBand="0"/>
      </w:tblPr>
      <w:tblGrid>
        <w:gridCol w:w="4428"/>
        <w:gridCol w:w="4428"/>
      </w:tblGrid>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15"/>
                  <w:enabled/>
                  <w:calcOnExit w:val="0"/>
                  <w:textInput/>
                </w:ffData>
              </w:fldChar>
            </w:r>
            <w:bookmarkStart w:id="21" w:name="Text15"/>
            <w:r w:rsidRPr="001A7C83">
              <w:instrText xml:space="preserve"> FORMTEXT </w:instrText>
            </w:r>
            <w:r w:rsidRPr="001A7C83">
              <w:fldChar w:fldCharType="separate"/>
            </w:r>
            <w:r w:rsidRPr="001A7C83">
              <w:rPr>
                <w:noProof/>
              </w:rPr>
              <w:t>Letter of Intent filed:</w:t>
            </w:r>
            <w:r w:rsidRPr="001A7C83">
              <w:fldChar w:fldCharType="end"/>
            </w:r>
            <w:bookmarkEnd w:id="21"/>
          </w:p>
        </w:tc>
        <w:tc>
          <w:tcPr>
            <w:tcW w:w="4428" w:type="dxa"/>
            <w:shd w:val="clear" w:color="auto" w:fill="auto"/>
          </w:tcPr>
          <w:p w:rsidR="007C4103" w:rsidRPr="001A7C83" w:rsidRDefault="007C4103" w:rsidP="00FA54A5">
            <w:pPr>
              <w:jc w:val="both"/>
            </w:pPr>
            <w:r w:rsidRPr="001A7C83">
              <w:t>June 18, 2013</w:t>
            </w:r>
          </w:p>
        </w:tc>
      </w:tr>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16"/>
                  <w:enabled/>
                  <w:calcOnExit w:val="0"/>
                  <w:textInput/>
                </w:ffData>
              </w:fldChar>
            </w:r>
            <w:bookmarkStart w:id="22" w:name="Text16"/>
            <w:r w:rsidRPr="001A7C83">
              <w:instrText xml:space="preserve"> FORMTEXT </w:instrText>
            </w:r>
            <w:r w:rsidRPr="001A7C83">
              <w:fldChar w:fldCharType="separate"/>
            </w:r>
            <w:r w:rsidRPr="001A7C83">
              <w:rPr>
                <w:noProof/>
              </w:rPr>
              <w:t>Subject to CON review letter issued:</w:t>
            </w:r>
            <w:r w:rsidRPr="001A7C83">
              <w:fldChar w:fldCharType="end"/>
            </w:r>
            <w:bookmarkEnd w:id="22"/>
          </w:p>
        </w:tc>
        <w:tc>
          <w:tcPr>
            <w:tcW w:w="4428" w:type="dxa"/>
            <w:shd w:val="clear" w:color="auto" w:fill="auto"/>
          </w:tcPr>
          <w:p w:rsidR="007C4103" w:rsidRPr="001A7C83" w:rsidRDefault="007C4103" w:rsidP="00FA54A5">
            <w:pPr>
              <w:jc w:val="both"/>
            </w:pPr>
            <w:r w:rsidRPr="001A7C83">
              <w:t>July 1, 2013</w:t>
            </w:r>
          </w:p>
        </w:tc>
      </w:tr>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17"/>
                  <w:enabled/>
                  <w:calcOnExit w:val="0"/>
                  <w:textInput/>
                </w:ffData>
              </w:fldChar>
            </w:r>
            <w:bookmarkStart w:id="23" w:name="Text17"/>
            <w:r w:rsidRPr="001A7C83">
              <w:instrText xml:space="preserve"> FORMTEXT </w:instrText>
            </w:r>
            <w:r w:rsidRPr="001A7C83">
              <w:fldChar w:fldCharType="separate"/>
            </w:r>
            <w:r w:rsidRPr="001A7C83">
              <w:rPr>
                <w:noProof/>
              </w:rPr>
              <w:t>Technical assistance meeting held:</w:t>
            </w:r>
            <w:r w:rsidRPr="001A7C83">
              <w:fldChar w:fldCharType="end"/>
            </w:r>
            <w:bookmarkEnd w:id="23"/>
          </w:p>
        </w:tc>
        <w:tc>
          <w:tcPr>
            <w:tcW w:w="4428" w:type="dxa"/>
            <w:shd w:val="clear" w:color="auto" w:fill="auto"/>
          </w:tcPr>
          <w:p w:rsidR="007C4103" w:rsidRPr="001A7C83" w:rsidRDefault="007C4103" w:rsidP="00FA54A5">
            <w:pPr>
              <w:jc w:val="both"/>
            </w:pPr>
            <w:r w:rsidRPr="001A7C83">
              <w:t>January 8, 2014</w:t>
            </w:r>
          </w:p>
        </w:tc>
      </w:tr>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18"/>
                  <w:enabled/>
                  <w:calcOnExit w:val="0"/>
                  <w:textInput/>
                </w:ffData>
              </w:fldChar>
            </w:r>
            <w:bookmarkStart w:id="24" w:name="Text18"/>
            <w:r w:rsidRPr="001A7C83">
              <w:instrText xml:space="preserve"> FORMTEXT </w:instrText>
            </w:r>
            <w:r w:rsidRPr="001A7C83">
              <w:fldChar w:fldCharType="separate"/>
            </w:r>
            <w:r w:rsidRPr="001A7C83">
              <w:rPr>
                <w:noProof/>
              </w:rPr>
              <w:t>CON application filed:</w:t>
            </w:r>
            <w:r w:rsidRPr="001A7C83">
              <w:fldChar w:fldCharType="end"/>
            </w:r>
            <w:bookmarkEnd w:id="24"/>
          </w:p>
        </w:tc>
        <w:tc>
          <w:tcPr>
            <w:tcW w:w="4428" w:type="dxa"/>
            <w:shd w:val="clear" w:color="auto" w:fill="auto"/>
          </w:tcPr>
          <w:p w:rsidR="007C4103" w:rsidRPr="001A7C83" w:rsidRDefault="009068F5" w:rsidP="00FA54A5">
            <w:pPr>
              <w:jc w:val="both"/>
            </w:pPr>
            <w:r w:rsidRPr="001A7C83">
              <w:t>March 3, 2014</w:t>
            </w:r>
          </w:p>
        </w:tc>
      </w:tr>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19"/>
                  <w:enabled/>
                  <w:calcOnExit w:val="0"/>
                  <w:textInput/>
                </w:ffData>
              </w:fldChar>
            </w:r>
            <w:bookmarkStart w:id="25" w:name="Text19"/>
            <w:r w:rsidRPr="001A7C83">
              <w:instrText xml:space="preserve"> FORMTEXT </w:instrText>
            </w:r>
            <w:r w:rsidRPr="001A7C83">
              <w:fldChar w:fldCharType="separate"/>
            </w:r>
            <w:r w:rsidRPr="001A7C83">
              <w:rPr>
                <w:noProof/>
              </w:rPr>
              <w:t>CON certified as complete:</w:t>
            </w:r>
            <w:r w:rsidRPr="001A7C83">
              <w:fldChar w:fldCharType="end"/>
            </w:r>
            <w:bookmarkEnd w:id="25"/>
          </w:p>
        </w:tc>
        <w:tc>
          <w:tcPr>
            <w:tcW w:w="4428" w:type="dxa"/>
            <w:shd w:val="clear" w:color="auto" w:fill="auto"/>
          </w:tcPr>
          <w:p w:rsidR="007C4103" w:rsidRPr="001A7C83" w:rsidRDefault="009068F5" w:rsidP="00FA54A5">
            <w:pPr>
              <w:jc w:val="both"/>
            </w:pPr>
            <w:r w:rsidRPr="001A7C83">
              <w:t>March 3, 2014</w:t>
            </w:r>
          </w:p>
        </w:tc>
      </w:tr>
      <w:tr w:rsidR="007C4103" w:rsidRPr="009B19F4" w:rsidTr="00FA54A5">
        <w:tc>
          <w:tcPr>
            <w:tcW w:w="4428" w:type="dxa"/>
            <w:shd w:val="clear" w:color="auto" w:fill="auto"/>
          </w:tcPr>
          <w:p w:rsidR="007C4103" w:rsidRPr="001A7C83" w:rsidRDefault="007C4103" w:rsidP="00FA54A5">
            <w:pPr>
              <w:jc w:val="both"/>
            </w:pPr>
            <w:r w:rsidRPr="001A7C83">
              <w:fldChar w:fldCharType="begin">
                <w:ffData>
                  <w:name w:val="Text20"/>
                  <w:enabled/>
                  <w:calcOnExit w:val="0"/>
                  <w:textInput/>
                </w:ffData>
              </w:fldChar>
            </w:r>
            <w:bookmarkStart w:id="26" w:name="Text20"/>
            <w:r w:rsidRPr="001A7C83">
              <w:instrText xml:space="preserve"> FORMTEXT </w:instrText>
            </w:r>
            <w:r w:rsidRPr="001A7C83">
              <w:fldChar w:fldCharType="separate"/>
            </w:r>
            <w:r w:rsidRPr="001A7C83">
              <w:rPr>
                <w:noProof/>
              </w:rPr>
              <w:t>Public Information Meeting Held:</w:t>
            </w:r>
            <w:r w:rsidRPr="001A7C83">
              <w:fldChar w:fldCharType="end"/>
            </w:r>
            <w:bookmarkEnd w:id="26"/>
          </w:p>
        </w:tc>
        <w:tc>
          <w:tcPr>
            <w:tcW w:w="4428" w:type="dxa"/>
            <w:shd w:val="clear" w:color="auto" w:fill="auto"/>
          </w:tcPr>
          <w:p w:rsidR="007C4103" w:rsidRPr="001A7C83" w:rsidRDefault="00D46EA9" w:rsidP="00FA54A5">
            <w:pPr>
              <w:jc w:val="both"/>
            </w:pPr>
            <w:r>
              <w:t>N/A</w:t>
            </w:r>
          </w:p>
        </w:tc>
      </w:tr>
      <w:tr w:rsidR="007C4103" w:rsidRPr="009B19F4" w:rsidTr="00FA54A5">
        <w:tc>
          <w:tcPr>
            <w:tcW w:w="4428" w:type="dxa"/>
            <w:shd w:val="clear" w:color="auto" w:fill="auto"/>
          </w:tcPr>
          <w:p w:rsidR="007C4103" w:rsidRPr="001A7C83" w:rsidRDefault="007C4103" w:rsidP="00FA54A5">
            <w:pPr>
              <w:jc w:val="both"/>
            </w:pPr>
            <w:r w:rsidRPr="001A7C83">
              <w:t>Public Hearing held:</w:t>
            </w:r>
          </w:p>
        </w:tc>
        <w:tc>
          <w:tcPr>
            <w:tcW w:w="4428" w:type="dxa"/>
            <w:shd w:val="clear" w:color="auto" w:fill="auto"/>
          </w:tcPr>
          <w:p w:rsidR="007C4103" w:rsidRPr="001A7C83" w:rsidRDefault="00D46EA9" w:rsidP="00FA54A5">
            <w:pPr>
              <w:jc w:val="both"/>
            </w:pPr>
            <w:r>
              <w:t>N/A</w:t>
            </w:r>
          </w:p>
        </w:tc>
      </w:tr>
      <w:tr w:rsidR="007C4103" w:rsidRPr="009B19F4" w:rsidTr="00FA54A5">
        <w:tc>
          <w:tcPr>
            <w:tcW w:w="4428" w:type="dxa"/>
            <w:shd w:val="clear" w:color="auto" w:fill="auto"/>
          </w:tcPr>
          <w:p w:rsidR="007C4103" w:rsidRPr="001A7C83" w:rsidRDefault="007C4103" w:rsidP="00FA54A5">
            <w:pPr>
              <w:jc w:val="both"/>
            </w:pPr>
            <w:r w:rsidRPr="001A7C83">
              <w:t xml:space="preserve">Comment Period Ended: </w:t>
            </w:r>
          </w:p>
        </w:tc>
        <w:tc>
          <w:tcPr>
            <w:tcW w:w="4428" w:type="dxa"/>
            <w:shd w:val="clear" w:color="auto" w:fill="auto"/>
          </w:tcPr>
          <w:p w:rsidR="007C4103" w:rsidRPr="001A7C83" w:rsidRDefault="009068F5" w:rsidP="00FA54A5">
            <w:pPr>
              <w:jc w:val="both"/>
            </w:pPr>
            <w:r w:rsidRPr="001A7C83">
              <w:t>April 2, 2014</w:t>
            </w:r>
          </w:p>
        </w:tc>
      </w:tr>
    </w:tbl>
    <w:p w:rsidR="001328E1" w:rsidRPr="009B19F4" w:rsidRDefault="001328E1" w:rsidP="00595EC7">
      <w:pPr>
        <w:rPr>
          <w:b/>
          <w:u w:val="single"/>
        </w:rPr>
      </w:pPr>
      <w:r w:rsidRPr="009B19F4">
        <w:tab/>
      </w:r>
    </w:p>
    <w:p w:rsidR="001328E1" w:rsidRPr="009B19F4" w:rsidRDefault="001328E1" w:rsidP="00595EC7">
      <w:pPr>
        <w:sectPr w:rsidR="001328E1" w:rsidRPr="009B19F4" w:rsidSect="00F25D90">
          <w:headerReference w:type="default" r:id="rId29"/>
          <w:pgSz w:w="12240" w:h="15840"/>
          <w:pgMar w:top="1440" w:right="1440" w:bottom="1440" w:left="1440" w:header="720" w:footer="720" w:gutter="0"/>
          <w:cols w:space="720"/>
          <w:docGrid w:linePitch="360"/>
        </w:sectPr>
      </w:pPr>
    </w:p>
    <w:p w:rsidR="00AA21FB" w:rsidRPr="009B19F4" w:rsidRDefault="00595EC7" w:rsidP="00595EC7">
      <w:pPr>
        <w:pStyle w:val="Heading1"/>
        <w:rPr>
          <w:rFonts w:ascii="Times New Roman" w:hAnsi="Times New Roman" w:cs="Times New Roman"/>
        </w:rPr>
      </w:pPr>
      <w:r w:rsidRPr="009B19F4">
        <w:rPr>
          <w:rFonts w:ascii="Times New Roman" w:hAnsi="Times New Roman" w:cs="Times New Roman"/>
        </w:rPr>
        <w:t>X</w:t>
      </w:r>
      <w:r w:rsidR="00FF1025">
        <w:rPr>
          <w:rFonts w:ascii="Times New Roman" w:hAnsi="Times New Roman" w:cs="Times New Roman"/>
        </w:rPr>
        <w:t xml:space="preserve">. </w:t>
      </w:r>
      <w:r w:rsidR="00AA21FB" w:rsidRPr="009B19F4">
        <w:rPr>
          <w:rFonts w:ascii="Times New Roman" w:hAnsi="Times New Roman" w:cs="Times New Roman"/>
        </w:rPr>
        <w:t>Findings and Recommendations</w:t>
      </w:r>
    </w:p>
    <w:p w:rsidR="00A948B6" w:rsidRPr="009B19F4" w:rsidRDefault="00AA21FB" w:rsidP="006B35F7">
      <w:pPr>
        <w:jc w:val="both"/>
      </w:pPr>
      <w:r w:rsidRPr="009B19F4">
        <w:cr/>
      </w:r>
      <w:r w:rsidR="00A948B6" w:rsidRPr="009B19F4">
        <w:t>Based on the preceding analysis, including information contained in the record, the Certificate of Need Unit recommends that the Commissioner make the following findings:</w:t>
      </w:r>
    </w:p>
    <w:p w:rsidR="00A948B6" w:rsidRPr="009B19F4" w:rsidRDefault="00A948B6" w:rsidP="006B35F7">
      <w:pPr>
        <w:jc w:val="both"/>
        <w:rPr>
          <w:sz w:val="16"/>
          <w:szCs w:val="16"/>
        </w:rPr>
      </w:pPr>
    </w:p>
    <w:p w:rsidR="00A948B6" w:rsidRPr="009B19F4" w:rsidRDefault="00A948B6" w:rsidP="006B35F7">
      <w:pPr>
        <w:ind w:left="720" w:hanging="720"/>
        <w:jc w:val="both"/>
      </w:pPr>
      <w:r w:rsidRPr="009B19F4">
        <w:rPr>
          <w:b/>
        </w:rPr>
        <w:t>A.</w:t>
      </w:r>
      <w:r w:rsidRPr="009B19F4">
        <w:tab/>
        <w:t xml:space="preserve">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A948B6" w:rsidRPr="009B19F4" w:rsidRDefault="00A948B6" w:rsidP="006B35F7">
      <w:pPr>
        <w:jc w:val="both"/>
        <w:rPr>
          <w:sz w:val="16"/>
          <w:szCs w:val="16"/>
        </w:rPr>
      </w:pPr>
    </w:p>
    <w:p w:rsidR="00A948B6" w:rsidRPr="009B19F4" w:rsidRDefault="00A948B6" w:rsidP="009068F5">
      <w:pPr>
        <w:ind w:left="720" w:hanging="720"/>
        <w:jc w:val="both"/>
      </w:pPr>
      <w:r w:rsidRPr="009B19F4">
        <w:rPr>
          <w:b/>
        </w:rPr>
        <w:t>B.</w:t>
      </w:r>
      <w:r w:rsidRPr="009B19F4">
        <w:tab/>
        <w:t>The economic feasibility of the proposed services is demonstrated in terms of the:</w:t>
      </w:r>
    </w:p>
    <w:p w:rsidR="00A948B6" w:rsidRPr="009B19F4" w:rsidRDefault="00A948B6" w:rsidP="006B35F7">
      <w:pPr>
        <w:pStyle w:val="ListParagraph"/>
        <w:ind w:left="1440"/>
        <w:jc w:val="both"/>
        <w:rPr>
          <w:sz w:val="16"/>
          <w:szCs w:val="16"/>
        </w:rPr>
      </w:pPr>
    </w:p>
    <w:p w:rsidR="00A948B6" w:rsidRPr="009B19F4" w:rsidRDefault="00A948B6" w:rsidP="009068F5">
      <w:pPr>
        <w:pStyle w:val="ListParagraph"/>
        <w:numPr>
          <w:ilvl w:val="0"/>
          <w:numId w:val="20"/>
        </w:numPr>
        <w:ind w:left="1440"/>
        <w:jc w:val="both"/>
      </w:pPr>
      <w:r w:rsidRPr="009B19F4">
        <w:t>Capacity of the applicant to support the project financially over its useful life, in light of the rates the applicant expects to be able to charge for the services to be provided by the project; and</w:t>
      </w:r>
    </w:p>
    <w:p w:rsidR="00A948B6" w:rsidRPr="009B19F4" w:rsidRDefault="00A948B6" w:rsidP="006B35F7">
      <w:pPr>
        <w:pStyle w:val="ListParagraph"/>
        <w:ind w:left="1080"/>
        <w:jc w:val="both"/>
        <w:rPr>
          <w:sz w:val="16"/>
          <w:szCs w:val="16"/>
        </w:rPr>
      </w:pPr>
    </w:p>
    <w:p w:rsidR="00A948B6" w:rsidRPr="009B19F4" w:rsidRDefault="00A948B6" w:rsidP="009068F5">
      <w:pPr>
        <w:ind w:left="1440" w:hanging="360"/>
        <w:jc w:val="both"/>
      </w:pPr>
      <w:r w:rsidRPr="009B19F4">
        <w:rPr>
          <w:b/>
        </w:rPr>
        <w:t>2.</w:t>
      </w:r>
      <w:r w:rsidRPr="009B19F4">
        <w:tab/>
        <w:t>The applicant’s ability to establish and operate the project in accordance with existing and reasonably anticipated future changes in federal, state and local licensure and other applicable or potentially applicable rules;</w:t>
      </w:r>
    </w:p>
    <w:p w:rsidR="00A948B6" w:rsidRPr="009B19F4" w:rsidRDefault="00A948B6" w:rsidP="006B35F7">
      <w:pPr>
        <w:jc w:val="both"/>
        <w:rPr>
          <w:sz w:val="16"/>
          <w:szCs w:val="16"/>
        </w:rPr>
      </w:pPr>
    </w:p>
    <w:p w:rsidR="00A948B6" w:rsidRPr="009B19F4" w:rsidRDefault="00A948B6" w:rsidP="006B35F7">
      <w:pPr>
        <w:ind w:left="720" w:hanging="720"/>
        <w:jc w:val="both"/>
      </w:pPr>
      <w:r w:rsidRPr="009B19F4">
        <w:rPr>
          <w:b/>
        </w:rPr>
        <w:t>C.</w:t>
      </w:r>
      <w:r w:rsidRPr="009B19F4">
        <w:tab/>
        <w:t>There is a public need for the proposed services as demonstrated by certain factors, including, but not limited to;</w:t>
      </w:r>
    </w:p>
    <w:p w:rsidR="00A948B6" w:rsidRPr="009B19F4" w:rsidRDefault="00A948B6" w:rsidP="006B35F7">
      <w:pPr>
        <w:jc w:val="both"/>
        <w:rPr>
          <w:sz w:val="16"/>
          <w:szCs w:val="16"/>
        </w:rPr>
      </w:pPr>
    </w:p>
    <w:p w:rsidR="00A948B6" w:rsidRPr="009B19F4" w:rsidRDefault="00A948B6" w:rsidP="009068F5">
      <w:pPr>
        <w:pStyle w:val="ListParagraph"/>
        <w:numPr>
          <w:ilvl w:val="0"/>
          <w:numId w:val="21"/>
        </w:numPr>
        <w:ind w:left="1440"/>
        <w:jc w:val="both"/>
      </w:pPr>
      <w:r w:rsidRPr="009B19F4">
        <w:t>The extent to which the project will substantially address specific health problems as measured by health needs in the area to be served by the project;</w:t>
      </w:r>
    </w:p>
    <w:p w:rsidR="00A948B6" w:rsidRPr="009B19F4" w:rsidRDefault="00A948B6" w:rsidP="006B35F7">
      <w:pPr>
        <w:pStyle w:val="ListParagraph"/>
        <w:ind w:left="1080"/>
        <w:jc w:val="both"/>
        <w:rPr>
          <w:sz w:val="16"/>
          <w:szCs w:val="16"/>
        </w:rPr>
      </w:pPr>
    </w:p>
    <w:p w:rsidR="00A948B6" w:rsidRPr="009B19F4" w:rsidRDefault="00A948B6" w:rsidP="009068F5">
      <w:pPr>
        <w:pStyle w:val="ListParagraph"/>
        <w:numPr>
          <w:ilvl w:val="0"/>
          <w:numId w:val="21"/>
        </w:numPr>
        <w:ind w:left="1440"/>
        <w:jc w:val="both"/>
      </w:pPr>
      <w:r w:rsidRPr="009B19F4">
        <w:t>The project has demonstrated that it will have a positive impact on the health status indicators of the population to be served;</w:t>
      </w:r>
    </w:p>
    <w:p w:rsidR="00A948B6" w:rsidRPr="009B19F4" w:rsidRDefault="00A948B6" w:rsidP="006B35F7">
      <w:pPr>
        <w:jc w:val="both"/>
        <w:rPr>
          <w:sz w:val="16"/>
          <w:szCs w:val="16"/>
        </w:rPr>
      </w:pPr>
    </w:p>
    <w:p w:rsidR="00A948B6" w:rsidRPr="009B19F4" w:rsidRDefault="00A948B6" w:rsidP="009068F5">
      <w:pPr>
        <w:pStyle w:val="ListParagraph"/>
        <w:numPr>
          <w:ilvl w:val="0"/>
          <w:numId w:val="21"/>
        </w:numPr>
        <w:ind w:left="1440"/>
        <w:jc w:val="both"/>
      </w:pPr>
      <w:r w:rsidRPr="009B19F4">
        <w:t>The project will be accessible to all residents of the area proposed to be served; and</w:t>
      </w:r>
    </w:p>
    <w:p w:rsidR="00A948B6" w:rsidRPr="009B19F4" w:rsidRDefault="00A948B6" w:rsidP="006B35F7">
      <w:pPr>
        <w:pStyle w:val="ListParagraph"/>
        <w:jc w:val="both"/>
        <w:rPr>
          <w:sz w:val="16"/>
          <w:szCs w:val="16"/>
        </w:rPr>
      </w:pPr>
    </w:p>
    <w:p w:rsidR="00A948B6" w:rsidRPr="009B19F4" w:rsidRDefault="00A948B6" w:rsidP="009068F5">
      <w:pPr>
        <w:pStyle w:val="ListParagraph"/>
        <w:numPr>
          <w:ilvl w:val="0"/>
          <w:numId w:val="21"/>
        </w:numPr>
        <w:ind w:left="1440"/>
        <w:jc w:val="both"/>
      </w:pPr>
      <w:r w:rsidRPr="009B19F4">
        <w:t xml:space="preserve">The project will provide demonstrable improvements in quality and outcome measures applicable to the services proposed in the project; </w:t>
      </w:r>
    </w:p>
    <w:p w:rsidR="00A948B6" w:rsidRPr="009B19F4" w:rsidRDefault="00A948B6" w:rsidP="006B35F7">
      <w:pPr>
        <w:jc w:val="both"/>
        <w:rPr>
          <w:sz w:val="16"/>
          <w:szCs w:val="16"/>
        </w:rPr>
      </w:pPr>
    </w:p>
    <w:p w:rsidR="00A948B6" w:rsidRPr="009B19F4" w:rsidRDefault="00A948B6" w:rsidP="006B35F7">
      <w:pPr>
        <w:ind w:left="720" w:hanging="720"/>
        <w:jc w:val="both"/>
      </w:pPr>
      <w:r w:rsidRPr="009B19F4">
        <w:rPr>
          <w:b/>
        </w:rPr>
        <w:t>D.</w:t>
      </w:r>
      <w:r w:rsidRPr="009B19F4">
        <w:tab/>
        <w:t>The proposed services are consistent with the orderly and economic development of health facilities and health resources for the State as demonstrated by:</w:t>
      </w:r>
    </w:p>
    <w:p w:rsidR="00A948B6" w:rsidRPr="009B19F4" w:rsidRDefault="00A948B6" w:rsidP="006B35F7">
      <w:pPr>
        <w:jc w:val="both"/>
        <w:rPr>
          <w:sz w:val="16"/>
          <w:szCs w:val="16"/>
        </w:rPr>
      </w:pPr>
    </w:p>
    <w:p w:rsidR="00A948B6" w:rsidRPr="009B19F4" w:rsidRDefault="00A948B6" w:rsidP="009068F5">
      <w:pPr>
        <w:pStyle w:val="ListParagraph"/>
        <w:numPr>
          <w:ilvl w:val="0"/>
          <w:numId w:val="22"/>
        </w:numPr>
        <w:ind w:left="1440"/>
        <w:jc w:val="both"/>
      </w:pPr>
      <w:r w:rsidRPr="009B19F4">
        <w:t xml:space="preserve">The impact of the project on total health care expenditures after taking into account, to the extent practical, both the costs and benefits of the project and the competing demands in the local service area and statewide for available resources for health care; </w:t>
      </w:r>
    </w:p>
    <w:p w:rsidR="00A948B6" w:rsidRPr="009B19F4" w:rsidRDefault="00A948B6" w:rsidP="006B35F7">
      <w:pPr>
        <w:pStyle w:val="ListParagraph"/>
        <w:ind w:left="1080"/>
        <w:jc w:val="both"/>
        <w:rPr>
          <w:sz w:val="16"/>
          <w:szCs w:val="16"/>
        </w:rPr>
      </w:pPr>
    </w:p>
    <w:p w:rsidR="00A948B6" w:rsidRPr="009B19F4" w:rsidRDefault="00A948B6" w:rsidP="009068F5">
      <w:pPr>
        <w:pStyle w:val="ListParagraph"/>
        <w:numPr>
          <w:ilvl w:val="0"/>
          <w:numId w:val="22"/>
        </w:numPr>
        <w:ind w:left="1440"/>
        <w:jc w:val="both"/>
      </w:pPr>
      <w:r w:rsidRPr="009B19F4">
        <w:t>The availability of State funds to cover any increase in state costs associated with utilization of the project’s services; and</w:t>
      </w:r>
    </w:p>
    <w:p w:rsidR="00A948B6" w:rsidRPr="009B19F4" w:rsidRDefault="00A948B6" w:rsidP="006B35F7">
      <w:pPr>
        <w:jc w:val="both"/>
      </w:pPr>
    </w:p>
    <w:p w:rsidR="00A948B6" w:rsidRPr="009B19F4" w:rsidRDefault="00A948B6" w:rsidP="009068F5">
      <w:pPr>
        <w:pStyle w:val="ListParagraph"/>
        <w:numPr>
          <w:ilvl w:val="0"/>
          <w:numId w:val="22"/>
        </w:numPr>
        <w:ind w:left="1440"/>
        <w:jc w:val="both"/>
      </w:pPr>
      <w:r w:rsidRPr="009B19F4">
        <w:t>The likelihood that more effective, more accessible or less costly alternative technologies or methods of service delivery may become available was demonstrated by the applicant;</w:t>
      </w:r>
    </w:p>
    <w:p w:rsidR="00A948B6" w:rsidRPr="009B19F4" w:rsidRDefault="00A948B6" w:rsidP="006B35F7">
      <w:pPr>
        <w:ind w:left="720"/>
        <w:jc w:val="both"/>
        <w:sectPr w:rsidR="00A948B6" w:rsidRPr="009B19F4" w:rsidSect="00F25D90">
          <w:headerReference w:type="even" r:id="rId30"/>
          <w:headerReference w:type="default" r:id="rId31"/>
          <w:headerReference w:type="first" r:id="rId32"/>
          <w:pgSz w:w="12240" w:h="15840"/>
          <w:pgMar w:top="1440" w:right="1440" w:bottom="1440" w:left="1440" w:header="720" w:footer="720" w:gutter="0"/>
          <w:cols w:space="720"/>
          <w:docGrid w:linePitch="360"/>
        </w:sectPr>
      </w:pPr>
    </w:p>
    <w:p w:rsidR="00A948B6" w:rsidRPr="009B19F4" w:rsidRDefault="00A948B6" w:rsidP="006B35F7">
      <w:pPr>
        <w:ind w:left="720"/>
        <w:jc w:val="both"/>
      </w:pPr>
    </w:p>
    <w:p w:rsidR="00A948B6" w:rsidRPr="009B19F4" w:rsidRDefault="00A948B6" w:rsidP="006B35F7">
      <w:pPr>
        <w:ind w:left="720" w:hanging="720"/>
        <w:jc w:val="both"/>
      </w:pPr>
      <w:r w:rsidRPr="009B19F4">
        <w:rPr>
          <w:b/>
        </w:rPr>
        <w:t>E.</w:t>
      </w:r>
      <w:r w:rsidRPr="009B19F4">
        <w:tab/>
        <w:t>The project ensures high-quality outcomes and does not negatively affect the quality of care delivered by existing service providers:</w:t>
      </w:r>
    </w:p>
    <w:p w:rsidR="00A948B6" w:rsidRPr="009B19F4" w:rsidRDefault="00A948B6" w:rsidP="006B35F7">
      <w:pPr>
        <w:jc w:val="both"/>
      </w:pPr>
    </w:p>
    <w:p w:rsidR="00A948B6" w:rsidRPr="009B19F4" w:rsidRDefault="00A948B6" w:rsidP="006B35F7">
      <w:pPr>
        <w:ind w:left="720" w:hanging="720"/>
        <w:jc w:val="both"/>
      </w:pPr>
      <w:r w:rsidRPr="009B19F4">
        <w:rPr>
          <w:b/>
        </w:rPr>
        <w:t>F.</w:t>
      </w:r>
      <w:r w:rsidRPr="009B19F4">
        <w:tab/>
        <w:t>The project does not result in inappropriate increases in service utilization, according to the principles of evidence-based medicine adopted by the Maine Quality Forum; and</w:t>
      </w:r>
    </w:p>
    <w:p w:rsidR="00A948B6" w:rsidRPr="009B19F4" w:rsidRDefault="00A948B6" w:rsidP="006B35F7">
      <w:pPr>
        <w:jc w:val="both"/>
      </w:pPr>
    </w:p>
    <w:p w:rsidR="00F15F9F" w:rsidRPr="0019690A" w:rsidRDefault="00A948B6" w:rsidP="00F15F9F">
      <w:pPr>
        <w:ind w:left="720" w:hanging="720"/>
        <w:jc w:val="both"/>
      </w:pPr>
      <w:r w:rsidRPr="009B19F4">
        <w:rPr>
          <w:b/>
        </w:rPr>
        <w:t>G.</w:t>
      </w:r>
      <w:r w:rsidRPr="009B19F4">
        <w:t xml:space="preserve"> </w:t>
      </w:r>
      <w:r w:rsidRPr="009B19F4">
        <w:tab/>
        <w:t xml:space="preserve">The project </w:t>
      </w:r>
      <w:r w:rsidR="00F15F9F">
        <w:t>is consistent with the nursing facility MaineCare funding pool and other applicable provisions of sections 333-A and 334-A.</w:t>
      </w:r>
    </w:p>
    <w:p w:rsidR="00A948B6" w:rsidRPr="009B19F4" w:rsidRDefault="00A948B6" w:rsidP="006B35F7">
      <w:pPr>
        <w:jc w:val="both"/>
      </w:pPr>
    </w:p>
    <w:p w:rsidR="00DA072B" w:rsidRPr="003A2BF6" w:rsidRDefault="00A948B6" w:rsidP="009F3BAB">
      <w:pPr>
        <w:jc w:val="both"/>
      </w:pPr>
      <w:r w:rsidRPr="009B19F4">
        <w:t xml:space="preserve">For all the reasons contained in this preliminary analysis and based upon information contained in the record, Certificate of Need Unit recommends that the Commissioner determine that this project should be </w:t>
      </w:r>
      <w:r w:rsidRPr="009B19F4">
        <w:rPr>
          <w:b/>
        </w:rPr>
        <w:t>approved.</w:t>
      </w:r>
    </w:p>
    <w:sectPr w:rsidR="00DA072B" w:rsidRPr="003A2BF6" w:rsidSect="00F25D90">
      <w:headerReference w:type="even" r:id="rId33"/>
      <w:headerReference w:type="default" r:id="rId34"/>
      <w:head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AF9" w:rsidRDefault="008C6AF9">
      <w:r>
        <w:separator/>
      </w:r>
    </w:p>
  </w:endnote>
  <w:endnote w:type="continuationSeparator" w:id="0">
    <w:p w:rsidR="008C6AF9" w:rsidRDefault="008C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551375"/>
      <w:docPartObj>
        <w:docPartGallery w:val="Page Numbers (Bottom of Page)"/>
        <w:docPartUnique/>
      </w:docPartObj>
    </w:sdtPr>
    <w:sdtEndPr/>
    <w:sdtContent>
      <w:sdt>
        <w:sdtPr>
          <w:id w:val="-1669238322"/>
          <w:docPartObj>
            <w:docPartGallery w:val="Page Numbers (Top of Page)"/>
            <w:docPartUnique/>
          </w:docPartObj>
        </w:sdtPr>
        <w:sdtEndPr/>
        <w:sdtContent>
          <w:p w:rsidR="008C6AF9" w:rsidRDefault="008C6AF9">
            <w:pPr>
              <w:pStyle w:val="Footer"/>
              <w:jc w:val="center"/>
            </w:pPr>
            <w:r>
              <w:t xml:space="preserve">Page </w:t>
            </w:r>
            <w:r>
              <w:rPr>
                <w:b/>
                <w:bCs/>
              </w:rPr>
              <w:fldChar w:fldCharType="begin"/>
            </w:r>
            <w:r>
              <w:rPr>
                <w:b/>
                <w:bCs/>
              </w:rPr>
              <w:instrText xml:space="preserve"> PAGE </w:instrText>
            </w:r>
            <w:r>
              <w:rPr>
                <w:b/>
                <w:bCs/>
              </w:rPr>
              <w:fldChar w:fldCharType="separate"/>
            </w:r>
            <w:r w:rsidR="00A56F4D">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A56F4D">
              <w:rPr>
                <w:b/>
                <w:bCs/>
                <w:noProof/>
              </w:rPr>
              <w:t>17</w:t>
            </w:r>
            <w:r>
              <w:rPr>
                <w:b/>
                <w:bCs/>
              </w:rPr>
              <w:fldChar w:fldCharType="end"/>
            </w:r>
          </w:p>
        </w:sdtContent>
      </w:sdt>
    </w:sdtContent>
  </w:sdt>
  <w:p w:rsidR="008C6AF9" w:rsidRDefault="008C6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AF9" w:rsidRDefault="008C6AF9">
      <w:r>
        <w:separator/>
      </w:r>
    </w:p>
  </w:footnote>
  <w:footnote w:type="continuationSeparator" w:id="0">
    <w:p w:rsidR="008C6AF9" w:rsidRDefault="008C6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Pr="009B19F4" w:rsidRDefault="008C6AF9" w:rsidP="009B19F4">
    <w:pPr>
      <w:pStyle w:val="Header"/>
      <w:tabs>
        <w:tab w:val="clear" w:pos="8640"/>
        <w:tab w:val="right" w:pos="9360"/>
      </w:tabs>
      <w:ind w:left="-1080" w:right="-900"/>
      <w:jc w:val="center"/>
      <w:rPr>
        <w:b/>
        <w:noProof/>
      </w:rPr>
    </w:pPr>
    <w:r w:rsidRPr="009B19F4">
      <w:rPr>
        <w:b/>
        <w:noProof/>
      </w:rPr>
      <w:t>Department of Health and Human Services</w:t>
    </w:r>
  </w:p>
  <w:p w:rsidR="008C6AF9" w:rsidRPr="009B19F4" w:rsidRDefault="008C6AF9" w:rsidP="009B19F4">
    <w:pPr>
      <w:pStyle w:val="Header"/>
      <w:tabs>
        <w:tab w:val="clear" w:pos="8640"/>
        <w:tab w:val="right" w:pos="9360"/>
      </w:tabs>
      <w:ind w:left="-1080" w:right="-900"/>
      <w:jc w:val="center"/>
      <w:rPr>
        <w:b/>
        <w:noProof/>
      </w:rPr>
    </w:pPr>
    <w:r w:rsidRPr="009B19F4">
      <w:rPr>
        <w:b/>
        <w:noProof/>
      </w:rPr>
      <w:t>Division of Licensing and Regulatory Services</w:t>
    </w:r>
  </w:p>
  <w:p w:rsidR="008C6AF9" w:rsidRPr="009B19F4" w:rsidRDefault="008C6AF9" w:rsidP="009B19F4">
    <w:pPr>
      <w:pStyle w:val="Header"/>
      <w:tabs>
        <w:tab w:val="clear" w:pos="8640"/>
        <w:tab w:val="right" w:pos="9360"/>
      </w:tabs>
      <w:ind w:left="-1080" w:right="-900"/>
      <w:jc w:val="center"/>
      <w:rPr>
        <w:b/>
        <w:noProof/>
      </w:rPr>
    </w:pPr>
    <w:r w:rsidRPr="009B19F4">
      <w:rPr>
        <w:b/>
        <w:noProof/>
      </w:rPr>
      <w:t xml:space="preserve">State House Station #11, Augusta, Maine </w:t>
    </w:r>
  </w:p>
  <w:p w:rsidR="008C6AF9" w:rsidRDefault="008C6AF9" w:rsidP="009B19F4">
    <w:pPr>
      <w:pStyle w:val="Header"/>
      <w:tabs>
        <w:tab w:val="clear" w:pos="8640"/>
        <w:tab w:val="right" w:pos="9360"/>
      </w:tabs>
      <w:ind w:left="-1080" w:right="-900"/>
      <w:jc w:val="center"/>
      <w:rPr>
        <w:b/>
        <w:noProof/>
      </w:rPr>
    </w:pPr>
    <w:r w:rsidRPr="009B19F4">
      <w:rPr>
        <w:b/>
        <w:noProof/>
      </w:rPr>
      <w:t>Preliminary Analysis</w:t>
    </w:r>
  </w:p>
  <w:p w:rsidR="008C6AF9" w:rsidRPr="009B19F4" w:rsidRDefault="008C6AF9" w:rsidP="009B19F4">
    <w:pPr>
      <w:pStyle w:val="Header"/>
      <w:tabs>
        <w:tab w:val="clear" w:pos="8640"/>
        <w:tab w:val="right" w:pos="9360"/>
      </w:tabs>
      <w:ind w:left="-1080" w:right="-90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1804AF">
    <w:pPr>
      <w:pStyle w:val="Header"/>
      <w:tabs>
        <w:tab w:val="clear" w:pos="8640"/>
        <w:tab w:val="right" w:pos="9360"/>
      </w:tabs>
      <w:jc w:val="center"/>
      <w:rPr>
        <w:rStyle w:val="PageNumber"/>
      </w:rPr>
    </w:pPr>
    <w:r>
      <w:t>Maple Grove Nursing Home, Inc.</w:t>
    </w:r>
    <w:r>
      <w:tab/>
    </w:r>
    <w:r>
      <w:rPr>
        <w:rStyle w:val="PageNumber"/>
      </w:rPr>
      <w:tab/>
      <w:t xml:space="preserve">Addition of 13 SNF/NF beds </w:t>
    </w:r>
  </w:p>
  <w:p w:rsidR="008C6AF9" w:rsidRDefault="008C6AF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Madigan Estates</w:t>
    </w:r>
  </w:p>
  <w:p w:rsidR="008C6AF9" w:rsidRDefault="008C6AF9">
    <w:pPr>
      <w:pStyle w:val="Header"/>
      <w:rPr>
        <w:rStyle w:val="PageNumber"/>
      </w:rPr>
    </w:pPr>
    <w:r>
      <w:rPr>
        <w:rStyle w:val="PageNumber"/>
      </w:rPr>
      <w:t>VI.   Outcomes and Community Impact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1804AF">
    <w:pPr>
      <w:pStyle w:val="Header"/>
      <w:tabs>
        <w:tab w:val="clear" w:pos="8640"/>
        <w:tab w:val="right" w:pos="9360"/>
      </w:tabs>
      <w:jc w:val="center"/>
      <w:rPr>
        <w:rStyle w:val="PageNumber"/>
      </w:rPr>
    </w:pPr>
    <w:r>
      <w:t>Maple Grove Nursing Home, Inc.</w:t>
    </w:r>
    <w:r>
      <w:tab/>
    </w:r>
    <w:r>
      <w:rPr>
        <w:rStyle w:val="PageNumber"/>
      </w:rPr>
      <w:tab/>
      <w:t xml:space="preserve">Addition of 13 SNF/NF beds </w:t>
    </w:r>
  </w:p>
  <w:p w:rsidR="008C6AF9" w:rsidRDefault="008C6AF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Madigan Estates</w:t>
    </w:r>
  </w:p>
  <w:p w:rsidR="008C6AF9" w:rsidRDefault="008C6AF9">
    <w:pPr>
      <w:pStyle w:val="Header"/>
      <w:rPr>
        <w:rStyle w:val="PageNumber"/>
      </w:rPr>
    </w:pPr>
    <w:r>
      <w:rPr>
        <w:rStyle w:val="PageNumber"/>
      </w:rPr>
      <w:t>VII.    Service Utilization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1804AF">
    <w:pPr>
      <w:pStyle w:val="Header"/>
      <w:tabs>
        <w:tab w:val="clear" w:pos="8640"/>
        <w:tab w:val="right" w:pos="9360"/>
      </w:tabs>
      <w:jc w:val="center"/>
      <w:rPr>
        <w:rStyle w:val="PageNumber"/>
      </w:rPr>
    </w:pPr>
    <w:r>
      <w:t>Maple Grove Nursing Home, Inc.</w:t>
    </w:r>
    <w:r>
      <w:tab/>
    </w:r>
    <w:r>
      <w:rPr>
        <w:rStyle w:val="PageNumber"/>
      </w:rPr>
      <w:tab/>
      <w:t xml:space="preserve">Addition of 13 SNF/NF beds </w:t>
    </w:r>
  </w:p>
  <w:p w:rsidR="008C6AF9" w:rsidRDefault="008C6AF9" w:rsidP="000C1224">
    <w:pPr>
      <w:pStyle w:val="Header"/>
      <w:tabs>
        <w:tab w:val="clear" w:pos="8640"/>
        <w:tab w:val="left" w:pos="9300"/>
        <w:tab w:val="right" w:pos="9360"/>
      </w:tabs>
      <w:jc w:val="center"/>
      <w:rPr>
        <w:rStyle w:val="PageNumber"/>
      </w:rPr>
    </w:pPr>
    <w:r>
      <w:rPr>
        <w:rStyle w:val="PageNumber"/>
      </w:rPr>
      <w:t>Preliminary Analysis</w:t>
    </w:r>
    <w:r>
      <w:rPr>
        <w:rStyle w:val="PageNumber"/>
      </w:rPr>
      <w:tab/>
      <w:t xml:space="preserve">                                                                                               Madigan Estates</w:t>
    </w:r>
    <w:r>
      <w:rPr>
        <w:rStyle w:val="PageNumber"/>
      </w:rPr>
      <w:tab/>
    </w:r>
  </w:p>
  <w:p w:rsidR="008C6AF9" w:rsidRDefault="008C6AF9" w:rsidP="00106349">
    <w:pPr>
      <w:pStyle w:val="Header"/>
      <w:tabs>
        <w:tab w:val="clear" w:pos="4320"/>
        <w:tab w:val="clear" w:pos="8640"/>
      </w:tabs>
    </w:pPr>
    <w:r>
      <w:t>VIII.     MaineCare Funding Pool and MaineCare Neutrality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1804AF">
    <w:pPr>
      <w:pStyle w:val="Header"/>
      <w:tabs>
        <w:tab w:val="clear" w:pos="8640"/>
        <w:tab w:val="right" w:pos="9360"/>
      </w:tabs>
      <w:jc w:val="center"/>
      <w:rPr>
        <w:rStyle w:val="PageNumber"/>
      </w:rPr>
    </w:pPr>
    <w:r>
      <w:t>Maple Grove Nursing Home, Inc.</w:t>
    </w:r>
    <w:r>
      <w:tab/>
    </w:r>
    <w:r>
      <w:rPr>
        <w:rStyle w:val="PageNumber"/>
      </w:rPr>
      <w:tab/>
      <w:t xml:space="preserve">Addition of 13 SNF/NF beds </w:t>
    </w:r>
  </w:p>
  <w:p w:rsidR="008C6AF9" w:rsidRDefault="008C6AF9" w:rsidP="000C1224">
    <w:pPr>
      <w:pStyle w:val="Header"/>
      <w:tabs>
        <w:tab w:val="clear" w:pos="8640"/>
        <w:tab w:val="left" w:pos="9300"/>
        <w:tab w:val="right" w:pos="9360"/>
      </w:tabs>
      <w:jc w:val="center"/>
      <w:rPr>
        <w:rStyle w:val="PageNumber"/>
      </w:rPr>
    </w:pPr>
    <w:r>
      <w:rPr>
        <w:rStyle w:val="PageNumber"/>
      </w:rPr>
      <w:t>Preliminary Analysis</w:t>
    </w:r>
    <w:r>
      <w:rPr>
        <w:rStyle w:val="PageNumber"/>
      </w:rPr>
      <w:tab/>
      <w:t xml:space="preserve">                                                                                               Madigan Estates</w:t>
    </w:r>
    <w:r>
      <w:rPr>
        <w:rStyle w:val="PageNumber"/>
      </w:rPr>
      <w:tab/>
    </w:r>
  </w:p>
  <w:p w:rsidR="008C6AF9" w:rsidRDefault="008C6AF9" w:rsidP="00106349">
    <w:pPr>
      <w:pStyle w:val="Header"/>
      <w:tabs>
        <w:tab w:val="clear" w:pos="4320"/>
        <w:tab w:val="clear" w:pos="8640"/>
      </w:tabs>
    </w:pPr>
    <w:r>
      <w:t>IX.     Timely Notice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904DD5">
    <w:pPr>
      <w:pStyle w:val="Header"/>
      <w:tabs>
        <w:tab w:val="clear" w:pos="8640"/>
        <w:tab w:val="right" w:pos="9360"/>
      </w:tabs>
      <w:jc w:val="center"/>
      <w:rPr>
        <w:rStyle w:val="PageNumber"/>
      </w:rPr>
    </w:pPr>
    <w:r>
      <w:t>Maple Grove Nursing Home, Inc.</w:t>
    </w:r>
    <w:r>
      <w:tab/>
    </w:r>
    <w:r>
      <w:rPr>
        <w:rStyle w:val="PageNumber"/>
      </w:rPr>
      <w:tab/>
      <w:t xml:space="preserve">Addition of 13 SNF/NF beds </w:t>
    </w:r>
  </w:p>
  <w:p w:rsidR="008C6AF9" w:rsidRDefault="008C6AF9" w:rsidP="00904DD5">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Madigan Estates</w:t>
    </w:r>
  </w:p>
  <w:p w:rsidR="008C6AF9" w:rsidRDefault="008C6AF9" w:rsidP="00904DD5">
    <w:pPr>
      <w:pStyle w:val="Header"/>
      <w:tabs>
        <w:tab w:val="clear" w:pos="4320"/>
        <w:tab w:val="clear" w:pos="8640"/>
      </w:tabs>
    </w:pPr>
    <w:r>
      <w:t>X.   Findings and Recommendations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67479F">
    <w:pPr>
      <w:pStyle w:val="Header"/>
      <w:tabs>
        <w:tab w:val="clear" w:pos="8640"/>
        <w:tab w:val="left" w:pos="6507"/>
        <w:tab w:val="right" w:pos="9360"/>
      </w:tabs>
      <w:rPr>
        <w:rStyle w:val="PageNumber"/>
      </w:rPr>
    </w:pPr>
    <w:r>
      <w:t>Maple Grove Nursing Home, Inc.</w:t>
    </w:r>
    <w:r>
      <w:tab/>
    </w:r>
    <w:r>
      <w:rPr>
        <w:rStyle w:val="PageNumber"/>
      </w:rPr>
      <w:tab/>
    </w:r>
    <w:r>
      <w:rPr>
        <w:rStyle w:val="PageNumber"/>
      </w:rPr>
      <w:tab/>
      <w:t xml:space="preserve">Addition of 13 SNF/NF beds </w:t>
    </w:r>
  </w:p>
  <w:p w:rsidR="008C6AF9" w:rsidRDefault="008C6AF9" w:rsidP="0019690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Madigan Estates</w:t>
    </w:r>
  </w:p>
  <w:p w:rsidR="008C6AF9" w:rsidRDefault="008C6AF9" w:rsidP="0019690A">
    <w:pPr>
      <w:pStyle w:val="Header"/>
      <w:tabs>
        <w:tab w:val="clear" w:pos="4320"/>
        <w:tab w:val="clear" w:pos="8640"/>
      </w:tabs>
    </w:pPr>
    <w:r>
      <w:t>IX.   Findings and Recommendations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Pr="000251F4" w:rsidRDefault="008C6AF9" w:rsidP="00FF1025">
    <w:pPr>
      <w:pStyle w:val="Header"/>
      <w:jc w:val="center"/>
      <w:rPr>
        <w:b/>
      </w:rPr>
    </w:pPr>
    <w:r w:rsidRPr="000251F4">
      <w:rPr>
        <w:b/>
      </w:rPr>
      <w:t>Department of Health and Human Services</w:t>
    </w:r>
  </w:p>
  <w:p w:rsidR="008C6AF9" w:rsidRPr="000251F4" w:rsidRDefault="008C6AF9" w:rsidP="00FF1025">
    <w:pPr>
      <w:pStyle w:val="Header"/>
      <w:jc w:val="center"/>
      <w:rPr>
        <w:b/>
      </w:rPr>
    </w:pPr>
    <w:r w:rsidRPr="000251F4">
      <w:rPr>
        <w:b/>
      </w:rPr>
      <w:t>Division of Licensing and Regulatory Services</w:t>
    </w:r>
  </w:p>
  <w:p w:rsidR="008C6AF9" w:rsidRPr="000251F4" w:rsidRDefault="008C6AF9" w:rsidP="00FF1025">
    <w:pPr>
      <w:pStyle w:val="Header"/>
      <w:jc w:val="center"/>
      <w:rPr>
        <w:b/>
      </w:rPr>
    </w:pPr>
    <w:r w:rsidRPr="000251F4">
      <w:rPr>
        <w:b/>
      </w:rPr>
      <w:t>State House Station #11, Augusta, Maine</w:t>
    </w:r>
  </w:p>
  <w:p w:rsidR="008C6AF9" w:rsidRPr="000251F4" w:rsidRDefault="008C6AF9" w:rsidP="00FF1025">
    <w:pPr>
      <w:pStyle w:val="Header"/>
      <w:jc w:val="center"/>
      <w:rPr>
        <w:b/>
      </w:rPr>
    </w:pPr>
    <w:r w:rsidRPr="000251F4">
      <w:rPr>
        <w:b/>
      </w:rPr>
      <w:t>Preliminary Analysis</w:t>
    </w:r>
  </w:p>
  <w:p w:rsidR="008C6AF9" w:rsidRPr="00FF1025" w:rsidRDefault="008C6AF9" w:rsidP="00FF1025">
    <w:pPr>
      <w:pStyle w:val="Header"/>
      <w:jc w:val="center"/>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237C8E">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 xml:space="preserve">Change of Ownership </w:t>
    </w:r>
  </w:p>
  <w:p w:rsidR="008C6AF9" w:rsidRDefault="008C6AF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8C6AF9" w:rsidRDefault="008C6AF9">
    <w:pPr>
      <w:pStyle w:val="Header"/>
      <w:rPr>
        <w:rStyle w:val="PageNumber"/>
      </w:rPr>
    </w:pPr>
    <w:r>
      <w:rPr>
        <w:rStyle w:val="PageNumber"/>
      </w:rPr>
      <w:t>II. Fit, Willing and 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237C8E">
    <w:pPr>
      <w:pStyle w:val="Header"/>
      <w:tabs>
        <w:tab w:val="clear" w:pos="8640"/>
        <w:tab w:val="right" w:pos="9360"/>
      </w:tabs>
      <w:jc w:val="center"/>
      <w:rPr>
        <w:rStyle w:val="PageNumber"/>
      </w:rPr>
    </w:pPr>
    <w:r>
      <w:t xml:space="preserve">Maple Grove Nursing Home, Inc. </w:t>
    </w:r>
    <w:r>
      <w:tab/>
    </w:r>
    <w:r>
      <w:rPr>
        <w:rStyle w:val="PageNumber"/>
      </w:rPr>
      <w:tab/>
      <w:t xml:space="preserve">Addition of 13 SNF/NF beds </w:t>
    </w:r>
  </w:p>
  <w:p w:rsidR="008C6AF9" w:rsidRDefault="008C6AF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Madigan Estates</w:t>
    </w:r>
  </w:p>
  <w:p w:rsidR="008C6AF9" w:rsidRDefault="008C6AF9" w:rsidP="009B19F4">
    <w:pPr>
      <w:pStyle w:val="Header"/>
      <w:numPr>
        <w:ilvl w:val="0"/>
        <w:numId w:val="31"/>
      </w:numPr>
      <w:ind w:left="270" w:hanging="270"/>
      <w:rPr>
        <w:rStyle w:val="PageNumber"/>
      </w:rPr>
    </w:pPr>
    <w:r>
      <w:rPr>
        <w:rStyle w:val="PageNumber"/>
      </w:rPr>
      <w:t>Abstract</w:t>
    </w:r>
  </w:p>
  <w:p w:rsidR="008C6AF9" w:rsidRDefault="008C6AF9">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237C8E">
    <w:pPr>
      <w:pStyle w:val="Header"/>
      <w:tabs>
        <w:tab w:val="clear" w:pos="8640"/>
        <w:tab w:val="right" w:pos="9360"/>
      </w:tabs>
      <w:jc w:val="center"/>
      <w:rPr>
        <w:rStyle w:val="PageNumber"/>
      </w:rPr>
    </w:pPr>
    <w:r>
      <w:t xml:space="preserve">Maple Grove Nursing Home, Inc. </w:t>
    </w:r>
    <w:r>
      <w:tab/>
      <w:t xml:space="preserve">                                                     </w:t>
    </w:r>
    <w:r>
      <w:rPr>
        <w:rStyle w:val="PageNumber"/>
      </w:rPr>
      <w:t xml:space="preserve">Addition of 13 SNF/NF beds </w:t>
    </w:r>
  </w:p>
  <w:p w:rsidR="008C6AF9" w:rsidRDefault="008C6AF9"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Madigan Estates</w:t>
    </w:r>
  </w:p>
  <w:p w:rsidR="008C6AF9" w:rsidRDefault="008C6AF9" w:rsidP="00FF1025">
    <w:pPr>
      <w:pStyle w:val="Header"/>
      <w:numPr>
        <w:ilvl w:val="0"/>
        <w:numId w:val="31"/>
      </w:numPr>
      <w:ind w:left="450" w:hanging="450"/>
      <w:rPr>
        <w:rStyle w:val="PageNumber"/>
      </w:rPr>
    </w:pPr>
    <w:r>
      <w:rPr>
        <w:rStyle w:val="PageNumber"/>
      </w:rPr>
      <w:t>Fit, Willing and Able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FF1025">
    <w:pPr>
      <w:pStyle w:val="Header"/>
      <w:tabs>
        <w:tab w:val="clear" w:pos="8640"/>
        <w:tab w:val="right" w:pos="9360"/>
      </w:tabs>
      <w:ind w:left="540" w:hanging="540"/>
      <w:jc w:val="center"/>
      <w:rPr>
        <w:rStyle w:val="PageNumber"/>
      </w:rPr>
    </w:pPr>
    <w:r>
      <w:t xml:space="preserve">Maple Grove Nursing Home, Inc. </w:t>
    </w:r>
    <w:r>
      <w:tab/>
    </w:r>
    <w:r>
      <w:rPr>
        <w:rStyle w:val="PageNumber"/>
      </w:rPr>
      <w:tab/>
      <w:t xml:space="preserve">Addition of 13 SNF/NF beds </w:t>
    </w:r>
  </w:p>
  <w:p w:rsidR="008C6AF9" w:rsidRDefault="008C6AF9"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t>Madigan Estates</w:t>
    </w:r>
  </w:p>
  <w:p w:rsidR="008C6AF9" w:rsidRDefault="008C6AF9" w:rsidP="00FF1025">
    <w:pPr>
      <w:pStyle w:val="Header"/>
      <w:tabs>
        <w:tab w:val="clear" w:pos="8640"/>
        <w:tab w:val="right" w:pos="9360"/>
      </w:tabs>
      <w:ind w:left="630" w:hanging="630"/>
      <w:rPr>
        <w:rStyle w:val="PageNumber"/>
        <w:bCs/>
      </w:rPr>
    </w:pPr>
    <w:r>
      <w:rPr>
        <w:rStyle w:val="PageNumber"/>
        <w:bCs/>
      </w:rPr>
      <w:t>III.    Economic Feasibility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0C1C82">
    <w:pPr>
      <w:pStyle w:val="Header"/>
      <w:tabs>
        <w:tab w:val="clear" w:pos="8640"/>
        <w:tab w:val="right" w:pos="9360"/>
      </w:tabs>
      <w:ind w:left="-360"/>
      <w:jc w:val="center"/>
      <w:rPr>
        <w:rStyle w:val="PageNumber"/>
      </w:rPr>
    </w:pPr>
    <w:r>
      <w:t xml:space="preserve">Maple Grove Nursing Home, Inc. </w:t>
    </w:r>
    <w:r>
      <w:tab/>
    </w:r>
    <w:r>
      <w:rPr>
        <w:rStyle w:val="PageNumber"/>
      </w:rPr>
      <w:tab/>
      <w:t xml:space="preserve">Addition of 13 SNF/NF beds </w:t>
    </w:r>
  </w:p>
  <w:p w:rsidR="008C6AF9" w:rsidRDefault="008C6AF9" w:rsidP="000C1C82">
    <w:pPr>
      <w:pStyle w:val="Header"/>
      <w:tabs>
        <w:tab w:val="clear" w:pos="8640"/>
        <w:tab w:val="right" w:pos="9360"/>
      </w:tabs>
      <w:ind w:left="-360"/>
      <w:jc w:val="center"/>
      <w:rPr>
        <w:rStyle w:val="PageNumber"/>
      </w:rPr>
    </w:pPr>
    <w:r>
      <w:rPr>
        <w:rStyle w:val="PageNumber"/>
      </w:rPr>
      <w:t>Preliminary Analysis</w:t>
    </w:r>
    <w:r>
      <w:rPr>
        <w:rStyle w:val="PageNumber"/>
      </w:rPr>
      <w:tab/>
    </w:r>
    <w:r>
      <w:rPr>
        <w:rStyle w:val="PageNumber"/>
      </w:rPr>
      <w:tab/>
      <w:t>Madigan Estates</w:t>
    </w:r>
  </w:p>
  <w:p w:rsidR="008C6AF9" w:rsidRDefault="008C6AF9" w:rsidP="000C1C82">
    <w:pPr>
      <w:pStyle w:val="Header"/>
      <w:tabs>
        <w:tab w:val="clear" w:pos="8640"/>
        <w:tab w:val="left" w:pos="-360"/>
        <w:tab w:val="right" w:pos="9360"/>
      </w:tabs>
      <w:ind w:left="-360"/>
      <w:rPr>
        <w:rStyle w:val="PageNumber"/>
        <w:bCs/>
      </w:rPr>
    </w:pPr>
    <w:r>
      <w:rPr>
        <w:rStyle w:val="PageNumber"/>
        <w:bCs/>
      </w:rPr>
      <w:t>IV.   Public Need</w:t>
    </w:r>
  </w:p>
  <w:p w:rsidR="008C6AF9" w:rsidRDefault="008C6AF9" w:rsidP="000C1C82">
    <w:pPr>
      <w:pStyle w:val="Header"/>
      <w:tabs>
        <w:tab w:val="clear" w:pos="8640"/>
        <w:tab w:val="left" w:pos="-360"/>
        <w:tab w:val="right" w:pos="9360"/>
      </w:tabs>
      <w:ind w:left="-360"/>
      <w:rPr>
        <w:rStyle w:val="PageNumber"/>
        <w:bC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rsidP="00FF1025">
    <w:pPr>
      <w:pStyle w:val="Header"/>
      <w:tabs>
        <w:tab w:val="clear" w:pos="8640"/>
        <w:tab w:val="right" w:pos="9360"/>
      </w:tabs>
      <w:ind w:left="-360"/>
      <w:jc w:val="center"/>
      <w:rPr>
        <w:rStyle w:val="PageNumber"/>
      </w:rPr>
    </w:pPr>
    <w:r>
      <w:t>Maple Grove Nursing Home, Inc.</w:t>
    </w:r>
    <w:r>
      <w:tab/>
    </w:r>
    <w:r>
      <w:rPr>
        <w:rStyle w:val="PageNumber"/>
      </w:rPr>
      <w:tab/>
      <w:t>Addition of 13 SNF/NF</w:t>
    </w:r>
  </w:p>
  <w:p w:rsidR="008C6AF9" w:rsidRDefault="008C6AF9" w:rsidP="00FF1025">
    <w:pPr>
      <w:pStyle w:val="Header"/>
      <w:tabs>
        <w:tab w:val="clear" w:pos="8640"/>
        <w:tab w:val="right" w:pos="9360"/>
      </w:tabs>
      <w:ind w:left="-360"/>
      <w:jc w:val="center"/>
      <w:rPr>
        <w:rStyle w:val="PageNumber"/>
      </w:rPr>
    </w:pPr>
    <w:r>
      <w:rPr>
        <w:rStyle w:val="PageNumber"/>
      </w:rPr>
      <w:t>Preliminary Analysis</w:t>
    </w:r>
    <w:r>
      <w:rPr>
        <w:rStyle w:val="PageNumber"/>
      </w:rPr>
      <w:tab/>
    </w:r>
    <w:r>
      <w:rPr>
        <w:rStyle w:val="PageNumber"/>
      </w:rPr>
      <w:tab/>
      <w:t>Madigan Estates</w:t>
    </w:r>
  </w:p>
  <w:p w:rsidR="008C6AF9" w:rsidRDefault="008C6AF9" w:rsidP="00FF1025">
    <w:pPr>
      <w:pStyle w:val="Header"/>
      <w:ind w:left="-360"/>
      <w:rPr>
        <w:rStyle w:val="PageNumber"/>
      </w:rPr>
    </w:pPr>
    <w:r>
      <w:rPr>
        <w:rStyle w:val="PageNumber"/>
      </w:rPr>
      <w:t>V.  Orderly and Economic Development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F9" w:rsidRDefault="008C6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
    <w:nsid w:val="00544747"/>
    <w:multiLevelType w:val="hybridMultilevel"/>
    <w:tmpl w:val="3E28E554"/>
    <w:lvl w:ilvl="0" w:tplc="8BE448DA">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CB0E11"/>
    <w:multiLevelType w:val="hybridMultilevel"/>
    <w:tmpl w:val="31948528"/>
    <w:lvl w:ilvl="0" w:tplc="39A6119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90E4F"/>
    <w:multiLevelType w:val="hybridMultilevel"/>
    <w:tmpl w:val="6250F4F2"/>
    <w:lvl w:ilvl="0" w:tplc="CDE41A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20FD4"/>
    <w:multiLevelType w:val="hybridMultilevel"/>
    <w:tmpl w:val="6BCE1F2A"/>
    <w:lvl w:ilvl="0" w:tplc="D0803A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737EEF"/>
    <w:multiLevelType w:val="hybridMultilevel"/>
    <w:tmpl w:val="C930E534"/>
    <w:lvl w:ilvl="0" w:tplc="9A4263E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E40700"/>
    <w:multiLevelType w:val="hybridMultilevel"/>
    <w:tmpl w:val="598E075E"/>
    <w:lvl w:ilvl="0" w:tplc="5FDC170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2C0D2D"/>
    <w:multiLevelType w:val="hybridMultilevel"/>
    <w:tmpl w:val="6D1C4CC4"/>
    <w:lvl w:ilvl="0" w:tplc="D4205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80682"/>
    <w:multiLevelType w:val="hybridMultilevel"/>
    <w:tmpl w:val="8C703746"/>
    <w:lvl w:ilvl="0" w:tplc="4B322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8716B"/>
    <w:multiLevelType w:val="hybridMultilevel"/>
    <w:tmpl w:val="9BD6DE8E"/>
    <w:lvl w:ilvl="0" w:tplc="EF983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F726D6"/>
    <w:multiLevelType w:val="hybridMultilevel"/>
    <w:tmpl w:val="0B8C7262"/>
    <w:lvl w:ilvl="0" w:tplc="2BC0A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0365E"/>
    <w:multiLevelType w:val="hybridMultilevel"/>
    <w:tmpl w:val="EF9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26B4B"/>
    <w:multiLevelType w:val="hybridMultilevel"/>
    <w:tmpl w:val="7220CBE4"/>
    <w:lvl w:ilvl="0" w:tplc="62D29B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A5C6F"/>
    <w:multiLevelType w:val="hybridMultilevel"/>
    <w:tmpl w:val="B33E00EE"/>
    <w:lvl w:ilvl="0" w:tplc="06E4D970">
      <w:start w:val="1"/>
      <w:numFmt w:val="upperLetter"/>
      <w:lvlText w:val="%1."/>
      <w:lvlJc w:val="left"/>
      <w:pPr>
        <w:ind w:left="540" w:hanging="360"/>
      </w:pPr>
      <w:rPr>
        <w:rFonts w:hint="default"/>
        <w:b/>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7">
    <w:nsid w:val="3CA11A61"/>
    <w:multiLevelType w:val="multilevel"/>
    <w:tmpl w:val="86C84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34764"/>
    <w:multiLevelType w:val="multilevel"/>
    <w:tmpl w:val="32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342CC"/>
    <w:multiLevelType w:val="multilevel"/>
    <w:tmpl w:val="8E30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1A003C"/>
    <w:multiLevelType w:val="hybridMultilevel"/>
    <w:tmpl w:val="F550BD5E"/>
    <w:lvl w:ilvl="0" w:tplc="352A05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60623"/>
    <w:multiLevelType w:val="hybridMultilevel"/>
    <w:tmpl w:val="2786C64A"/>
    <w:lvl w:ilvl="0" w:tplc="7F869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377DE"/>
    <w:multiLevelType w:val="hybridMultilevel"/>
    <w:tmpl w:val="3E3024D2"/>
    <w:lvl w:ilvl="0" w:tplc="9202E5A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9A2EEA"/>
    <w:multiLevelType w:val="hybridMultilevel"/>
    <w:tmpl w:val="25626C36"/>
    <w:lvl w:ilvl="0" w:tplc="F450226C">
      <w:start w:val="1"/>
      <w:numFmt w:val="upperLetter"/>
      <w:lvlText w:val="%1."/>
      <w:lvlJc w:val="left"/>
      <w:pPr>
        <w:ind w:left="540" w:hanging="360"/>
      </w:pPr>
      <w:rPr>
        <w:rFonts w:ascii="Times New Roman" w:eastAsia="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F8D2802"/>
    <w:multiLevelType w:val="hybridMultilevel"/>
    <w:tmpl w:val="1F78AAC8"/>
    <w:lvl w:ilvl="0" w:tplc="9EA832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A30E56"/>
    <w:multiLevelType w:val="multilevel"/>
    <w:tmpl w:val="59E29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CF05B0"/>
    <w:multiLevelType w:val="hybridMultilevel"/>
    <w:tmpl w:val="916C58E2"/>
    <w:lvl w:ilvl="0" w:tplc="8714A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FE0BB8"/>
    <w:multiLevelType w:val="hybridMultilevel"/>
    <w:tmpl w:val="10AAC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965DD6"/>
    <w:multiLevelType w:val="multilevel"/>
    <w:tmpl w:val="61AA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21378A"/>
    <w:multiLevelType w:val="multilevel"/>
    <w:tmpl w:val="D06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8F54AF"/>
    <w:multiLevelType w:val="hybridMultilevel"/>
    <w:tmpl w:val="13C0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CA6544"/>
    <w:multiLevelType w:val="hybridMultilevel"/>
    <w:tmpl w:val="BF42CBC0"/>
    <w:lvl w:ilvl="0" w:tplc="14AEAF64">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6C401031"/>
    <w:multiLevelType w:val="hybridMultilevel"/>
    <w:tmpl w:val="E4B235D6"/>
    <w:lvl w:ilvl="0" w:tplc="6BB6860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F153AC8"/>
    <w:multiLevelType w:val="hybridMultilevel"/>
    <w:tmpl w:val="70D28648"/>
    <w:lvl w:ilvl="0" w:tplc="06DA440E">
      <w:start w:val="1"/>
      <w:numFmt w:val="upperLetter"/>
      <w:lvlText w:val="%1."/>
      <w:lvlJc w:val="left"/>
      <w:pPr>
        <w:ind w:left="450" w:hanging="360"/>
      </w:pPr>
      <w:rPr>
        <w:rFonts w:ascii="Times New Roman" w:eastAsia="Times New Roman" w:hAnsi="Times New Roman" w:cs="Times New Roman"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6FF25E5A"/>
    <w:multiLevelType w:val="hybridMultilevel"/>
    <w:tmpl w:val="902C6AD2"/>
    <w:lvl w:ilvl="0" w:tplc="376A6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904AC"/>
    <w:multiLevelType w:val="hybridMultilevel"/>
    <w:tmpl w:val="D37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C039D6"/>
    <w:multiLevelType w:val="multilevel"/>
    <w:tmpl w:val="2FA4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083755"/>
    <w:multiLevelType w:val="hybridMultilevel"/>
    <w:tmpl w:val="A330E5DC"/>
    <w:lvl w:ilvl="0" w:tplc="AF02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7"/>
  </w:num>
  <w:num w:numId="3">
    <w:abstractNumId w:val="30"/>
  </w:num>
  <w:num w:numId="4">
    <w:abstractNumId w:val="9"/>
  </w:num>
  <w:num w:numId="5">
    <w:abstractNumId w:val="3"/>
  </w:num>
  <w:num w:numId="6">
    <w:abstractNumId w:val="4"/>
  </w:num>
  <w:num w:numId="7">
    <w:abstractNumId w:val="25"/>
  </w:num>
  <w:num w:numId="8">
    <w:abstractNumId w:val="17"/>
  </w:num>
  <w:num w:numId="9">
    <w:abstractNumId w:val="29"/>
  </w:num>
  <w:num w:numId="10">
    <w:abstractNumId w:val="19"/>
  </w:num>
  <w:num w:numId="11">
    <w:abstractNumId w:val="36"/>
  </w:num>
  <w:num w:numId="12">
    <w:abstractNumId w:val="28"/>
  </w:num>
  <w:num w:numId="13">
    <w:abstractNumId w:val="14"/>
  </w:num>
  <w:num w:numId="14">
    <w:abstractNumId w:val="0"/>
  </w:num>
  <w:num w:numId="15">
    <w:abstractNumId w:val="12"/>
  </w:num>
  <w:num w:numId="16">
    <w:abstractNumId w:val="24"/>
  </w:num>
  <w:num w:numId="17">
    <w:abstractNumId w:val="1"/>
  </w:num>
  <w:num w:numId="18">
    <w:abstractNumId w:val="18"/>
  </w:num>
  <w:num w:numId="19">
    <w:abstractNumId w:val="35"/>
  </w:num>
  <w:num w:numId="20">
    <w:abstractNumId w:val="2"/>
  </w:num>
  <w:num w:numId="21">
    <w:abstractNumId w:val="7"/>
  </w:num>
  <w:num w:numId="22">
    <w:abstractNumId w:val="5"/>
  </w:num>
  <w:num w:numId="23">
    <w:abstractNumId w:val="16"/>
  </w:num>
  <w:num w:numId="24">
    <w:abstractNumId w:val="23"/>
  </w:num>
  <w:num w:numId="25">
    <w:abstractNumId w:val="8"/>
  </w:num>
  <w:num w:numId="26">
    <w:abstractNumId w:val="10"/>
  </w:num>
  <w:num w:numId="27">
    <w:abstractNumId w:val="37"/>
  </w:num>
  <w:num w:numId="28">
    <w:abstractNumId w:val="20"/>
  </w:num>
  <w:num w:numId="29">
    <w:abstractNumId w:val="33"/>
  </w:num>
  <w:num w:numId="30">
    <w:abstractNumId w:val="6"/>
  </w:num>
  <w:num w:numId="31">
    <w:abstractNumId w:val="13"/>
  </w:num>
  <w:num w:numId="32">
    <w:abstractNumId w:val="21"/>
  </w:num>
  <w:num w:numId="33">
    <w:abstractNumId w:val="26"/>
  </w:num>
  <w:num w:numId="34">
    <w:abstractNumId w:val="31"/>
  </w:num>
  <w:num w:numId="35">
    <w:abstractNumId w:val="32"/>
  </w:num>
  <w:num w:numId="36">
    <w:abstractNumId w:val="11"/>
  </w:num>
  <w:num w:numId="37">
    <w:abstractNumId w:val="38"/>
  </w:num>
  <w:num w:numId="38">
    <w:abstractNumId w:val="34"/>
  </w:num>
  <w:num w:numId="39">
    <w:abstractNumId w:val="22"/>
  </w:num>
  <w:num w:numId="4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E55"/>
    <w:rsid w:val="00010FC2"/>
    <w:rsid w:val="00010FEE"/>
    <w:rsid w:val="00013754"/>
    <w:rsid w:val="00014F57"/>
    <w:rsid w:val="00015CD7"/>
    <w:rsid w:val="00016B51"/>
    <w:rsid w:val="000216A0"/>
    <w:rsid w:val="00022448"/>
    <w:rsid w:val="00024A81"/>
    <w:rsid w:val="000251F4"/>
    <w:rsid w:val="00026156"/>
    <w:rsid w:val="0003323D"/>
    <w:rsid w:val="000345DE"/>
    <w:rsid w:val="00034FD4"/>
    <w:rsid w:val="0003667B"/>
    <w:rsid w:val="00040A30"/>
    <w:rsid w:val="00041EBA"/>
    <w:rsid w:val="0004389E"/>
    <w:rsid w:val="000442EE"/>
    <w:rsid w:val="00045522"/>
    <w:rsid w:val="00046DFB"/>
    <w:rsid w:val="00050A41"/>
    <w:rsid w:val="000544B7"/>
    <w:rsid w:val="00055047"/>
    <w:rsid w:val="0005511F"/>
    <w:rsid w:val="00055F8B"/>
    <w:rsid w:val="00056D31"/>
    <w:rsid w:val="00062BF0"/>
    <w:rsid w:val="00065569"/>
    <w:rsid w:val="0006690B"/>
    <w:rsid w:val="00075057"/>
    <w:rsid w:val="00076012"/>
    <w:rsid w:val="00077EEC"/>
    <w:rsid w:val="00080825"/>
    <w:rsid w:val="00081D1A"/>
    <w:rsid w:val="000825CB"/>
    <w:rsid w:val="000853B9"/>
    <w:rsid w:val="000854E9"/>
    <w:rsid w:val="00091267"/>
    <w:rsid w:val="00091B04"/>
    <w:rsid w:val="000922F1"/>
    <w:rsid w:val="00092D67"/>
    <w:rsid w:val="000930A4"/>
    <w:rsid w:val="00093328"/>
    <w:rsid w:val="00094484"/>
    <w:rsid w:val="0009650B"/>
    <w:rsid w:val="000967EB"/>
    <w:rsid w:val="00097575"/>
    <w:rsid w:val="00097693"/>
    <w:rsid w:val="000A06C5"/>
    <w:rsid w:val="000A3E3D"/>
    <w:rsid w:val="000A5118"/>
    <w:rsid w:val="000A57BA"/>
    <w:rsid w:val="000B0FCA"/>
    <w:rsid w:val="000B137A"/>
    <w:rsid w:val="000B1DBE"/>
    <w:rsid w:val="000B3084"/>
    <w:rsid w:val="000B3BF8"/>
    <w:rsid w:val="000B42CF"/>
    <w:rsid w:val="000B4C40"/>
    <w:rsid w:val="000B563C"/>
    <w:rsid w:val="000B6428"/>
    <w:rsid w:val="000C02CD"/>
    <w:rsid w:val="000C05B8"/>
    <w:rsid w:val="000C08CB"/>
    <w:rsid w:val="000C1224"/>
    <w:rsid w:val="000C184B"/>
    <w:rsid w:val="000C1C82"/>
    <w:rsid w:val="000C5C78"/>
    <w:rsid w:val="000D46A5"/>
    <w:rsid w:val="000D7F49"/>
    <w:rsid w:val="000E0017"/>
    <w:rsid w:val="000E0EFF"/>
    <w:rsid w:val="000E3361"/>
    <w:rsid w:val="000E5DB3"/>
    <w:rsid w:val="000F300C"/>
    <w:rsid w:val="000F36BB"/>
    <w:rsid w:val="000F59B6"/>
    <w:rsid w:val="000F5A3C"/>
    <w:rsid w:val="0010200A"/>
    <w:rsid w:val="00106349"/>
    <w:rsid w:val="0010786D"/>
    <w:rsid w:val="0011107B"/>
    <w:rsid w:val="0011216D"/>
    <w:rsid w:val="001123F4"/>
    <w:rsid w:val="0011348B"/>
    <w:rsid w:val="00114C18"/>
    <w:rsid w:val="00115B3F"/>
    <w:rsid w:val="0011600C"/>
    <w:rsid w:val="00117CD5"/>
    <w:rsid w:val="00120B0F"/>
    <w:rsid w:val="00120FC8"/>
    <w:rsid w:val="001227AD"/>
    <w:rsid w:val="00127993"/>
    <w:rsid w:val="00130ECD"/>
    <w:rsid w:val="00131744"/>
    <w:rsid w:val="00131C35"/>
    <w:rsid w:val="001328E1"/>
    <w:rsid w:val="00133F2B"/>
    <w:rsid w:val="001364F5"/>
    <w:rsid w:val="00136B46"/>
    <w:rsid w:val="001372BD"/>
    <w:rsid w:val="00137E29"/>
    <w:rsid w:val="001411A8"/>
    <w:rsid w:val="00141379"/>
    <w:rsid w:val="00141856"/>
    <w:rsid w:val="0014286D"/>
    <w:rsid w:val="001432FB"/>
    <w:rsid w:val="001437E4"/>
    <w:rsid w:val="00143889"/>
    <w:rsid w:val="001445FA"/>
    <w:rsid w:val="001452EE"/>
    <w:rsid w:val="001453D0"/>
    <w:rsid w:val="00147374"/>
    <w:rsid w:val="0014742E"/>
    <w:rsid w:val="00150ABE"/>
    <w:rsid w:val="00153499"/>
    <w:rsid w:val="00156075"/>
    <w:rsid w:val="00157DFB"/>
    <w:rsid w:val="001606CA"/>
    <w:rsid w:val="00161043"/>
    <w:rsid w:val="0016323D"/>
    <w:rsid w:val="00163C16"/>
    <w:rsid w:val="00164035"/>
    <w:rsid w:val="00164DC7"/>
    <w:rsid w:val="00170A22"/>
    <w:rsid w:val="00171DE7"/>
    <w:rsid w:val="00172171"/>
    <w:rsid w:val="0017393D"/>
    <w:rsid w:val="00175A6C"/>
    <w:rsid w:val="00175D23"/>
    <w:rsid w:val="0018003F"/>
    <w:rsid w:val="00180282"/>
    <w:rsid w:val="001804AF"/>
    <w:rsid w:val="00181BCF"/>
    <w:rsid w:val="001823ED"/>
    <w:rsid w:val="00182C85"/>
    <w:rsid w:val="00182C8B"/>
    <w:rsid w:val="00184151"/>
    <w:rsid w:val="00185184"/>
    <w:rsid w:val="0018741D"/>
    <w:rsid w:val="00187F19"/>
    <w:rsid w:val="00192884"/>
    <w:rsid w:val="00192F8A"/>
    <w:rsid w:val="001930D4"/>
    <w:rsid w:val="001940E3"/>
    <w:rsid w:val="00194135"/>
    <w:rsid w:val="001950B6"/>
    <w:rsid w:val="0019690A"/>
    <w:rsid w:val="001A07C0"/>
    <w:rsid w:val="001A0ED7"/>
    <w:rsid w:val="001A2774"/>
    <w:rsid w:val="001A55FA"/>
    <w:rsid w:val="001A67E4"/>
    <w:rsid w:val="001A733F"/>
    <w:rsid w:val="001A7C83"/>
    <w:rsid w:val="001B0B14"/>
    <w:rsid w:val="001B1B91"/>
    <w:rsid w:val="001B308E"/>
    <w:rsid w:val="001B6517"/>
    <w:rsid w:val="001B68F2"/>
    <w:rsid w:val="001B696D"/>
    <w:rsid w:val="001C1832"/>
    <w:rsid w:val="001C26FE"/>
    <w:rsid w:val="001C2A50"/>
    <w:rsid w:val="001C339F"/>
    <w:rsid w:val="001C4A51"/>
    <w:rsid w:val="001C4E9F"/>
    <w:rsid w:val="001C51CE"/>
    <w:rsid w:val="001C542F"/>
    <w:rsid w:val="001C5ECE"/>
    <w:rsid w:val="001D1900"/>
    <w:rsid w:val="001D36E5"/>
    <w:rsid w:val="001D3C46"/>
    <w:rsid w:val="001D58C4"/>
    <w:rsid w:val="001D679E"/>
    <w:rsid w:val="001D6B27"/>
    <w:rsid w:val="001D6D33"/>
    <w:rsid w:val="001E00BD"/>
    <w:rsid w:val="001E0749"/>
    <w:rsid w:val="001E09AD"/>
    <w:rsid w:val="001E3A4E"/>
    <w:rsid w:val="001E594F"/>
    <w:rsid w:val="001E6731"/>
    <w:rsid w:val="001F067B"/>
    <w:rsid w:val="001F3FDD"/>
    <w:rsid w:val="001F4319"/>
    <w:rsid w:val="001F5BCA"/>
    <w:rsid w:val="001F5D04"/>
    <w:rsid w:val="001F5D2A"/>
    <w:rsid w:val="001F6722"/>
    <w:rsid w:val="002003C8"/>
    <w:rsid w:val="00200B10"/>
    <w:rsid w:val="00200D4B"/>
    <w:rsid w:val="00201FC4"/>
    <w:rsid w:val="00202E71"/>
    <w:rsid w:val="00204F50"/>
    <w:rsid w:val="00205E08"/>
    <w:rsid w:val="00206984"/>
    <w:rsid w:val="00206DC6"/>
    <w:rsid w:val="00210E23"/>
    <w:rsid w:val="00211D06"/>
    <w:rsid w:val="00212068"/>
    <w:rsid w:val="002127B5"/>
    <w:rsid w:val="0021371F"/>
    <w:rsid w:val="00214F84"/>
    <w:rsid w:val="00215D54"/>
    <w:rsid w:val="00215F0E"/>
    <w:rsid w:val="00216329"/>
    <w:rsid w:val="002178C6"/>
    <w:rsid w:val="0022060C"/>
    <w:rsid w:val="0022100D"/>
    <w:rsid w:val="0022146F"/>
    <w:rsid w:val="00222352"/>
    <w:rsid w:val="0022235E"/>
    <w:rsid w:val="00222A11"/>
    <w:rsid w:val="00223F75"/>
    <w:rsid w:val="0022411D"/>
    <w:rsid w:val="00224366"/>
    <w:rsid w:val="002244EF"/>
    <w:rsid w:val="00225DC6"/>
    <w:rsid w:val="0023013F"/>
    <w:rsid w:val="00230237"/>
    <w:rsid w:val="00235199"/>
    <w:rsid w:val="002369A8"/>
    <w:rsid w:val="00237C8E"/>
    <w:rsid w:val="00237E17"/>
    <w:rsid w:val="002405E5"/>
    <w:rsid w:val="00240843"/>
    <w:rsid w:val="00241573"/>
    <w:rsid w:val="00244346"/>
    <w:rsid w:val="002444EC"/>
    <w:rsid w:val="00244EDC"/>
    <w:rsid w:val="00245CA8"/>
    <w:rsid w:val="002479D0"/>
    <w:rsid w:val="00247F3D"/>
    <w:rsid w:val="00250263"/>
    <w:rsid w:val="00250683"/>
    <w:rsid w:val="00251D1C"/>
    <w:rsid w:val="00251F13"/>
    <w:rsid w:val="00251F6D"/>
    <w:rsid w:val="002525B6"/>
    <w:rsid w:val="0025334A"/>
    <w:rsid w:val="00253CD1"/>
    <w:rsid w:val="00253E20"/>
    <w:rsid w:val="00255DA4"/>
    <w:rsid w:val="0025717C"/>
    <w:rsid w:val="0025743F"/>
    <w:rsid w:val="002579ED"/>
    <w:rsid w:val="0026027B"/>
    <w:rsid w:val="00261B20"/>
    <w:rsid w:val="00262F87"/>
    <w:rsid w:val="0026409A"/>
    <w:rsid w:val="00264F51"/>
    <w:rsid w:val="00265AE1"/>
    <w:rsid w:val="00271773"/>
    <w:rsid w:val="00272BAF"/>
    <w:rsid w:val="00273571"/>
    <w:rsid w:val="00273E81"/>
    <w:rsid w:val="00276BB7"/>
    <w:rsid w:val="00277DBF"/>
    <w:rsid w:val="00280138"/>
    <w:rsid w:val="002823F9"/>
    <w:rsid w:val="00283C25"/>
    <w:rsid w:val="00283D65"/>
    <w:rsid w:val="00283DC2"/>
    <w:rsid w:val="002843F4"/>
    <w:rsid w:val="00287742"/>
    <w:rsid w:val="00291203"/>
    <w:rsid w:val="002935BF"/>
    <w:rsid w:val="002940A8"/>
    <w:rsid w:val="0029625C"/>
    <w:rsid w:val="002A14EA"/>
    <w:rsid w:val="002A1621"/>
    <w:rsid w:val="002A5230"/>
    <w:rsid w:val="002A5A03"/>
    <w:rsid w:val="002B3062"/>
    <w:rsid w:val="002B6542"/>
    <w:rsid w:val="002C0993"/>
    <w:rsid w:val="002C2225"/>
    <w:rsid w:val="002C2748"/>
    <w:rsid w:val="002C3EE6"/>
    <w:rsid w:val="002C4179"/>
    <w:rsid w:val="002C6C17"/>
    <w:rsid w:val="002C781C"/>
    <w:rsid w:val="002D457E"/>
    <w:rsid w:val="002D5216"/>
    <w:rsid w:val="002D5FB7"/>
    <w:rsid w:val="002E0E08"/>
    <w:rsid w:val="002E22B3"/>
    <w:rsid w:val="002E3098"/>
    <w:rsid w:val="002E5AD7"/>
    <w:rsid w:val="002E5DFF"/>
    <w:rsid w:val="002F12A8"/>
    <w:rsid w:val="002F1A23"/>
    <w:rsid w:val="002F5D5D"/>
    <w:rsid w:val="002F661F"/>
    <w:rsid w:val="002F77AA"/>
    <w:rsid w:val="0030245A"/>
    <w:rsid w:val="003024F1"/>
    <w:rsid w:val="00302ACF"/>
    <w:rsid w:val="00304C0B"/>
    <w:rsid w:val="0030620E"/>
    <w:rsid w:val="00307410"/>
    <w:rsid w:val="00312883"/>
    <w:rsid w:val="00313651"/>
    <w:rsid w:val="00313A94"/>
    <w:rsid w:val="0031527B"/>
    <w:rsid w:val="00321025"/>
    <w:rsid w:val="00322A3A"/>
    <w:rsid w:val="00323EF1"/>
    <w:rsid w:val="00324685"/>
    <w:rsid w:val="0032609B"/>
    <w:rsid w:val="003268FA"/>
    <w:rsid w:val="003302F0"/>
    <w:rsid w:val="0033282C"/>
    <w:rsid w:val="003411E0"/>
    <w:rsid w:val="00342E1B"/>
    <w:rsid w:val="00342ECC"/>
    <w:rsid w:val="00342F56"/>
    <w:rsid w:val="00343C22"/>
    <w:rsid w:val="00343D2F"/>
    <w:rsid w:val="00344554"/>
    <w:rsid w:val="00345311"/>
    <w:rsid w:val="003459C9"/>
    <w:rsid w:val="00347402"/>
    <w:rsid w:val="003501B0"/>
    <w:rsid w:val="00350211"/>
    <w:rsid w:val="003510E9"/>
    <w:rsid w:val="00352154"/>
    <w:rsid w:val="00354259"/>
    <w:rsid w:val="00355F74"/>
    <w:rsid w:val="0035626B"/>
    <w:rsid w:val="00356D91"/>
    <w:rsid w:val="00356E63"/>
    <w:rsid w:val="00357C0E"/>
    <w:rsid w:val="00362413"/>
    <w:rsid w:val="003652E8"/>
    <w:rsid w:val="00367D55"/>
    <w:rsid w:val="003722CC"/>
    <w:rsid w:val="0037690B"/>
    <w:rsid w:val="00377656"/>
    <w:rsid w:val="00383BFF"/>
    <w:rsid w:val="00384E81"/>
    <w:rsid w:val="003854EC"/>
    <w:rsid w:val="0038597B"/>
    <w:rsid w:val="00386992"/>
    <w:rsid w:val="00387E7D"/>
    <w:rsid w:val="00390593"/>
    <w:rsid w:val="00391987"/>
    <w:rsid w:val="003924D2"/>
    <w:rsid w:val="0039418D"/>
    <w:rsid w:val="003A0242"/>
    <w:rsid w:val="003A05A4"/>
    <w:rsid w:val="003A1445"/>
    <w:rsid w:val="003A1757"/>
    <w:rsid w:val="003A20AA"/>
    <w:rsid w:val="003A2B54"/>
    <w:rsid w:val="003A2BF6"/>
    <w:rsid w:val="003A3B6D"/>
    <w:rsid w:val="003A3D98"/>
    <w:rsid w:val="003A46E0"/>
    <w:rsid w:val="003A4DEC"/>
    <w:rsid w:val="003B05CA"/>
    <w:rsid w:val="003B1884"/>
    <w:rsid w:val="003B3D48"/>
    <w:rsid w:val="003B3E8A"/>
    <w:rsid w:val="003B5350"/>
    <w:rsid w:val="003B6079"/>
    <w:rsid w:val="003B7BC4"/>
    <w:rsid w:val="003C30F1"/>
    <w:rsid w:val="003C47D5"/>
    <w:rsid w:val="003C4907"/>
    <w:rsid w:val="003D19F7"/>
    <w:rsid w:val="003D37F4"/>
    <w:rsid w:val="003D74E7"/>
    <w:rsid w:val="003E2C49"/>
    <w:rsid w:val="003E5114"/>
    <w:rsid w:val="003E5E68"/>
    <w:rsid w:val="003E61AB"/>
    <w:rsid w:val="003E6426"/>
    <w:rsid w:val="003E70FD"/>
    <w:rsid w:val="003E752C"/>
    <w:rsid w:val="003E77E1"/>
    <w:rsid w:val="003F4A09"/>
    <w:rsid w:val="004006AE"/>
    <w:rsid w:val="00400EB6"/>
    <w:rsid w:val="004031B9"/>
    <w:rsid w:val="00403EEC"/>
    <w:rsid w:val="004059D4"/>
    <w:rsid w:val="00405B9A"/>
    <w:rsid w:val="00407BF0"/>
    <w:rsid w:val="00411AD9"/>
    <w:rsid w:val="004123AA"/>
    <w:rsid w:val="00412913"/>
    <w:rsid w:val="0041551C"/>
    <w:rsid w:val="00417574"/>
    <w:rsid w:val="00417C0F"/>
    <w:rsid w:val="004207F6"/>
    <w:rsid w:val="00422811"/>
    <w:rsid w:val="00422851"/>
    <w:rsid w:val="0042287D"/>
    <w:rsid w:val="00422A34"/>
    <w:rsid w:val="00422A73"/>
    <w:rsid w:val="00422D24"/>
    <w:rsid w:val="00424A03"/>
    <w:rsid w:val="004257F1"/>
    <w:rsid w:val="00426B2E"/>
    <w:rsid w:val="00426D87"/>
    <w:rsid w:val="00431491"/>
    <w:rsid w:val="00432458"/>
    <w:rsid w:val="0043347D"/>
    <w:rsid w:val="004336AF"/>
    <w:rsid w:val="00434034"/>
    <w:rsid w:val="00436EAE"/>
    <w:rsid w:val="00443D73"/>
    <w:rsid w:val="00445BCD"/>
    <w:rsid w:val="00446CB8"/>
    <w:rsid w:val="00450E6A"/>
    <w:rsid w:val="004538B0"/>
    <w:rsid w:val="00453D27"/>
    <w:rsid w:val="00454F4F"/>
    <w:rsid w:val="00455C8C"/>
    <w:rsid w:val="0046130E"/>
    <w:rsid w:val="004620A5"/>
    <w:rsid w:val="004620C2"/>
    <w:rsid w:val="004629A6"/>
    <w:rsid w:val="00462DC2"/>
    <w:rsid w:val="00464ABC"/>
    <w:rsid w:val="00464D4F"/>
    <w:rsid w:val="00465E95"/>
    <w:rsid w:val="00466BD1"/>
    <w:rsid w:val="00466DB7"/>
    <w:rsid w:val="00467E95"/>
    <w:rsid w:val="00470D26"/>
    <w:rsid w:val="004714B7"/>
    <w:rsid w:val="004716E9"/>
    <w:rsid w:val="0047583A"/>
    <w:rsid w:val="004767EA"/>
    <w:rsid w:val="004808F3"/>
    <w:rsid w:val="00481886"/>
    <w:rsid w:val="00482953"/>
    <w:rsid w:val="004831B1"/>
    <w:rsid w:val="00484C58"/>
    <w:rsid w:val="00485F47"/>
    <w:rsid w:val="00486846"/>
    <w:rsid w:val="00486FB7"/>
    <w:rsid w:val="00487488"/>
    <w:rsid w:val="004915FD"/>
    <w:rsid w:val="00493C32"/>
    <w:rsid w:val="00494E77"/>
    <w:rsid w:val="00495C6B"/>
    <w:rsid w:val="00496462"/>
    <w:rsid w:val="004968AE"/>
    <w:rsid w:val="00496A5F"/>
    <w:rsid w:val="00496DFB"/>
    <w:rsid w:val="004978D4"/>
    <w:rsid w:val="00497B4D"/>
    <w:rsid w:val="004A21E1"/>
    <w:rsid w:val="004A2F07"/>
    <w:rsid w:val="004A3A12"/>
    <w:rsid w:val="004A4A78"/>
    <w:rsid w:val="004A514C"/>
    <w:rsid w:val="004A51DE"/>
    <w:rsid w:val="004A61ED"/>
    <w:rsid w:val="004A75E9"/>
    <w:rsid w:val="004A7EE1"/>
    <w:rsid w:val="004B0A6B"/>
    <w:rsid w:val="004B2B65"/>
    <w:rsid w:val="004B4477"/>
    <w:rsid w:val="004B73BA"/>
    <w:rsid w:val="004C0CCA"/>
    <w:rsid w:val="004C1992"/>
    <w:rsid w:val="004C1C4C"/>
    <w:rsid w:val="004C528F"/>
    <w:rsid w:val="004C7120"/>
    <w:rsid w:val="004C7E3F"/>
    <w:rsid w:val="004D00D7"/>
    <w:rsid w:val="004D131C"/>
    <w:rsid w:val="004D56CF"/>
    <w:rsid w:val="004D716B"/>
    <w:rsid w:val="004E6C2B"/>
    <w:rsid w:val="004E75C9"/>
    <w:rsid w:val="004E7E4E"/>
    <w:rsid w:val="004F16C4"/>
    <w:rsid w:val="004F3144"/>
    <w:rsid w:val="004F437E"/>
    <w:rsid w:val="004F572D"/>
    <w:rsid w:val="005018A5"/>
    <w:rsid w:val="00502D9E"/>
    <w:rsid w:val="005113CE"/>
    <w:rsid w:val="00515839"/>
    <w:rsid w:val="00516852"/>
    <w:rsid w:val="00517B0E"/>
    <w:rsid w:val="0052336F"/>
    <w:rsid w:val="00525A8F"/>
    <w:rsid w:val="00525CAF"/>
    <w:rsid w:val="00526BA7"/>
    <w:rsid w:val="005310F8"/>
    <w:rsid w:val="005329AA"/>
    <w:rsid w:val="005336AB"/>
    <w:rsid w:val="00533CA8"/>
    <w:rsid w:val="00534D0B"/>
    <w:rsid w:val="00536B68"/>
    <w:rsid w:val="005404E6"/>
    <w:rsid w:val="0054109B"/>
    <w:rsid w:val="00541162"/>
    <w:rsid w:val="00545C02"/>
    <w:rsid w:val="00545F60"/>
    <w:rsid w:val="00546245"/>
    <w:rsid w:val="00546D6B"/>
    <w:rsid w:val="00547A95"/>
    <w:rsid w:val="0055033E"/>
    <w:rsid w:val="00552817"/>
    <w:rsid w:val="005533AB"/>
    <w:rsid w:val="0055563F"/>
    <w:rsid w:val="00555A69"/>
    <w:rsid w:val="00557E75"/>
    <w:rsid w:val="005641D2"/>
    <w:rsid w:val="005645C9"/>
    <w:rsid w:val="00565660"/>
    <w:rsid w:val="005674C7"/>
    <w:rsid w:val="00570D1C"/>
    <w:rsid w:val="00572647"/>
    <w:rsid w:val="00577E2B"/>
    <w:rsid w:val="005803BC"/>
    <w:rsid w:val="0058157C"/>
    <w:rsid w:val="00582633"/>
    <w:rsid w:val="00583714"/>
    <w:rsid w:val="0058458C"/>
    <w:rsid w:val="00587ABC"/>
    <w:rsid w:val="005908F8"/>
    <w:rsid w:val="00590EB5"/>
    <w:rsid w:val="00591003"/>
    <w:rsid w:val="00591374"/>
    <w:rsid w:val="0059151F"/>
    <w:rsid w:val="00594AFE"/>
    <w:rsid w:val="00595692"/>
    <w:rsid w:val="00595EC7"/>
    <w:rsid w:val="0059618E"/>
    <w:rsid w:val="00596425"/>
    <w:rsid w:val="005A018C"/>
    <w:rsid w:val="005A1035"/>
    <w:rsid w:val="005A1124"/>
    <w:rsid w:val="005A160B"/>
    <w:rsid w:val="005A5B3E"/>
    <w:rsid w:val="005A632C"/>
    <w:rsid w:val="005B0AD7"/>
    <w:rsid w:val="005B3A71"/>
    <w:rsid w:val="005B4607"/>
    <w:rsid w:val="005B5848"/>
    <w:rsid w:val="005B7BDC"/>
    <w:rsid w:val="005C36C7"/>
    <w:rsid w:val="005C4644"/>
    <w:rsid w:val="005C51D7"/>
    <w:rsid w:val="005C52DD"/>
    <w:rsid w:val="005D037C"/>
    <w:rsid w:val="005D039B"/>
    <w:rsid w:val="005D0577"/>
    <w:rsid w:val="005D1220"/>
    <w:rsid w:val="005D1235"/>
    <w:rsid w:val="005D14D0"/>
    <w:rsid w:val="005D242D"/>
    <w:rsid w:val="005D47BC"/>
    <w:rsid w:val="005D51EE"/>
    <w:rsid w:val="005D59FA"/>
    <w:rsid w:val="005D5F8D"/>
    <w:rsid w:val="005D6500"/>
    <w:rsid w:val="005D7BDB"/>
    <w:rsid w:val="005D7ED4"/>
    <w:rsid w:val="005E1D06"/>
    <w:rsid w:val="005E412C"/>
    <w:rsid w:val="005E4370"/>
    <w:rsid w:val="005E5A17"/>
    <w:rsid w:val="005E777C"/>
    <w:rsid w:val="005F08A2"/>
    <w:rsid w:val="005F331D"/>
    <w:rsid w:val="005F3DE7"/>
    <w:rsid w:val="005F4823"/>
    <w:rsid w:val="005F4E46"/>
    <w:rsid w:val="005F63BD"/>
    <w:rsid w:val="005F6D2C"/>
    <w:rsid w:val="005F72A2"/>
    <w:rsid w:val="005F755E"/>
    <w:rsid w:val="005F7C00"/>
    <w:rsid w:val="00600191"/>
    <w:rsid w:val="00602FAD"/>
    <w:rsid w:val="00603019"/>
    <w:rsid w:val="00603422"/>
    <w:rsid w:val="00604E26"/>
    <w:rsid w:val="006072C7"/>
    <w:rsid w:val="00612038"/>
    <w:rsid w:val="006124A5"/>
    <w:rsid w:val="00613911"/>
    <w:rsid w:val="00614193"/>
    <w:rsid w:val="00614434"/>
    <w:rsid w:val="00616524"/>
    <w:rsid w:val="0061709D"/>
    <w:rsid w:val="00623218"/>
    <w:rsid w:val="00623881"/>
    <w:rsid w:val="006240CC"/>
    <w:rsid w:val="00624863"/>
    <w:rsid w:val="00625A1A"/>
    <w:rsid w:val="00626BF9"/>
    <w:rsid w:val="0062770A"/>
    <w:rsid w:val="0063032C"/>
    <w:rsid w:val="00631E0E"/>
    <w:rsid w:val="00633545"/>
    <w:rsid w:val="00634198"/>
    <w:rsid w:val="0063491C"/>
    <w:rsid w:val="00635733"/>
    <w:rsid w:val="00636366"/>
    <w:rsid w:val="00636D57"/>
    <w:rsid w:val="0064020C"/>
    <w:rsid w:val="006409DB"/>
    <w:rsid w:val="00641162"/>
    <w:rsid w:val="00641DB5"/>
    <w:rsid w:val="00643903"/>
    <w:rsid w:val="00643E72"/>
    <w:rsid w:val="006444D4"/>
    <w:rsid w:val="006449D0"/>
    <w:rsid w:val="00647078"/>
    <w:rsid w:val="006504B0"/>
    <w:rsid w:val="00650F0D"/>
    <w:rsid w:val="0065225D"/>
    <w:rsid w:val="00653F10"/>
    <w:rsid w:val="006540F0"/>
    <w:rsid w:val="006541BC"/>
    <w:rsid w:val="00654D8C"/>
    <w:rsid w:val="006568EE"/>
    <w:rsid w:val="006601BA"/>
    <w:rsid w:val="00664296"/>
    <w:rsid w:val="00665580"/>
    <w:rsid w:val="006660DB"/>
    <w:rsid w:val="00666133"/>
    <w:rsid w:val="006676B2"/>
    <w:rsid w:val="00670787"/>
    <w:rsid w:val="00673875"/>
    <w:rsid w:val="0067479F"/>
    <w:rsid w:val="00675C8E"/>
    <w:rsid w:val="006760E7"/>
    <w:rsid w:val="0067753E"/>
    <w:rsid w:val="006828CF"/>
    <w:rsid w:val="00683849"/>
    <w:rsid w:val="0068589B"/>
    <w:rsid w:val="00687613"/>
    <w:rsid w:val="00687C41"/>
    <w:rsid w:val="006900E8"/>
    <w:rsid w:val="006908B4"/>
    <w:rsid w:val="00691004"/>
    <w:rsid w:val="00691C8E"/>
    <w:rsid w:val="00691CD5"/>
    <w:rsid w:val="00692E8C"/>
    <w:rsid w:val="00697607"/>
    <w:rsid w:val="006A0F9E"/>
    <w:rsid w:val="006A3DC8"/>
    <w:rsid w:val="006A3EE7"/>
    <w:rsid w:val="006A7CB7"/>
    <w:rsid w:val="006B35F7"/>
    <w:rsid w:val="006B3608"/>
    <w:rsid w:val="006B44B0"/>
    <w:rsid w:val="006B5B2D"/>
    <w:rsid w:val="006B6A9D"/>
    <w:rsid w:val="006B6C2B"/>
    <w:rsid w:val="006B7755"/>
    <w:rsid w:val="006C3CFE"/>
    <w:rsid w:val="006C75A8"/>
    <w:rsid w:val="006C7ABE"/>
    <w:rsid w:val="006D0B2C"/>
    <w:rsid w:val="006D4267"/>
    <w:rsid w:val="006D460B"/>
    <w:rsid w:val="006E0920"/>
    <w:rsid w:val="006E09B1"/>
    <w:rsid w:val="006E2953"/>
    <w:rsid w:val="006E3BB1"/>
    <w:rsid w:val="006E44C3"/>
    <w:rsid w:val="006E54E7"/>
    <w:rsid w:val="006E7A2A"/>
    <w:rsid w:val="006F1D1B"/>
    <w:rsid w:val="006F38F2"/>
    <w:rsid w:val="006F4190"/>
    <w:rsid w:val="006F4F1D"/>
    <w:rsid w:val="006F6D08"/>
    <w:rsid w:val="006F702A"/>
    <w:rsid w:val="007006EA"/>
    <w:rsid w:val="007007F3"/>
    <w:rsid w:val="00700C2D"/>
    <w:rsid w:val="00701F98"/>
    <w:rsid w:val="007042FD"/>
    <w:rsid w:val="00705791"/>
    <w:rsid w:val="007125EA"/>
    <w:rsid w:val="0071377B"/>
    <w:rsid w:val="00716BF3"/>
    <w:rsid w:val="007212C3"/>
    <w:rsid w:val="0072244E"/>
    <w:rsid w:val="007268EE"/>
    <w:rsid w:val="0072715F"/>
    <w:rsid w:val="00731A9C"/>
    <w:rsid w:val="00731B0B"/>
    <w:rsid w:val="0073204E"/>
    <w:rsid w:val="007322BA"/>
    <w:rsid w:val="00734271"/>
    <w:rsid w:val="00736BA5"/>
    <w:rsid w:val="00740F85"/>
    <w:rsid w:val="00743249"/>
    <w:rsid w:val="00747A9F"/>
    <w:rsid w:val="00747ABC"/>
    <w:rsid w:val="007501A0"/>
    <w:rsid w:val="007506B6"/>
    <w:rsid w:val="00755A52"/>
    <w:rsid w:val="007560B5"/>
    <w:rsid w:val="00760809"/>
    <w:rsid w:val="00760BC8"/>
    <w:rsid w:val="0076162B"/>
    <w:rsid w:val="00761F9A"/>
    <w:rsid w:val="00762DF3"/>
    <w:rsid w:val="007635E4"/>
    <w:rsid w:val="00763A02"/>
    <w:rsid w:val="00765327"/>
    <w:rsid w:val="00765508"/>
    <w:rsid w:val="007663E0"/>
    <w:rsid w:val="00767D9A"/>
    <w:rsid w:val="00772383"/>
    <w:rsid w:val="00775382"/>
    <w:rsid w:val="00776842"/>
    <w:rsid w:val="00782270"/>
    <w:rsid w:val="00791E3C"/>
    <w:rsid w:val="00792060"/>
    <w:rsid w:val="00794425"/>
    <w:rsid w:val="0079511C"/>
    <w:rsid w:val="00797D9C"/>
    <w:rsid w:val="007A2119"/>
    <w:rsid w:val="007A4501"/>
    <w:rsid w:val="007A4FA5"/>
    <w:rsid w:val="007A565D"/>
    <w:rsid w:val="007A585E"/>
    <w:rsid w:val="007A659C"/>
    <w:rsid w:val="007B1D8B"/>
    <w:rsid w:val="007B4559"/>
    <w:rsid w:val="007C08F7"/>
    <w:rsid w:val="007C35A0"/>
    <w:rsid w:val="007C4103"/>
    <w:rsid w:val="007C412E"/>
    <w:rsid w:val="007C57A3"/>
    <w:rsid w:val="007C78B1"/>
    <w:rsid w:val="007D1B80"/>
    <w:rsid w:val="007D1BD3"/>
    <w:rsid w:val="007D3B0F"/>
    <w:rsid w:val="007D4502"/>
    <w:rsid w:val="007D45A7"/>
    <w:rsid w:val="007D6549"/>
    <w:rsid w:val="007D6779"/>
    <w:rsid w:val="007E6EB9"/>
    <w:rsid w:val="007F092F"/>
    <w:rsid w:val="007F2255"/>
    <w:rsid w:val="007F2D35"/>
    <w:rsid w:val="007F2D68"/>
    <w:rsid w:val="007F4CBE"/>
    <w:rsid w:val="007F6924"/>
    <w:rsid w:val="00806AB0"/>
    <w:rsid w:val="00806E9D"/>
    <w:rsid w:val="0080754C"/>
    <w:rsid w:val="00807870"/>
    <w:rsid w:val="00810FE1"/>
    <w:rsid w:val="00813635"/>
    <w:rsid w:val="00816CFD"/>
    <w:rsid w:val="008177DF"/>
    <w:rsid w:val="00821AC2"/>
    <w:rsid w:val="00821B4B"/>
    <w:rsid w:val="00822DE4"/>
    <w:rsid w:val="0082500C"/>
    <w:rsid w:val="008259CE"/>
    <w:rsid w:val="008269F5"/>
    <w:rsid w:val="00827134"/>
    <w:rsid w:val="0082721B"/>
    <w:rsid w:val="00827364"/>
    <w:rsid w:val="0082794E"/>
    <w:rsid w:val="00827DB8"/>
    <w:rsid w:val="0083113A"/>
    <w:rsid w:val="00833C8B"/>
    <w:rsid w:val="00833F0F"/>
    <w:rsid w:val="00834892"/>
    <w:rsid w:val="00834CD3"/>
    <w:rsid w:val="00835451"/>
    <w:rsid w:val="008357AF"/>
    <w:rsid w:val="00835A63"/>
    <w:rsid w:val="00836E57"/>
    <w:rsid w:val="00837E38"/>
    <w:rsid w:val="00837EB2"/>
    <w:rsid w:val="00842E87"/>
    <w:rsid w:val="008443D2"/>
    <w:rsid w:val="00844781"/>
    <w:rsid w:val="008449A1"/>
    <w:rsid w:val="0084507C"/>
    <w:rsid w:val="00845A59"/>
    <w:rsid w:val="00845BD6"/>
    <w:rsid w:val="00846297"/>
    <w:rsid w:val="00847266"/>
    <w:rsid w:val="00847586"/>
    <w:rsid w:val="00847AAA"/>
    <w:rsid w:val="008500D6"/>
    <w:rsid w:val="0085057C"/>
    <w:rsid w:val="008517F2"/>
    <w:rsid w:val="00851BB0"/>
    <w:rsid w:val="00852292"/>
    <w:rsid w:val="00853C84"/>
    <w:rsid w:val="00854FF9"/>
    <w:rsid w:val="00856CEE"/>
    <w:rsid w:val="00857367"/>
    <w:rsid w:val="00857649"/>
    <w:rsid w:val="00857816"/>
    <w:rsid w:val="0086026B"/>
    <w:rsid w:val="008602E7"/>
    <w:rsid w:val="0086036D"/>
    <w:rsid w:val="00861616"/>
    <w:rsid w:val="00861AD4"/>
    <w:rsid w:val="00861B2C"/>
    <w:rsid w:val="008620EA"/>
    <w:rsid w:val="008626C7"/>
    <w:rsid w:val="008643FC"/>
    <w:rsid w:val="00864E77"/>
    <w:rsid w:val="008660FA"/>
    <w:rsid w:val="00870408"/>
    <w:rsid w:val="008727DB"/>
    <w:rsid w:val="008730BC"/>
    <w:rsid w:val="0087478D"/>
    <w:rsid w:val="00875D00"/>
    <w:rsid w:val="00875E51"/>
    <w:rsid w:val="00876364"/>
    <w:rsid w:val="00880416"/>
    <w:rsid w:val="00880B80"/>
    <w:rsid w:val="00880EA7"/>
    <w:rsid w:val="00883BDC"/>
    <w:rsid w:val="00883D24"/>
    <w:rsid w:val="0088407E"/>
    <w:rsid w:val="008856EE"/>
    <w:rsid w:val="00885D21"/>
    <w:rsid w:val="0088630B"/>
    <w:rsid w:val="008915F5"/>
    <w:rsid w:val="008917B1"/>
    <w:rsid w:val="00893D45"/>
    <w:rsid w:val="00895107"/>
    <w:rsid w:val="008968FC"/>
    <w:rsid w:val="008A004D"/>
    <w:rsid w:val="008A0CCD"/>
    <w:rsid w:val="008A1889"/>
    <w:rsid w:val="008A2723"/>
    <w:rsid w:val="008A2FF2"/>
    <w:rsid w:val="008A35D6"/>
    <w:rsid w:val="008A406E"/>
    <w:rsid w:val="008A4D98"/>
    <w:rsid w:val="008A57B8"/>
    <w:rsid w:val="008A6411"/>
    <w:rsid w:val="008B0356"/>
    <w:rsid w:val="008B0522"/>
    <w:rsid w:val="008B0D5C"/>
    <w:rsid w:val="008B172B"/>
    <w:rsid w:val="008B2271"/>
    <w:rsid w:val="008B25EC"/>
    <w:rsid w:val="008B2E12"/>
    <w:rsid w:val="008B5527"/>
    <w:rsid w:val="008B6F1D"/>
    <w:rsid w:val="008B70F2"/>
    <w:rsid w:val="008C05BC"/>
    <w:rsid w:val="008C20DE"/>
    <w:rsid w:val="008C3127"/>
    <w:rsid w:val="008C387A"/>
    <w:rsid w:val="008C3C3D"/>
    <w:rsid w:val="008C45C6"/>
    <w:rsid w:val="008C5F9B"/>
    <w:rsid w:val="008C6AF9"/>
    <w:rsid w:val="008C7487"/>
    <w:rsid w:val="008D0D61"/>
    <w:rsid w:val="008D284C"/>
    <w:rsid w:val="008D3354"/>
    <w:rsid w:val="008D357C"/>
    <w:rsid w:val="008D3608"/>
    <w:rsid w:val="008D436C"/>
    <w:rsid w:val="008D45A9"/>
    <w:rsid w:val="008E08D6"/>
    <w:rsid w:val="008E10CA"/>
    <w:rsid w:val="008E2AE9"/>
    <w:rsid w:val="008E3673"/>
    <w:rsid w:val="008E41AC"/>
    <w:rsid w:val="008E624C"/>
    <w:rsid w:val="008E74A3"/>
    <w:rsid w:val="008F2303"/>
    <w:rsid w:val="008F244E"/>
    <w:rsid w:val="008F31D8"/>
    <w:rsid w:val="008F3BC2"/>
    <w:rsid w:val="008F6532"/>
    <w:rsid w:val="008F70C0"/>
    <w:rsid w:val="008F7B41"/>
    <w:rsid w:val="00900228"/>
    <w:rsid w:val="00901B2A"/>
    <w:rsid w:val="00902EF5"/>
    <w:rsid w:val="00903CFB"/>
    <w:rsid w:val="00904DD5"/>
    <w:rsid w:val="00906493"/>
    <w:rsid w:val="009068F5"/>
    <w:rsid w:val="00907350"/>
    <w:rsid w:val="00907AD3"/>
    <w:rsid w:val="009100B1"/>
    <w:rsid w:val="00910E6C"/>
    <w:rsid w:val="0091174B"/>
    <w:rsid w:val="009121D5"/>
    <w:rsid w:val="00912C23"/>
    <w:rsid w:val="00912C6A"/>
    <w:rsid w:val="0091360D"/>
    <w:rsid w:val="00914382"/>
    <w:rsid w:val="009158E1"/>
    <w:rsid w:val="009169C3"/>
    <w:rsid w:val="00916FF1"/>
    <w:rsid w:val="00917FE8"/>
    <w:rsid w:val="009208D9"/>
    <w:rsid w:val="00922568"/>
    <w:rsid w:val="00922EE3"/>
    <w:rsid w:val="009261F5"/>
    <w:rsid w:val="009262B9"/>
    <w:rsid w:val="00927599"/>
    <w:rsid w:val="00934228"/>
    <w:rsid w:val="00934E9A"/>
    <w:rsid w:val="00937FC2"/>
    <w:rsid w:val="0094000C"/>
    <w:rsid w:val="00940562"/>
    <w:rsid w:val="00941DDE"/>
    <w:rsid w:val="00942125"/>
    <w:rsid w:val="009429EE"/>
    <w:rsid w:val="00942C86"/>
    <w:rsid w:val="0094379E"/>
    <w:rsid w:val="00944AF9"/>
    <w:rsid w:val="009505A3"/>
    <w:rsid w:val="009506C2"/>
    <w:rsid w:val="00950A4E"/>
    <w:rsid w:val="009530A6"/>
    <w:rsid w:val="00954219"/>
    <w:rsid w:val="009547EB"/>
    <w:rsid w:val="00954DA1"/>
    <w:rsid w:val="0095550A"/>
    <w:rsid w:val="0095668E"/>
    <w:rsid w:val="0095723C"/>
    <w:rsid w:val="009640B2"/>
    <w:rsid w:val="0096525B"/>
    <w:rsid w:val="0096652F"/>
    <w:rsid w:val="00966C5C"/>
    <w:rsid w:val="0096750A"/>
    <w:rsid w:val="0097116E"/>
    <w:rsid w:val="009734C6"/>
    <w:rsid w:val="00975768"/>
    <w:rsid w:val="00975AFD"/>
    <w:rsid w:val="00975C12"/>
    <w:rsid w:val="00976D99"/>
    <w:rsid w:val="00976F58"/>
    <w:rsid w:val="00981185"/>
    <w:rsid w:val="00984D69"/>
    <w:rsid w:val="0098558F"/>
    <w:rsid w:val="0099038C"/>
    <w:rsid w:val="0099050E"/>
    <w:rsid w:val="00992457"/>
    <w:rsid w:val="00993099"/>
    <w:rsid w:val="00996026"/>
    <w:rsid w:val="00996579"/>
    <w:rsid w:val="00996AB4"/>
    <w:rsid w:val="009A05CA"/>
    <w:rsid w:val="009A088B"/>
    <w:rsid w:val="009A1931"/>
    <w:rsid w:val="009A1A38"/>
    <w:rsid w:val="009A1A3F"/>
    <w:rsid w:val="009A302F"/>
    <w:rsid w:val="009A330E"/>
    <w:rsid w:val="009A4D9D"/>
    <w:rsid w:val="009A56DF"/>
    <w:rsid w:val="009A578C"/>
    <w:rsid w:val="009A62B9"/>
    <w:rsid w:val="009A6AA2"/>
    <w:rsid w:val="009A7D34"/>
    <w:rsid w:val="009B0817"/>
    <w:rsid w:val="009B0F9E"/>
    <w:rsid w:val="009B19F4"/>
    <w:rsid w:val="009B3DFB"/>
    <w:rsid w:val="009B5EAF"/>
    <w:rsid w:val="009B7B62"/>
    <w:rsid w:val="009B7D33"/>
    <w:rsid w:val="009C0E6D"/>
    <w:rsid w:val="009C2B70"/>
    <w:rsid w:val="009C2FFB"/>
    <w:rsid w:val="009C3C43"/>
    <w:rsid w:val="009C482E"/>
    <w:rsid w:val="009C4928"/>
    <w:rsid w:val="009C5124"/>
    <w:rsid w:val="009C6E56"/>
    <w:rsid w:val="009C726F"/>
    <w:rsid w:val="009D21E0"/>
    <w:rsid w:val="009D2E20"/>
    <w:rsid w:val="009D6221"/>
    <w:rsid w:val="009D7AC0"/>
    <w:rsid w:val="009E0506"/>
    <w:rsid w:val="009E1119"/>
    <w:rsid w:val="009E1817"/>
    <w:rsid w:val="009E2EA0"/>
    <w:rsid w:val="009E598C"/>
    <w:rsid w:val="009E6111"/>
    <w:rsid w:val="009F0F0C"/>
    <w:rsid w:val="009F1514"/>
    <w:rsid w:val="009F18BB"/>
    <w:rsid w:val="009F2068"/>
    <w:rsid w:val="009F227F"/>
    <w:rsid w:val="009F3BAB"/>
    <w:rsid w:val="009F418D"/>
    <w:rsid w:val="009F66EB"/>
    <w:rsid w:val="00A00716"/>
    <w:rsid w:val="00A01541"/>
    <w:rsid w:val="00A017D0"/>
    <w:rsid w:val="00A022FE"/>
    <w:rsid w:val="00A02D6E"/>
    <w:rsid w:val="00A0368C"/>
    <w:rsid w:val="00A03EE1"/>
    <w:rsid w:val="00A04BCA"/>
    <w:rsid w:val="00A05A71"/>
    <w:rsid w:val="00A07EA4"/>
    <w:rsid w:val="00A1029B"/>
    <w:rsid w:val="00A13455"/>
    <w:rsid w:val="00A143EF"/>
    <w:rsid w:val="00A14AE3"/>
    <w:rsid w:val="00A14FF9"/>
    <w:rsid w:val="00A16394"/>
    <w:rsid w:val="00A17CB9"/>
    <w:rsid w:val="00A229A2"/>
    <w:rsid w:val="00A22B81"/>
    <w:rsid w:val="00A25B13"/>
    <w:rsid w:val="00A26C43"/>
    <w:rsid w:val="00A27BCA"/>
    <w:rsid w:val="00A37024"/>
    <w:rsid w:val="00A376DE"/>
    <w:rsid w:val="00A40E5E"/>
    <w:rsid w:val="00A42E96"/>
    <w:rsid w:val="00A431A4"/>
    <w:rsid w:val="00A44ABE"/>
    <w:rsid w:val="00A457C9"/>
    <w:rsid w:val="00A461C0"/>
    <w:rsid w:val="00A46C94"/>
    <w:rsid w:val="00A46ED4"/>
    <w:rsid w:val="00A54B88"/>
    <w:rsid w:val="00A554D2"/>
    <w:rsid w:val="00A55738"/>
    <w:rsid w:val="00A56242"/>
    <w:rsid w:val="00A56F4D"/>
    <w:rsid w:val="00A60F56"/>
    <w:rsid w:val="00A61F81"/>
    <w:rsid w:val="00A624BF"/>
    <w:rsid w:val="00A637EE"/>
    <w:rsid w:val="00A63A9A"/>
    <w:rsid w:val="00A70744"/>
    <w:rsid w:val="00A737AE"/>
    <w:rsid w:val="00A74676"/>
    <w:rsid w:val="00A769D9"/>
    <w:rsid w:val="00A80C52"/>
    <w:rsid w:val="00A866BE"/>
    <w:rsid w:val="00A869F9"/>
    <w:rsid w:val="00A91605"/>
    <w:rsid w:val="00A948B6"/>
    <w:rsid w:val="00A948C7"/>
    <w:rsid w:val="00A96B6A"/>
    <w:rsid w:val="00A97665"/>
    <w:rsid w:val="00AA0918"/>
    <w:rsid w:val="00AA0DAC"/>
    <w:rsid w:val="00AA10F0"/>
    <w:rsid w:val="00AA21FB"/>
    <w:rsid w:val="00AA3EB7"/>
    <w:rsid w:val="00AA7A8A"/>
    <w:rsid w:val="00AB0547"/>
    <w:rsid w:val="00AB08B0"/>
    <w:rsid w:val="00AB0CFB"/>
    <w:rsid w:val="00AB23C8"/>
    <w:rsid w:val="00AB2517"/>
    <w:rsid w:val="00AB6AAE"/>
    <w:rsid w:val="00AC02E6"/>
    <w:rsid w:val="00AC0408"/>
    <w:rsid w:val="00AC053D"/>
    <w:rsid w:val="00AC258F"/>
    <w:rsid w:val="00AC4EDB"/>
    <w:rsid w:val="00AC61D1"/>
    <w:rsid w:val="00AC62CE"/>
    <w:rsid w:val="00AC7333"/>
    <w:rsid w:val="00AC7D42"/>
    <w:rsid w:val="00AD1EF1"/>
    <w:rsid w:val="00AD509F"/>
    <w:rsid w:val="00AD6035"/>
    <w:rsid w:val="00AD6782"/>
    <w:rsid w:val="00AD6D32"/>
    <w:rsid w:val="00AE0BCB"/>
    <w:rsid w:val="00AE239C"/>
    <w:rsid w:val="00AE36D8"/>
    <w:rsid w:val="00AE3C39"/>
    <w:rsid w:val="00AE471B"/>
    <w:rsid w:val="00AE55AE"/>
    <w:rsid w:val="00AE72A4"/>
    <w:rsid w:val="00AE764D"/>
    <w:rsid w:val="00AE7A84"/>
    <w:rsid w:val="00AF0785"/>
    <w:rsid w:val="00AF0926"/>
    <w:rsid w:val="00AF0DC7"/>
    <w:rsid w:val="00AF19E5"/>
    <w:rsid w:val="00AF252C"/>
    <w:rsid w:val="00AF39E8"/>
    <w:rsid w:val="00AF6D09"/>
    <w:rsid w:val="00AF7E02"/>
    <w:rsid w:val="00B057B5"/>
    <w:rsid w:val="00B10A0E"/>
    <w:rsid w:val="00B132AC"/>
    <w:rsid w:val="00B14AF1"/>
    <w:rsid w:val="00B16DE7"/>
    <w:rsid w:val="00B1740B"/>
    <w:rsid w:val="00B20320"/>
    <w:rsid w:val="00B23C43"/>
    <w:rsid w:val="00B23C50"/>
    <w:rsid w:val="00B248A3"/>
    <w:rsid w:val="00B26788"/>
    <w:rsid w:val="00B26B8E"/>
    <w:rsid w:val="00B27A2C"/>
    <w:rsid w:val="00B3386F"/>
    <w:rsid w:val="00B41744"/>
    <w:rsid w:val="00B42759"/>
    <w:rsid w:val="00B5120C"/>
    <w:rsid w:val="00B524F5"/>
    <w:rsid w:val="00B53A66"/>
    <w:rsid w:val="00B5414F"/>
    <w:rsid w:val="00B55173"/>
    <w:rsid w:val="00B55616"/>
    <w:rsid w:val="00B569A5"/>
    <w:rsid w:val="00B57B22"/>
    <w:rsid w:val="00B61426"/>
    <w:rsid w:val="00B616C8"/>
    <w:rsid w:val="00B61F5E"/>
    <w:rsid w:val="00B62E29"/>
    <w:rsid w:val="00B639D5"/>
    <w:rsid w:val="00B65088"/>
    <w:rsid w:val="00B65A5E"/>
    <w:rsid w:val="00B703C7"/>
    <w:rsid w:val="00B711E3"/>
    <w:rsid w:val="00B71783"/>
    <w:rsid w:val="00B74491"/>
    <w:rsid w:val="00B77467"/>
    <w:rsid w:val="00B80017"/>
    <w:rsid w:val="00B81E77"/>
    <w:rsid w:val="00B8242F"/>
    <w:rsid w:val="00B84860"/>
    <w:rsid w:val="00B84A46"/>
    <w:rsid w:val="00B870E3"/>
    <w:rsid w:val="00B87247"/>
    <w:rsid w:val="00B877D1"/>
    <w:rsid w:val="00B90B60"/>
    <w:rsid w:val="00B92A34"/>
    <w:rsid w:val="00B941D0"/>
    <w:rsid w:val="00B942DF"/>
    <w:rsid w:val="00B94CB7"/>
    <w:rsid w:val="00B962B7"/>
    <w:rsid w:val="00B973DF"/>
    <w:rsid w:val="00BA32E9"/>
    <w:rsid w:val="00BA53B3"/>
    <w:rsid w:val="00BA7782"/>
    <w:rsid w:val="00BB0F75"/>
    <w:rsid w:val="00BB1625"/>
    <w:rsid w:val="00BB1D26"/>
    <w:rsid w:val="00BB5ADF"/>
    <w:rsid w:val="00BC2435"/>
    <w:rsid w:val="00BC2461"/>
    <w:rsid w:val="00BC290A"/>
    <w:rsid w:val="00BC3A9B"/>
    <w:rsid w:val="00BD0820"/>
    <w:rsid w:val="00BD2FA6"/>
    <w:rsid w:val="00BD37DB"/>
    <w:rsid w:val="00BD395F"/>
    <w:rsid w:val="00BD633A"/>
    <w:rsid w:val="00BD6FAC"/>
    <w:rsid w:val="00BE088D"/>
    <w:rsid w:val="00BE0A75"/>
    <w:rsid w:val="00BE6DEE"/>
    <w:rsid w:val="00BF0D2E"/>
    <w:rsid w:val="00BF15EC"/>
    <w:rsid w:val="00BF74B5"/>
    <w:rsid w:val="00C01153"/>
    <w:rsid w:val="00C0193A"/>
    <w:rsid w:val="00C0296A"/>
    <w:rsid w:val="00C05CD6"/>
    <w:rsid w:val="00C06822"/>
    <w:rsid w:val="00C10E37"/>
    <w:rsid w:val="00C115BD"/>
    <w:rsid w:val="00C11D52"/>
    <w:rsid w:val="00C12574"/>
    <w:rsid w:val="00C126D5"/>
    <w:rsid w:val="00C1296E"/>
    <w:rsid w:val="00C13413"/>
    <w:rsid w:val="00C160A8"/>
    <w:rsid w:val="00C238CF"/>
    <w:rsid w:val="00C245DB"/>
    <w:rsid w:val="00C3060F"/>
    <w:rsid w:val="00C30947"/>
    <w:rsid w:val="00C32E58"/>
    <w:rsid w:val="00C333B0"/>
    <w:rsid w:val="00C342EC"/>
    <w:rsid w:val="00C40CF4"/>
    <w:rsid w:val="00C41C09"/>
    <w:rsid w:val="00C430A2"/>
    <w:rsid w:val="00C43628"/>
    <w:rsid w:val="00C43854"/>
    <w:rsid w:val="00C43C74"/>
    <w:rsid w:val="00C44955"/>
    <w:rsid w:val="00C450B1"/>
    <w:rsid w:val="00C453EB"/>
    <w:rsid w:val="00C466B5"/>
    <w:rsid w:val="00C504EC"/>
    <w:rsid w:val="00C50F4F"/>
    <w:rsid w:val="00C5107E"/>
    <w:rsid w:val="00C51860"/>
    <w:rsid w:val="00C51C8A"/>
    <w:rsid w:val="00C53736"/>
    <w:rsid w:val="00C53878"/>
    <w:rsid w:val="00C634AE"/>
    <w:rsid w:val="00C63F1D"/>
    <w:rsid w:val="00C70524"/>
    <w:rsid w:val="00C74B84"/>
    <w:rsid w:val="00C75649"/>
    <w:rsid w:val="00C7758E"/>
    <w:rsid w:val="00C8060A"/>
    <w:rsid w:val="00C820D0"/>
    <w:rsid w:val="00C82D3B"/>
    <w:rsid w:val="00C841B6"/>
    <w:rsid w:val="00C8758F"/>
    <w:rsid w:val="00C900F4"/>
    <w:rsid w:val="00C91110"/>
    <w:rsid w:val="00C91FF7"/>
    <w:rsid w:val="00C94B4F"/>
    <w:rsid w:val="00C9535E"/>
    <w:rsid w:val="00C9722C"/>
    <w:rsid w:val="00CA0886"/>
    <w:rsid w:val="00CA1608"/>
    <w:rsid w:val="00CA7CDA"/>
    <w:rsid w:val="00CA7FAA"/>
    <w:rsid w:val="00CB04E4"/>
    <w:rsid w:val="00CB0C79"/>
    <w:rsid w:val="00CB16B9"/>
    <w:rsid w:val="00CB3844"/>
    <w:rsid w:val="00CB3E8F"/>
    <w:rsid w:val="00CB41DB"/>
    <w:rsid w:val="00CB42F6"/>
    <w:rsid w:val="00CB437D"/>
    <w:rsid w:val="00CB74C9"/>
    <w:rsid w:val="00CC2795"/>
    <w:rsid w:val="00CC3894"/>
    <w:rsid w:val="00CC3A9C"/>
    <w:rsid w:val="00CC4A9A"/>
    <w:rsid w:val="00CC5DD5"/>
    <w:rsid w:val="00CD26D2"/>
    <w:rsid w:val="00CD4100"/>
    <w:rsid w:val="00CD490F"/>
    <w:rsid w:val="00CD4FCD"/>
    <w:rsid w:val="00CD66ED"/>
    <w:rsid w:val="00CE072B"/>
    <w:rsid w:val="00CE203F"/>
    <w:rsid w:val="00CE211B"/>
    <w:rsid w:val="00CE5141"/>
    <w:rsid w:val="00CE703E"/>
    <w:rsid w:val="00CF12AC"/>
    <w:rsid w:val="00CF1540"/>
    <w:rsid w:val="00CF1E9A"/>
    <w:rsid w:val="00CF1F74"/>
    <w:rsid w:val="00CF2474"/>
    <w:rsid w:val="00CF25AD"/>
    <w:rsid w:val="00CF35EB"/>
    <w:rsid w:val="00CF38DF"/>
    <w:rsid w:val="00CF4B8A"/>
    <w:rsid w:val="00CF71CE"/>
    <w:rsid w:val="00D016EE"/>
    <w:rsid w:val="00D01EAB"/>
    <w:rsid w:val="00D032CD"/>
    <w:rsid w:val="00D0339A"/>
    <w:rsid w:val="00D04D17"/>
    <w:rsid w:val="00D05069"/>
    <w:rsid w:val="00D05867"/>
    <w:rsid w:val="00D05A38"/>
    <w:rsid w:val="00D05B8A"/>
    <w:rsid w:val="00D074ED"/>
    <w:rsid w:val="00D077B6"/>
    <w:rsid w:val="00D0794B"/>
    <w:rsid w:val="00D10B93"/>
    <w:rsid w:val="00D14F6B"/>
    <w:rsid w:val="00D157CC"/>
    <w:rsid w:val="00D1739C"/>
    <w:rsid w:val="00D17CC1"/>
    <w:rsid w:val="00D2269F"/>
    <w:rsid w:val="00D22896"/>
    <w:rsid w:val="00D24DA2"/>
    <w:rsid w:val="00D2721B"/>
    <w:rsid w:val="00D30271"/>
    <w:rsid w:val="00D31806"/>
    <w:rsid w:val="00D32135"/>
    <w:rsid w:val="00D32CDD"/>
    <w:rsid w:val="00D3412E"/>
    <w:rsid w:val="00D353C7"/>
    <w:rsid w:val="00D35DD7"/>
    <w:rsid w:val="00D37274"/>
    <w:rsid w:val="00D37AE5"/>
    <w:rsid w:val="00D4068F"/>
    <w:rsid w:val="00D4106D"/>
    <w:rsid w:val="00D42E63"/>
    <w:rsid w:val="00D44F23"/>
    <w:rsid w:val="00D46E90"/>
    <w:rsid w:val="00D46EA9"/>
    <w:rsid w:val="00D50326"/>
    <w:rsid w:val="00D51D3C"/>
    <w:rsid w:val="00D5464E"/>
    <w:rsid w:val="00D54E5E"/>
    <w:rsid w:val="00D5569C"/>
    <w:rsid w:val="00D56934"/>
    <w:rsid w:val="00D57F6C"/>
    <w:rsid w:val="00D57FB0"/>
    <w:rsid w:val="00D602A5"/>
    <w:rsid w:val="00D60619"/>
    <w:rsid w:val="00D62226"/>
    <w:rsid w:val="00D63B51"/>
    <w:rsid w:val="00D642A9"/>
    <w:rsid w:val="00D6468C"/>
    <w:rsid w:val="00D64AD2"/>
    <w:rsid w:val="00D65CD5"/>
    <w:rsid w:val="00D672B7"/>
    <w:rsid w:val="00D70DD3"/>
    <w:rsid w:val="00D71523"/>
    <w:rsid w:val="00D720C9"/>
    <w:rsid w:val="00D72F84"/>
    <w:rsid w:val="00D74AF0"/>
    <w:rsid w:val="00D75ADD"/>
    <w:rsid w:val="00D75D1A"/>
    <w:rsid w:val="00D75FEB"/>
    <w:rsid w:val="00D7665B"/>
    <w:rsid w:val="00D76B86"/>
    <w:rsid w:val="00D76F46"/>
    <w:rsid w:val="00D77F04"/>
    <w:rsid w:val="00D817DA"/>
    <w:rsid w:val="00D81EC4"/>
    <w:rsid w:val="00D87173"/>
    <w:rsid w:val="00D87A67"/>
    <w:rsid w:val="00D908D5"/>
    <w:rsid w:val="00D9178C"/>
    <w:rsid w:val="00D91DE8"/>
    <w:rsid w:val="00D92306"/>
    <w:rsid w:val="00D9465B"/>
    <w:rsid w:val="00D95725"/>
    <w:rsid w:val="00D96533"/>
    <w:rsid w:val="00D96B9E"/>
    <w:rsid w:val="00DA072B"/>
    <w:rsid w:val="00DA0CB2"/>
    <w:rsid w:val="00DA17C8"/>
    <w:rsid w:val="00DA1EBD"/>
    <w:rsid w:val="00DA31EE"/>
    <w:rsid w:val="00DA3CAF"/>
    <w:rsid w:val="00DA40C9"/>
    <w:rsid w:val="00DA47B9"/>
    <w:rsid w:val="00DA4801"/>
    <w:rsid w:val="00DA610C"/>
    <w:rsid w:val="00DB010F"/>
    <w:rsid w:val="00DB0359"/>
    <w:rsid w:val="00DB3223"/>
    <w:rsid w:val="00DB3F84"/>
    <w:rsid w:val="00DB533D"/>
    <w:rsid w:val="00DB547E"/>
    <w:rsid w:val="00DB54BA"/>
    <w:rsid w:val="00DB620B"/>
    <w:rsid w:val="00DC1394"/>
    <w:rsid w:val="00DC21D2"/>
    <w:rsid w:val="00DC347F"/>
    <w:rsid w:val="00DC5A45"/>
    <w:rsid w:val="00DC7F59"/>
    <w:rsid w:val="00DC7FB5"/>
    <w:rsid w:val="00DD242B"/>
    <w:rsid w:val="00DD28CA"/>
    <w:rsid w:val="00DD618F"/>
    <w:rsid w:val="00DD677A"/>
    <w:rsid w:val="00DD6CB4"/>
    <w:rsid w:val="00DD7D9A"/>
    <w:rsid w:val="00DE000C"/>
    <w:rsid w:val="00DE0FAA"/>
    <w:rsid w:val="00DE17A1"/>
    <w:rsid w:val="00DE1D24"/>
    <w:rsid w:val="00DE2D0A"/>
    <w:rsid w:val="00DE748E"/>
    <w:rsid w:val="00DE75CD"/>
    <w:rsid w:val="00DF01D6"/>
    <w:rsid w:val="00DF0A95"/>
    <w:rsid w:val="00DF1D0A"/>
    <w:rsid w:val="00DF1E8B"/>
    <w:rsid w:val="00DF2291"/>
    <w:rsid w:val="00DF2477"/>
    <w:rsid w:val="00DF3F71"/>
    <w:rsid w:val="00DF6472"/>
    <w:rsid w:val="00DF7001"/>
    <w:rsid w:val="00DF7B66"/>
    <w:rsid w:val="00E01946"/>
    <w:rsid w:val="00E021C2"/>
    <w:rsid w:val="00E02F2A"/>
    <w:rsid w:val="00E04446"/>
    <w:rsid w:val="00E05284"/>
    <w:rsid w:val="00E07F14"/>
    <w:rsid w:val="00E107DF"/>
    <w:rsid w:val="00E10868"/>
    <w:rsid w:val="00E120CA"/>
    <w:rsid w:val="00E2075C"/>
    <w:rsid w:val="00E2091E"/>
    <w:rsid w:val="00E20C60"/>
    <w:rsid w:val="00E20CE5"/>
    <w:rsid w:val="00E2156F"/>
    <w:rsid w:val="00E23235"/>
    <w:rsid w:val="00E23845"/>
    <w:rsid w:val="00E2515B"/>
    <w:rsid w:val="00E2615B"/>
    <w:rsid w:val="00E2678B"/>
    <w:rsid w:val="00E30FCF"/>
    <w:rsid w:val="00E32294"/>
    <w:rsid w:val="00E32A42"/>
    <w:rsid w:val="00E33467"/>
    <w:rsid w:val="00E3566A"/>
    <w:rsid w:val="00E35E14"/>
    <w:rsid w:val="00E40EE6"/>
    <w:rsid w:val="00E4202E"/>
    <w:rsid w:val="00E42BBB"/>
    <w:rsid w:val="00E432C7"/>
    <w:rsid w:val="00E45348"/>
    <w:rsid w:val="00E46A96"/>
    <w:rsid w:val="00E46DAF"/>
    <w:rsid w:val="00E534E4"/>
    <w:rsid w:val="00E54460"/>
    <w:rsid w:val="00E54ED5"/>
    <w:rsid w:val="00E55F9B"/>
    <w:rsid w:val="00E57841"/>
    <w:rsid w:val="00E6016C"/>
    <w:rsid w:val="00E603BE"/>
    <w:rsid w:val="00E60875"/>
    <w:rsid w:val="00E60CB1"/>
    <w:rsid w:val="00E638F7"/>
    <w:rsid w:val="00E65496"/>
    <w:rsid w:val="00E66A78"/>
    <w:rsid w:val="00E67ADB"/>
    <w:rsid w:val="00E70502"/>
    <w:rsid w:val="00E71C1E"/>
    <w:rsid w:val="00E739DC"/>
    <w:rsid w:val="00E73A51"/>
    <w:rsid w:val="00E7467A"/>
    <w:rsid w:val="00E74AFA"/>
    <w:rsid w:val="00E76D36"/>
    <w:rsid w:val="00E8059E"/>
    <w:rsid w:val="00E80688"/>
    <w:rsid w:val="00E825E0"/>
    <w:rsid w:val="00E828F4"/>
    <w:rsid w:val="00E84376"/>
    <w:rsid w:val="00E85FA2"/>
    <w:rsid w:val="00E86032"/>
    <w:rsid w:val="00E87879"/>
    <w:rsid w:val="00E94D32"/>
    <w:rsid w:val="00EA0093"/>
    <w:rsid w:val="00EA7A2F"/>
    <w:rsid w:val="00EA7E2E"/>
    <w:rsid w:val="00EB0C15"/>
    <w:rsid w:val="00EB2458"/>
    <w:rsid w:val="00EB44C6"/>
    <w:rsid w:val="00EC036B"/>
    <w:rsid w:val="00EC1BC1"/>
    <w:rsid w:val="00EC5EF6"/>
    <w:rsid w:val="00EC7048"/>
    <w:rsid w:val="00EC7556"/>
    <w:rsid w:val="00ED135B"/>
    <w:rsid w:val="00EE131E"/>
    <w:rsid w:val="00EE1D6E"/>
    <w:rsid w:val="00EE5A2F"/>
    <w:rsid w:val="00EE6E75"/>
    <w:rsid w:val="00EF0BCD"/>
    <w:rsid w:val="00EF1258"/>
    <w:rsid w:val="00EF1DEE"/>
    <w:rsid w:val="00EF2414"/>
    <w:rsid w:val="00F01839"/>
    <w:rsid w:val="00F02040"/>
    <w:rsid w:val="00F0238B"/>
    <w:rsid w:val="00F04C8F"/>
    <w:rsid w:val="00F05B0C"/>
    <w:rsid w:val="00F11D0B"/>
    <w:rsid w:val="00F1286F"/>
    <w:rsid w:val="00F13087"/>
    <w:rsid w:val="00F14E6F"/>
    <w:rsid w:val="00F15F9F"/>
    <w:rsid w:val="00F1655F"/>
    <w:rsid w:val="00F16789"/>
    <w:rsid w:val="00F17F60"/>
    <w:rsid w:val="00F202B7"/>
    <w:rsid w:val="00F223C3"/>
    <w:rsid w:val="00F245B4"/>
    <w:rsid w:val="00F25D90"/>
    <w:rsid w:val="00F2626B"/>
    <w:rsid w:val="00F2666D"/>
    <w:rsid w:val="00F26E51"/>
    <w:rsid w:val="00F31A6A"/>
    <w:rsid w:val="00F3491B"/>
    <w:rsid w:val="00F34BA2"/>
    <w:rsid w:val="00F34C0A"/>
    <w:rsid w:val="00F37DC8"/>
    <w:rsid w:val="00F4160F"/>
    <w:rsid w:val="00F428E3"/>
    <w:rsid w:val="00F47E17"/>
    <w:rsid w:val="00F51EC4"/>
    <w:rsid w:val="00F53000"/>
    <w:rsid w:val="00F53223"/>
    <w:rsid w:val="00F574DC"/>
    <w:rsid w:val="00F57846"/>
    <w:rsid w:val="00F60632"/>
    <w:rsid w:val="00F61C34"/>
    <w:rsid w:val="00F61DC6"/>
    <w:rsid w:val="00F61E8C"/>
    <w:rsid w:val="00F62A4F"/>
    <w:rsid w:val="00F64313"/>
    <w:rsid w:val="00F644B0"/>
    <w:rsid w:val="00F65F28"/>
    <w:rsid w:val="00F6602C"/>
    <w:rsid w:val="00F66984"/>
    <w:rsid w:val="00F67186"/>
    <w:rsid w:val="00F6789F"/>
    <w:rsid w:val="00F67FB3"/>
    <w:rsid w:val="00F73CEB"/>
    <w:rsid w:val="00F77673"/>
    <w:rsid w:val="00F80065"/>
    <w:rsid w:val="00F803AB"/>
    <w:rsid w:val="00F8090E"/>
    <w:rsid w:val="00F81AB8"/>
    <w:rsid w:val="00F81B82"/>
    <w:rsid w:val="00F82106"/>
    <w:rsid w:val="00F826FE"/>
    <w:rsid w:val="00F84273"/>
    <w:rsid w:val="00F86BE6"/>
    <w:rsid w:val="00F87C02"/>
    <w:rsid w:val="00F902FA"/>
    <w:rsid w:val="00F90A84"/>
    <w:rsid w:val="00F92432"/>
    <w:rsid w:val="00F93CCD"/>
    <w:rsid w:val="00F93D29"/>
    <w:rsid w:val="00F9427B"/>
    <w:rsid w:val="00F950F1"/>
    <w:rsid w:val="00F9655F"/>
    <w:rsid w:val="00F976AD"/>
    <w:rsid w:val="00F9789E"/>
    <w:rsid w:val="00FA0937"/>
    <w:rsid w:val="00FA0BFF"/>
    <w:rsid w:val="00FA1A1C"/>
    <w:rsid w:val="00FA1CAA"/>
    <w:rsid w:val="00FA2A06"/>
    <w:rsid w:val="00FA3F2C"/>
    <w:rsid w:val="00FA51E4"/>
    <w:rsid w:val="00FA54A5"/>
    <w:rsid w:val="00FB0047"/>
    <w:rsid w:val="00FB01A3"/>
    <w:rsid w:val="00FB0F83"/>
    <w:rsid w:val="00FB424A"/>
    <w:rsid w:val="00FC02DE"/>
    <w:rsid w:val="00FC11F6"/>
    <w:rsid w:val="00FC1F58"/>
    <w:rsid w:val="00FC2A6D"/>
    <w:rsid w:val="00FC2BA1"/>
    <w:rsid w:val="00FC31A9"/>
    <w:rsid w:val="00FC3B1D"/>
    <w:rsid w:val="00FC702E"/>
    <w:rsid w:val="00FC7467"/>
    <w:rsid w:val="00FC76DD"/>
    <w:rsid w:val="00FD14CA"/>
    <w:rsid w:val="00FD1DD7"/>
    <w:rsid w:val="00FD2910"/>
    <w:rsid w:val="00FD741E"/>
    <w:rsid w:val="00FD7A27"/>
    <w:rsid w:val="00FE07D4"/>
    <w:rsid w:val="00FE14C5"/>
    <w:rsid w:val="00FE683E"/>
    <w:rsid w:val="00FF1025"/>
    <w:rsid w:val="00FF1204"/>
    <w:rsid w:val="00FF1355"/>
    <w:rsid w:val="00FF21D3"/>
    <w:rsid w:val="00FF226D"/>
    <w:rsid w:val="00FF26E6"/>
    <w:rsid w:val="00FF38D1"/>
    <w:rsid w:val="00FF3E08"/>
    <w:rsid w:val="00FF3EB6"/>
    <w:rsid w:val="00FF41A1"/>
    <w:rsid w:val="00FF4C9B"/>
    <w:rsid w:val="00FF5990"/>
    <w:rsid w:val="00FF631B"/>
    <w:rsid w:val="00FF6EF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character" w:customStyle="1" w:styleId="FooterChar">
    <w:name w:val="Footer Char"/>
    <w:basedOn w:val="DefaultParagraphFont"/>
    <w:link w:val="Footer"/>
    <w:uiPriority w:val="99"/>
    <w:rsid w:val="001C33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character" w:customStyle="1" w:styleId="FooterChar">
    <w:name w:val="Footer Char"/>
    <w:basedOn w:val="DefaultParagraphFont"/>
    <w:link w:val="Footer"/>
    <w:uiPriority w:val="99"/>
    <w:rsid w:val="001C33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2237">
      <w:bodyDiv w:val="1"/>
      <w:marLeft w:val="0"/>
      <w:marRight w:val="0"/>
      <w:marTop w:val="0"/>
      <w:marBottom w:val="0"/>
      <w:divBdr>
        <w:top w:val="none" w:sz="0" w:space="0" w:color="auto"/>
        <w:left w:val="none" w:sz="0" w:space="0" w:color="auto"/>
        <w:bottom w:val="none" w:sz="0" w:space="0" w:color="auto"/>
        <w:right w:val="none" w:sz="0" w:space="0" w:color="auto"/>
      </w:divBdr>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352003383">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41554571">
      <w:bodyDiv w:val="1"/>
      <w:marLeft w:val="0"/>
      <w:marRight w:val="0"/>
      <w:marTop w:val="0"/>
      <w:marBottom w:val="0"/>
      <w:divBdr>
        <w:top w:val="none" w:sz="0" w:space="0" w:color="auto"/>
        <w:left w:val="none" w:sz="0" w:space="0" w:color="auto"/>
        <w:bottom w:val="none" w:sz="0" w:space="0" w:color="auto"/>
        <w:right w:val="none" w:sz="0" w:space="0" w:color="auto"/>
      </w:divBdr>
    </w:div>
    <w:div w:id="848711428">
      <w:bodyDiv w:val="1"/>
      <w:marLeft w:val="0"/>
      <w:marRight w:val="0"/>
      <w:marTop w:val="0"/>
      <w:marBottom w:val="0"/>
      <w:divBdr>
        <w:top w:val="none" w:sz="0" w:space="0" w:color="auto"/>
        <w:left w:val="none" w:sz="0" w:space="0" w:color="auto"/>
        <w:bottom w:val="none" w:sz="0" w:space="0" w:color="auto"/>
        <w:right w:val="none" w:sz="0" w:space="0" w:color="auto"/>
      </w:divBdr>
    </w:div>
    <w:div w:id="895776009">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2000">
      <w:bodyDiv w:val="1"/>
      <w:marLeft w:val="0"/>
      <w:marRight w:val="0"/>
      <w:marTop w:val="0"/>
      <w:marBottom w:val="0"/>
      <w:divBdr>
        <w:top w:val="none" w:sz="0" w:space="0" w:color="auto"/>
        <w:left w:val="none" w:sz="0" w:space="0" w:color="auto"/>
        <w:bottom w:val="none" w:sz="0" w:space="0" w:color="auto"/>
        <w:right w:val="none" w:sz="0" w:space="0" w:color="auto"/>
      </w:divBdr>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618877944">
      <w:bodyDiv w:val="1"/>
      <w:marLeft w:val="0"/>
      <w:marRight w:val="0"/>
      <w:marTop w:val="0"/>
      <w:marBottom w:val="0"/>
      <w:divBdr>
        <w:top w:val="none" w:sz="0" w:space="0" w:color="auto"/>
        <w:left w:val="none" w:sz="0" w:space="0" w:color="auto"/>
        <w:bottom w:val="none" w:sz="0" w:space="0" w:color="auto"/>
        <w:right w:val="none" w:sz="0" w:space="0" w:color="auto"/>
      </w:divBdr>
    </w:div>
    <w:div w:id="1815486057">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20428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emf"/><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yperlink" Target="http://quickfacts.census.gov"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15FE-E1B0-4D3A-97BE-FA853FA1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8073</Words>
  <Characters>46021</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53987</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Lawrence, Rich S.</dc:creator>
  <cp:keywords/>
  <cp:lastModifiedBy>michael.morin</cp:lastModifiedBy>
  <cp:revision>2</cp:revision>
  <cp:lastPrinted>2014-04-29T12:33:00Z</cp:lastPrinted>
  <dcterms:created xsi:type="dcterms:W3CDTF">2014-05-01T10:50:00Z</dcterms:created>
  <dcterms:modified xsi:type="dcterms:W3CDTF">2014-05-01T10:50:00Z</dcterms:modified>
</cp:coreProperties>
</file>