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50" w:rsidRDefault="00801550" w:rsidP="00DE68E5">
      <w:pPr>
        <w:rPr>
          <w:b/>
          <w:szCs w:val="24"/>
        </w:rPr>
      </w:pPr>
      <w:bookmarkStart w:id="0" w:name="_GoBack"/>
      <w:bookmarkEnd w:id="0"/>
    </w:p>
    <w:p w:rsidR="00960CC0" w:rsidRPr="0096374E" w:rsidRDefault="00960CC0" w:rsidP="00DE68E5">
      <w:pPr>
        <w:rPr>
          <w:szCs w:val="24"/>
        </w:rPr>
      </w:pPr>
      <w:r w:rsidRPr="0096374E">
        <w:rPr>
          <w:b/>
          <w:szCs w:val="24"/>
        </w:rPr>
        <w:t>DATE:</w:t>
      </w:r>
      <w:r w:rsidR="00C612BF" w:rsidRPr="0096374E">
        <w:rPr>
          <w:b/>
          <w:szCs w:val="24"/>
        </w:rPr>
        <w:tab/>
      </w:r>
      <w:r w:rsidR="005820CE">
        <w:rPr>
          <w:szCs w:val="24"/>
        </w:rPr>
        <w:t>June 11</w:t>
      </w:r>
      <w:r w:rsidR="004076A4" w:rsidRPr="0096374E">
        <w:rPr>
          <w:szCs w:val="24"/>
        </w:rPr>
        <w:t>, 2014</w:t>
      </w:r>
    </w:p>
    <w:p w:rsidR="00960CC0" w:rsidRPr="0096374E" w:rsidRDefault="00960CC0" w:rsidP="00DE68E5">
      <w:pPr>
        <w:rPr>
          <w:b/>
          <w:szCs w:val="24"/>
        </w:rPr>
      </w:pPr>
    </w:p>
    <w:p w:rsidR="00960CC0" w:rsidRPr="0096374E" w:rsidRDefault="00960CC0" w:rsidP="00DE68E5">
      <w:pPr>
        <w:rPr>
          <w:szCs w:val="24"/>
        </w:rPr>
      </w:pPr>
      <w:r w:rsidRPr="0096374E">
        <w:rPr>
          <w:b/>
          <w:szCs w:val="24"/>
        </w:rPr>
        <w:t>TO:</w:t>
      </w:r>
      <w:r w:rsidRPr="0096374E">
        <w:rPr>
          <w:b/>
          <w:szCs w:val="24"/>
        </w:rPr>
        <w:tab/>
      </w:r>
      <w:r w:rsidR="00313E6E" w:rsidRPr="0096374E">
        <w:rPr>
          <w:b/>
          <w:szCs w:val="24"/>
        </w:rPr>
        <w:tab/>
      </w:r>
      <w:r w:rsidR="00DE280D" w:rsidRPr="0096374E">
        <w:rPr>
          <w:szCs w:val="24"/>
        </w:rPr>
        <w:t xml:space="preserve">Mary C. Mayhew, Commissioner, </w:t>
      </w:r>
      <w:r w:rsidR="00957803" w:rsidRPr="0096374E">
        <w:rPr>
          <w:szCs w:val="24"/>
        </w:rPr>
        <w:t>DHHS</w:t>
      </w:r>
    </w:p>
    <w:p w:rsidR="00DE280D" w:rsidRPr="0096374E" w:rsidRDefault="00DE280D" w:rsidP="00DE68E5">
      <w:pPr>
        <w:rPr>
          <w:szCs w:val="24"/>
        </w:rPr>
      </w:pPr>
    </w:p>
    <w:p w:rsidR="00DE280D" w:rsidRPr="0096374E" w:rsidRDefault="00960CC0" w:rsidP="00DE68E5">
      <w:pPr>
        <w:rPr>
          <w:szCs w:val="24"/>
        </w:rPr>
      </w:pPr>
      <w:r w:rsidRPr="0096374E">
        <w:rPr>
          <w:b/>
          <w:szCs w:val="24"/>
        </w:rPr>
        <w:t>THROUGH:</w:t>
      </w:r>
      <w:r w:rsidRPr="0096374E">
        <w:rPr>
          <w:b/>
          <w:szCs w:val="24"/>
        </w:rPr>
        <w:tab/>
      </w:r>
      <w:r w:rsidR="000C3783" w:rsidRPr="0096374E">
        <w:rPr>
          <w:szCs w:val="24"/>
        </w:rPr>
        <w:t>Kenneth Albert, R.N.</w:t>
      </w:r>
      <w:r w:rsidR="00957803" w:rsidRPr="0096374E">
        <w:rPr>
          <w:szCs w:val="24"/>
        </w:rPr>
        <w:t>,</w:t>
      </w:r>
      <w:r w:rsidR="000C3783" w:rsidRPr="0096374E">
        <w:rPr>
          <w:szCs w:val="24"/>
        </w:rPr>
        <w:t xml:space="preserve"> Esq</w:t>
      </w:r>
      <w:r w:rsidR="00957803" w:rsidRPr="0096374E">
        <w:rPr>
          <w:szCs w:val="24"/>
        </w:rPr>
        <w:t>.</w:t>
      </w:r>
      <w:r w:rsidR="000C3783" w:rsidRPr="0096374E">
        <w:rPr>
          <w:szCs w:val="24"/>
        </w:rPr>
        <w:t xml:space="preserve">, </w:t>
      </w:r>
      <w:r w:rsidR="00DE280D" w:rsidRPr="0096374E">
        <w:rPr>
          <w:szCs w:val="24"/>
        </w:rPr>
        <w:t xml:space="preserve">Director, </w:t>
      </w:r>
      <w:r w:rsidR="00957803" w:rsidRPr="0096374E">
        <w:rPr>
          <w:szCs w:val="24"/>
        </w:rPr>
        <w:t>DLRS</w:t>
      </w:r>
    </w:p>
    <w:p w:rsidR="00960CC0" w:rsidRPr="0096374E" w:rsidRDefault="00960CC0" w:rsidP="00DE68E5">
      <w:pPr>
        <w:pStyle w:val="Cover"/>
        <w:tabs>
          <w:tab w:val="clear" w:pos="720"/>
          <w:tab w:val="clear" w:pos="1440"/>
          <w:tab w:val="clear" w:pos="2160"/>
          <w:tab w:val="clear" w:pos="4464"/>
          <w:tab w:val="clear" w:pos="8496"/>
        </w:tabs>
        <w:spacing w:line="240" w:lineRule="auto"/>
        <w:ind w:left="0" w:firstLine="0"/>
        <w:rPr>
          <w:szCs w:val="24"/>
        </w:rPr>
      </w:pPr>
    </w:p>
    <w:p w:rsidR="00960CC0" w:rsidRPr="0096374E" w:rsidRDefault="00960CC0" w:rsidP="00DE68E5">
      <w:pPr>
        <w:pStyle w:val="Cover"/>
        <w:tabs>
          <w:tab w:val="clear" w:pos="720"/>
          <w:tab w:val="clear" w:pos="1440"/>
          <w:tab w:val="clear" w:pos="2160"/>
          <w:tab w:val="clear" w:pos="4464"/>
          <w:tab w:val="clear" w:pos="8496"/>
        </w:tabs>
        <w:spacing w:line="240" w:lineRule="auto"/>
        <w:ind w:left="0" w:firstLine="0"/>
        <w:rPr>
          <w:szCs w:val="24"/>
        </w:rPr>
      </w:pPr>
      <w:r w:rsidRPr="0096374E">
        <w:rPr>
          <w:b/>
          <w:szCs w:val="24"/>
        </w:rPr>
        <w:t>FROM:</w:t>
      </w:r>
      <w:r w:rsidRPr="0096374E">
        <w:rPr>
          <w:szCs w:val="24"/>
        </w:rPr>
        <w:tab/>
        <w:t xml:space="preserve">Larry </w:t>
      </w:r>
      <w:r w:rsidR="00BD2124" w:rsidRPr="0096374E">
        <w:rPr>
          <w:szCs w:val="24"/>
        </w:rPr>
        <w:t xml:space="preserve">D. </w:t>
      </w:r>
      <w:r w:rsidRPr="0096374E">
        <w:rPr>
          <w:szCs w:val="24"/>
        </w:rPr>
        <w:t xml:space="preserve">Carbonneau, </w:t>
      </w:r>
      <w:r w:rsidR="000A2C6D" w:rsidRPr="0096374E">
        <w:rPr>
          <w:szCs w:val="24"/>
        </w:rPr>
        <w:t>Manager</w:t>
      </w:r>
      <w:r w:rsidR="001A0038" w:rsidRPr="0096374E">
        <w:rPr>
          <w:szCs w:val="24"/>
        </w:rPr>
        <w:t>,</w:t>
      </w:r>
      <w:r w:rsidR="00A44A1A" w:rsidRPr="0096374E">
        <w:rPr>
          <w:szCs w:val="24"/>
        </w:rPr>
        <w:t xml:space="preserve"> </w:t>
      </w:r>
      <w:r w:rsidRPr="0096374E">
        <w:rPr>
          <w:szCs w:val="24"/>
        </w:rPr>
        <w:t xml:space="preserve">Health Care </w:t>
      </w:r>
      <w:r w:rsidR="00C75673" w:rsidRPr="0096374E">
        <w:rPr>
          <w:szCs w:val="24"/>
        </w:rPr>
        <w:t>Oversight</w:t>
      </w:r>
      <w:r w:rsidR="00957803" w:rsidRPr="0096374E">
        <w:rPr>
          <w:szCs w:val="24"/>
        </w:rPr>
        <w:t>, DLRS</w:t>
      </w:r>
    </w:p>
    <w:p w:rsidR="00D9752F" w:rsidRPr="0096374E" w:rsidRDefault="00D9752F" w:rsidP="00DE68E5">
      <w:pPr>
        <w:rPr>
          <w:szCs w:val="24"/>
        </w:rPr>
      </w:pPr>
      <w:r w:rsidRPr="0096374E">
        <w:rPr>
          <w:szCs w:val="24"/>
        </w:rPr>
        <w:tab/>
      </w:r>
      <w:r w:rsidRPr="0096374E">
        <w:rPr>
          <w:szCs w:val="24"/>
        </w:rPr>
        <w:tab/>
        <w:t>Richard S. Lawrence, Senior Health Care Financial Analyst</w:t>
      </w:r>
      <w:r w:rsidR="00452A39" w:rsidRPr="0096374E">
        <w:rPr>
          <w:szCs w:val="24"/>
        </w:rPr>
        <w:t>, DLRS</w:t>
      </w:r>
    </w:p>
    <w:p w:rsidR="00A70970" w:rsidRPr="0096374E" w:rsidRDefault="00A70970" w:rsidP="00DE68E5">
      <w:pPr>
        <w:rPr>
          <w:szCs w:val="24"/>
        </w:rPr>
      </w:pPr>
      <w:r w:rsidRPr="0096374E">
        <w:rPr>
          <w:szCs w:val="24"/>
        </w:rPr>
        <w:tab/>
      </w:r>
      <w:r w:rsidRPr="0096374E">
        <w:rPr>
          <w:szCs w:val="24"/>
        </w:rPr>
        <w:tab/>
      </w:r>
    </w:p>
    <w:p w:rsidR="00F62932" w:rsidRPr="0096374E" w:rsidRDefault="00A771AE" w:rsidP="00DE68E5">
      <w:pPr>
        <w:ind w:left="1440" w:hanging="1440"/>
        <w:rPr>
          <w:szCs w:val="24"/>
        </w:rPr>
      </w:pPr>
      <w:r w:rsidRPr="0096374E">
        <w:rPr>
          <w:b/>
          <w:szCs w:val="24"/>
        </w:rPr>
        <w:t>SUBJECT:</w:t>
      </w:r>
      <w:r w:rsidRPr="0096374E">
        <w:rPr>
          <w:szCs w:val="24"/>
        </w:rPr>
        <w:tab/>
        <w:t>Addition of 14 NF</w:t>
      </w:r>
      <w:r>
        <w:rPr>
          <w:szCs w:val="24"/>
        </w:rPr>
        <w:t>/SNF Beds</w:t>
      </w:r>
    </w:p>
    <w:p w:rsidR="00960CC0" w:rsidRPr="0096374E" w:rsidRDefault="00960CC0" w:rsidP="004466EC">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9D1BFC" w:rsidRPr="0096374E" w:rsidRDefault="009D1BFC" w:rsidP="009D1BFC">
      <w:pPr>
        <w:pStyle w:val="Intro"/>
        <w:spacing w:before="0" w:line="240" w:lineRule="auto"/>
        <w:ind w:left="0" w:firstLine="0"/>
        <w:jc w:val="both"/>
        <w:rPr>
          <w:szCs w:val="24"/>
        </w:rPr>
      </w:pPr>
    </w:p>
    <w:p w:rsidR="00960CC0" w:rsidRPr="0096374E" w:rsidRDefault="00960CC0" w:rsidP="009D1BFC">
      <w:pPr>
        <w:pStyle w:val="Intro"/>
        <w:spacing w:before="0" w:line="240" w:lineRule="auto"/>
        <w:ind w:left="0" w:firstLine="0"/>
        <w:jc w:val="both"/>
        <w:rPr>
          <w:szCs w:val="24"/>
        </w:rPr>
      </w:pPr>
      <w:r w:rsidRPr="0096374E">
        <w:rPr>
          <w:b/>
          <w:szCs w:val="24"/>
        </w:rPr>
        <w:t>ISSUE ACTIVATED BY:</w:t>
      </w:r>
      <w:r w:rsidR="005E2E11" w:rsidRPr="0096374E">
        <w:rPr>
          <w:szCs w:val="24"/>
        </w:rPr>
        <w:t xml:space="preserve"> </w:t>
      </w:r>
      <w:r w:rsidRPr="0096374E">
        <w:rPr>
          <w:szCs w:val="24"/>
        </w:rPr>
        <w:t xml:space="preserve">The referenced proposal requires Certificate of Need (CON) approval as defined in "The Maine Certificate of Need Act of 2002," 22 MRSA </w:t>
      </w:r>
      <w:r w:rsidR="00A44A1A" w:rsidRPr="0096374E">
        <w:rPr>
          <w:szCs w:val="24"/>
        </w:rPr>
        <w:t>§</w:t>
      </w:r>
      <w:r w:rsidRPr="0096374E">
        <w:rPr>
          <w:szCs w:val="24"/>
        </w:rPr>
        <w:t xml:space="preserve"> 326 et seq., as amended.</w:t>
      </w:r>
    </w:p>
    <w:p w:rsidR="009D1BFC" w:rsidRPr="0096374E" w:rsidRDefault="009D1BFC" w:rsidP="009D1BFC">
      <w:pPr>
        <w:pStyle w:val="Intro"/>
        <w:spacing w:before="0" w:line="240" w:lineRule="auto"/>
        <w:ind w:left="0" w:firstLine="0"/>
        <w:jc w:val="both"/>
        <w:rPr>
          <w:szCs w:val="24"/>
        </w:rPr>
      </w:pPr>
    </w:p>
    <w:p w:rsidR="00960CC0" w:rsidRPr="0096374E" w:rsidRDefault="00960CC0" w:rsidP="009D1BFC">
      <w:pPr>
        <w:pStyle w:val="Intro"/>
        <w:tabs>
          <w:tab w:val="left" w:pos="90"/>
        </w:tabs>
        <w:spacing w:before="0" w:line="240" w:lineRule="auto"/>
        <w:ind w:left="0" w:firstLine="0"/>
        <w:rPr>
          <w:szCs w:val="24"/>
        </w:rPr>
      </w:pPr>
      <w:r w:rsidRPr="0096374E">
        <w:rPr>
          <w:b/>
          <w:szCs w:val="24"/>
        </w:rPr>
        <w:t xml:space="preserve">REGISTERED AFFECTED PARTIES: </w:t>
      </w:r>
      <w:r w:rsidR="00BA3538" w:rsidRPr="0096374E">
        <w:rPr>
          <w:szCs w:val="24"/>
        </w:rPr>
        <w:t>No applicants</w:t>
      </w:r>
    </w:p>
    <w:p w:rsidR="009D1BFC" w:rsidRPr="0096374E" w:rsidRDefault="009D1BFC" w:rsidP="009D1BFC">
      <w:pPr>
        <w:pStyle w:val="Intro"/>
        <w:tabs>
          <w:tab w:val="left" w:pos="90"/>
        </w:tabs>
        <w:spacing w:before="0" w:line="240" w:lineRule="auto"/>
        <w:ind w:left="0" w:firstLine="0"/>
        <w:rPr>
          <w:szCs w:val="24"/>
        </w:rPr>
      </w:pPr>
    </w:p>
    <w:p w:rsidR="0020516B" w:rsidRPr="0096374E" w:rsidRDefault="00F007C4" w:rsidP="009D1BFC">
      <w:pPr>
        <w:pStyle w:val="Intro"/>
        <w:spacing w:before="0" w:line="240" w:lineRule="auto"/>
        <w:ind w:left="0" w:firstLine="0"/>
        <w:rPr>
          <w:szCs w:val="24"/>
        </w:rPr>
      </w:pPr>
      <w:r w:rsidRPr="0096374E">
        <w:rPr>
          <w:b/>
          <w:szCs w:val="24"/>
        </w:rPr>
        <w:t xml:space="preserve">I. </w:t>
      </w:r>
      <w:r w:rsidR="00960CC0" w:rsidRPr="0096374E">
        <w:rPr>
          <w:b/>
          <w:szCs w:val="24"/>
        </w:rPr>
        <w:t>BACKGROUND:</w:t>
      </w:r>
    </w:p>
    <w:p w:rsidR="00A70970" w:rsidRPr="0096374E" w:rsidRDefault="00A70970" w:rsidP="0096374E">
      <w:pPr>
        <w:pStyle w:val="Intro"/>
        <w:spacing w:before="0" w:line="240" w:lineRule="auto"/>
        <w:ind w:left="0" w:firstLine="0"/>
        <w:jc w:val="both"/>
        <w:rPr>
          <w:b/>
          <w:szCs w:val="24"/>
        </w:rPr>
      </w:pPr>
    </w:p>
    <w:p w:rsidR="00790E0B" w:rsidRPr="0096374E" w:rsidRDefault="00790E0B" w:rsidP="0096374E">
      <w:pPr>
        <w:jc w:val="both"/>
        <w:rPr>
          <w:szCs w:val="24"/>
        </w:rPr>
      </w:pPr>
      <w:r w:rsidRPr="0096374E">
        <w:rPr>
          <w:szCs w:val="24"/>
        </w:rPr>
        <w:t>RiverRidge Center is</w:t>
      </w:r>
      <w:r w:rsidR="005E5B0A">
        <w:rPr>
          <w:szCs w:val="24"/>
        </w:rPr>
        <w:t xml:space="preserve"> currently</w:t>
      </w:r>
      <w:r w:rsidRPr="0096374E">
        <w:rPr>
          <w:szCs w:val="24"/>
        </w:rPr>
        <w:t xml:space="preserve"> licensed for 48 SNF/NF beds and 16 Level IV Residential Care beds. The facility is located at 3 Brazier Lane in Kennebunk, Maine. The administrator is Rebecca Gagnon. The license was issued on February 20, 2014 and is valid from March 1, 2014 through February 28, 2015. RiverRidge has been operated by Genesis Healthcare Corporation </w:t>
      </w:r>
      <w:bookmarkStart w:id="1" w:name="_DV_C99"/>
      <w:r w:rsidR="005E5B0A">
        <w:rPr>
          <w:szCs w:val="24"/>
        </w:rPr>
        <w:t>through</w:t>
      </w:r>
      <w:r w:rsidRPr="0096374E">
        <w:rPr>
          <w:szCs w:val="24"/>
        </w:rPr>
        <w:t xml:space="preserve"> Kennebunk Operations, LLC</w:t>
      </w:r>
      <w:bookmarkStart w:id="2" w:name="_DV_M85"/>
      <w:bookmarkEnd w:id="1"/>
      <w:bookmarkEnd w:id="2"/>
      <w:r w:rsidRPr="0096374E">
        <w:rPr>
          <w:szCs w:val="24"/>
        </w:rPr>
        <w:t xml:space="preserve"> since January 1, 2007.</w:t>
      </w:r>
    </w:p>
    <w:p w:rsidR="00790E0B" w:rsidRPr="0096374E" w:rsidRDefault="00790E0B" w:rsidP="0096374E">
      <w:pPr>
        <w:autoSpaceDE w:val="0"/>
        <w:autoSpaceDN w:val="0"/>
        <w:adjustRightInd w:val="0"/>
        <w:jc w:val="both"/>
        <w:rPr>
          <w:szCs w:val="24"/>
        </w:rPr>
      </w:pPr>
    </w:p>
    <w:p w:rsidR="00790E0B" w:rsidRPr="0096374E" w:rsidRDefault="00790E0B" w:rsidP="0096374E">
      <w:pPr>
        <w:autoSpaceDE w:val="0"/>
        <w:autoSpaceDN w:val="0"/>
        <w:adjustRightInd w:val="0"/>
        <w:jc w:val="both"/>
        <w:rPr>
          <w:szCs w:val="24"/>
        </w:rPr>
      </w:pPr>
      <w:r w:rsidRPr="0096374E">
        <w:rPr>
          <w:szCs w:val="24"/>
        </w:rPr>
        <w:t xml:space="preserve">RiverRidge Center offers a continuum of care including </w:t>
      </w:r>
      <w:r w:rsidR="001B7391">
        <w:rPr>
          <w:szCs w:val="24"/>
        </w:rPr>
        <w:t>p</w:t>
      </w:r>
      <w:r w:rsidRPr="0096374E">
        <w:rPr>
          <w:szCs w:val="24"/>
        </w:rPr>
        <w:t>ost-</w:t>
      </w:r>
      <w:r w:rsidR="001B7391">
        <w:rPr>
          <w:szCs w:val="24"/>
        </w:rPr>
        <w:t>a</w:t>
      </w:r>
      <w:r w:rsidRPr="0096374E">
        <w:rPr>
          <w:szCs w:val="24"/>
        </w:rPr>
        <w:t xml:space="preserve">cute </w:t>
      </w:r>
      <w:r w:rsidR="001B7391">
        <w:rPr>
          <w:szCs w:val="24"/>
        </w:rPr>
        <w:t>b</w:t>
      </w:r>
      <w:r w:rsidRPr="0096374E">
        <w:rPr>
          <w:szCs w:val="24"/>
        </w:rPr>
        <w:t xml:space="preserve">rain </w:t>
      </w:r>
      <w:r w:rsidR="001B7391">
        <w:rPr>
          <w:szCs w:val="24"/>
        </w:rPr>
        <w:t>i</w:t>
      </w:r>
      <w:r w:rsidRPr="0096374E">
        <w:rPr>
          <w:szCs w:val="24"/>
        </w:rPr>
        <w:t xml:space="preserve">njury and </w:t>
      </w:r>
      <w:r w:rsidR="001B7391">
        <w:rPr>
          <w:szCs w:val="24"/>
        </w:rPr>
        <w:t>s</w:t>
      </w:r>
      <w:r w:rsidRPr="0096374E">
        <w:rPr>
          <w:szCs w:val="24"/>
        </w:rPr>
        <w:t xml:space="preserve">troke </w:t>
      </w:r>
      <w:r w:rsidR="001B7391">
        <w:rPr>
          <w:szCs w:val="24"/>
        </w:rPr>
        <w:t>r</w:t>
      </w:r>
      <w:r w:rsidRPr="0096374E">
        <w:rPr>
          <w:szCs w:val="24"/>
        </w:rPr>
        <w:t xml:space="preserve">ehabilitation, as well as </w:t>
      </w:r>
      <w:r w:rsidR="001B7391">
        <w:rPr>
          <w:szCs w:val="24"/>
        </w:rPr>
        <w:t>t</w:t>
      </w:r>
      <w:r w:rsidRPr="0096374E">
        <w:rPr>
          <w:szCs w:val="24"/>
        </w:rPr>
        <w:t xml:space="preserve">ransitional, </w:t>
      </w:r>
      <w:r w:rsidR="001B7391">
        <w:rPr>
          <w:szCs w:val="24"/>
        </w:rPr>
        <w:t>r</w:t>
      </w:r>
      <w:r w:rsidRPr="0096374E">
        <w:rPr>
          <w:szCs w:val="24"/>
        </w:rPr>
        <w:t xml:space="preserve">esidential and </w:t>
      </w:r>
      <w:r w:rsidR="001B7391">
        <w:rPr>
          <w:szCs w:val="24"/>
        </w:rPr>
        <w:t>o</w:t>
      </w:r>
      <w:r w:rsidRPr="0096374E">
        <w:rPr>
          <w:szCs w:val="24"/>
        </w:rPr>
        <w:t xml:space="preserve">utpatient </w:t>
      </w:r>
      <w:r w:rsidR="001B7391">
        <w:rPr>
          <w:szCs w:val="24"/>
        </w:rPr>
        <w:t>r</w:t>
      </w:r>
      <w:r w:rsidRPr="0096374E">
        <w:rPr>
          <w:szCs w:val="24"/>
        </w:rPr>
        <w:t xml:space="preserve">ehabilitation </w:t>
      </w:r>
      <w:r w:rsidR="001B7391">
        <w:rPr>
          <w:szCs w:val="24"/>
        </w:rPr>
        <w:t>s</w:t>
      </w:r>
      <w:r w:rsidRPr="0096374E">
        <w:rPr>
          <w:szCs w:val="24"/>
        </w:rPr>
        <w:t xml:space="preserve">ervices. The facility is accredited by the Commission on Accreditation of Rehabilitation Facilities (CARF) and provides comprehensive services that include </w:t>
      </w:r>
      <w:r w:rsidR="001B7391">
        <w:rPr>
          <w:szCs w:val="24"/>
        </w:rPr>
        <w:t>p</w:t>
      </w:r>
      <w:r w:rsidRPr="0096374E">
        <w:rPr>
          <w:szCs w:val="24"/>
        </w:rPr>
        <w:t xml:space="preserve">hysical, </w:t>
      </w:r>
      <w:r w:rsidR="001B7391">
        <w:rPr>
          <w:szCs w:val="24"/>
        </w:rPr>
        <w:t>s</w:t>
      </w:r>
      <w:r w:rsidRPr="0096374E">
        <w:rPr>
          <w:szCs w:val="24"/>
        </w:rPr>
        <w:t xml:space="preserve">peech, </w:t>
      </w:r>
      <w:r w:rsidR="001B7391">
        <w:rPr>
          <w:szCs w:val="24"/>
        </w:rPr>
        <w:t>o</w:t>
      </w:r>
      <w:r w:rsidRPr="0096374E">
        <w:rPr>
          <w:szCs w:val="24"/>
        </w:rPr>
        <w:t xml:space="preserve">ccupational and </w:t>
      </w:r>
      <w:r w:rsidR="001B7391">
        <w:rPr>
          <w:szCs w:val="24"/>
        </w:rPr>
        <w:t>r</w:t>
      </w:r>
      <w:r w:rsidRPr="0096374E">
        <w:rPr>
          <w:szCs w:val="24"/>
        </w:rPr>
        <w:t xml:space="preserve">ecreational </w:t>
      </w:r>
      <w:r w:rsidR="001B7391">
        <w:rPr>
          <w:szCs w:val="24"/>
        </w:rPr>
        <w:t>t</w:t>
      </w:r>
      <w:r w:rsidRPr="0096374E">
        <w:rPr>
          <w:szCs w:val="24"/>
        </w:rPr>
        <w:t xml:space="preserve">herapy, 24-hour </w:t>
      </w:r>
      <w:r w:rsidR="001B7391">
        <w:rPr>
          <w:szCs w:val="24"/>
        </w:rPr>
        <w:t>s</w:t>
      </w:r>
      <w:r w:rsidRPr="0096374E">
        <w:rPr>
          <w:szCs w:val="24"/>
        </w:rPr>
        <w:t xml:space="preserve">killed </w:t>
      </w:r>
      <w:r w:rsidR="001B7391">
        <w:rPr>
          <w:szCs w:val="24"/>
        </w:rPr>
        <w:t>n</w:t>
      </w:r>
      <w:r w:rsidRPr="0096374E">
        <w:rPr>
          <w:szCs w:val="24"/>
        </w:rPr>
        <w:t xml:space="preserve">ursing </w:t>
      </w:r>
      <w:r w:rsidR="001B7391">
        <w:rPr>
          <w:szCs w:val="24"/>
        </w:rPr>
        <w:t>c</w:t>
      </w:r>
      <w:r w:rsidRPr="0096374E">
        <w:rPr>
          <w:szCs w:val="24"/>
        </w:rPr>
        <w:t xml:space="preserve">are, </w:t>
      </w:r>
      <w:r w:rsidR="001B7391">
        <w:rPr>
          <w:szCs w:val="24"/>
        </w:rPr>
        <w:t>c</w:t>
      </w:r>
      <w:r w:rsidRPr="0096374E">
        <w:rPr>
          <w:szCs w:val="24"/>
        </w:rPr>
        <w:t xml:space="preserve">ase </w:t>
      </w:r>
      <w:r w:rsidR="001B7391">
        <w:rPr>
          <w:szCs w:val="24"/>
        </w:rPr>
        <w:t>m</w:t>
      </w:r>
      <w:r w:rsidRPr="0096374E">
        <w:rPr>
          <w:szCs w:val="24"/>
        </w:rPr>
        <w:t xml:space="preserve">anagement, </w:t>
      </w:r>
      <w:r w:rsidR="001B7391">
        <w:rPr>
          <w:szCs w:val="24"/>
        </w:rPr>
        <w:t>s</w:t>
      </w:r>
      <w:r w:rsidRPr="0096374E">
        <w:rPr>
          <w:szCs w:val="24"/>
        </w:rPr>
        <w:t xml:space="preserve">ocial </w:t>
      </w:r>
      <w:r w:rsidR="001B7391">
        <w:rPr>
          <w:szCs w:val="24"/>
        </w:rPr>
        <w:t>s</w:t>
      </w:r>
      <w:r w:rsidRPr="0096374E">
        <w:rPr>
          <w:szCs w:val="24"/>
        </w:rPr>
        <w:t xml:space="preserve">ervices and </w:t>
      </w:r>
      <w:r w:rsidR="001B7391">
        <w:rPr>
          <w:szCs w:val="24"/>
        </w:rPr>
        <w:t>c</w:t>
      </w:r>
      <w:r w:rsidRPr="0096374E">
        <w:rPr>
          <w:szCs w:val="24"/>
        </w:rPr>
        <w:t xml:space="preserve">ommunity </w:t>
      </w:r>
      <w:r w:rsidR="001B7391">
        <w:rPr>
          <w:szCs w:val="24"/>
        </w:rPr>
        <w:t>i</w:t>
      </w:r>
      <w:r w:rsidRPr="0096374E">
        <w:rPr>
          <w:szCs w:val="24"/>
        </w:rPr>
        <w:t>ntegration.</w:t>
      </w:r>
    </w:p>
    <w:p w:rsidR="00790E0B" w:rsidRPr="0096374E" w:rsidRDefault="00790E0B" w:rsidP="0096374E">
      <w:pPr>
        <w:autoSpaceDE w:val="0"/>
        <w:autoSpaceDN w:val="0"/>
        <w:adjustRightInd w:val="0"/>
        <w:jc w:val="both"/>
        <w:rPr>
          <w:szCs w:val="24"/>
        </w:rPr>
      </w:pPr>
    </w:p>
    <w:p w:rsidR="00790E0B" w:rsidRPr="0096374E" w:rsidRDefault="00790E0B" w:rsidP="0096374E">
      <w:pPr>
        <w:autoSpaceDE w:val="0"/>
        <w:autoSpaceDN w:val="0"/>
        <w:adjustRightInd w:val="0"/>
        <w:jc w:val="both"/>
        <w:rPr>
          <w:szCs w:val="24"/>
        </w:rPr>
      </w:pPr>
      <w:r w:rsidRPr="0096374E">
        <w:rPr>
          <w:szCs w:val="24"/>
        </w:rPr>
        <w:t>RiverRidge</w:t>
      </w:r>
      <w:bookmarkStart w:id="3" w:name="_DV_C18"/>
      <w:r w:rsidRPr="0096374E">
        <w:rPr>
          <w:szCs w:val="24"/>
        </w:rPr>
        <w:t>’</w:t>
      </w:r>
      <w:bookmarkStart w:id="4" w:name="_DV_M24"/>
      <w:bookmarkEnd w:id="3"/>
      <w:bookmarkEnd w:id="4"/>
      <w:r w:rsidRPr="0096374E">
        <w:rPr>
          <w:szCs w:val="24"/>
        </w:rPr>
        <w:t>s operating company</w:t>
      </w:r>
      <w:bookmarkStart w:id="5" w:name="_DV_C20"/>
      <w:r w:rsidRPr="0096374E">
        <w:rPr>
          <w:szCs w:val="24"/>
        </w:rPr>
        <w:t xml:space="preserve"> is</w:t>
      </w:r>
      <w:bookmarkStart w:id="6" w:name="_DV_M25"/>
      <w:bookmarkEnd w:id="5"/>
      <w:bookmarkEnd w:id="6"/>
      <w:r w:rsidRPr="0096374E">
        <w:rPr>
          <w:szCs w:val="24"/>
        </w:rPr>
        <w:t xml:space="preserve"> Kennebunk Operations, LLC, </w:t>
      </w:r>
      <w:bookmarkStart w:id="7" w:name="_DV_C21"/>
      <w:r w:rsidRPr="0096374E">
        <w:rPr>
          <w:szCs w:val="24"/>
        </w:rPr>
        <w:t>which is</w:t>
      </w:r>
      <w:bookmarkStart w:id="8" w:name="_DV_M27"/>
      <w:bookmarkEnd w:id="7"/>
      <w:bookmarkEnd w:id="8"/>
      <w:r w:rsidRPr="0096374E">
        <w:rPr>
          <w:szCs w:val="24"/>
        </w:rPr>
        <w:t xml:space="preserve"> a subsidiary of Genesis </w:t>
      </w:r>
      <w:bookmarkStart w:id="9" w:name="_DV_C23"/>
      <w:r w:rsidRPr="0096374E">
        <w:rPr>
          <w:szCs w:val="24"/>
        </w:rPr>
        <w:t xml:space="preserve">HealthCare </w:t>
      </w:r>
      <w:r w:rsidR="00253AE4">
        <w:rPr>
          <w:szCs w:val="24"/>
        </w:rPr>
        <w:t xml:space="preserve">of Maine, Inc. (“Genesis ME”). </w:t>
      </w:r>
      <w:r w:rsidRPr="0096374E">
        <w:rPr>
          <w:szCs w:val="24"/>
        </w:rPr>
        <w:t>On December 5, 2006, Genesis ME</w:t>
      </w:r>
      <w:bookmarkStart w:id="10" w:name="_DV_M29"/>
      <w:bookmarkEnd w:id="9"/>
      <w:bookmarkEnd w:id="10"/>
      <w:r w:rsidRPr="0096374E">
        <w:rPr>
          <w:szCs w:val="24"/>
        </w:rPr>
        <w:t xml:space="preserve"> was granted a Certificate of Need (“CON”) to lease and operate</w:t>
      </w:r>
      <w:r w:rsidR="007674E7">
        <w:rPr>
          <w:szCs w:val="24"/>
        </w:rPr>
        <w:t xml:space="preserve">, among other facilities, </w:t>
      </w:r>
      <w:proofErr w:type="spellStart"/>
      <w:r w:rsidR="007674E7">
        <w:rPr>
          <w:szCs w:val="24"/>
        </w:rPr>
        <w:t>River</w:t>
      </w:r>
      <w:r w:rsidRPr="0096374E">
        <w:rPr>
          <w:szCs w:val="24"/>
        </w:rPr>
        <w:t>Ridge</w:t>
      </w:r>
      <w:proofErr w:type="spellEnd"/>
      <w:r w:rsidRPr="0096374E">
        <w:rPr>
          <w:szCs w:val="24"/>
        </w:rPr>
        <w:t>.</w:t>
      </w:r>
    </w:p>
    <w:p w:rsidR="00790E0B" w:rsidRPr="0096374E" w:rsidRDefault="00790E0B" w:rsidP="0096374E">
      <w:pPr>
        <w:autoSpaceDE w:val="0"/>
        <w:autoSpaceDN w:val="0"/>
        <w:adjustRightInd w:val="0"/>
        <w:jc w:val="both"/>
        <w:rPr>
          <w:szCs w:val="24"/>
        </w:rPr>
      </w:pPr>
    </w:p>
    <w:p w:rsidR="00790E0B" w:rsidRPr="0096374E" w:rsidRDefault="00790E0B" w:rsidP="0096374E">
      <w:pPr>
        <w:autoSpaceDE w:val="0"/>
        <w:autoSpaceDN w:val="0"/>
        <w:adjustRightInd w:val="0"/>
        <w:jc w:val="both"/>
        <w:rPr>
          <w:szCs w:val="24"/>
        </w:rPr>
      </w:pPr>
      <w:r w:rsidRPr="0096374E">
        <w:rPr>
          <w:szCs w:val="24"/>
        </w:rPr>
        <w:t xml:space="preserve">The 16 licensed residential care beds are funded under the MaineCare Benefits Manual, Chapter 101, Chapters II and III, Section 97 </w:t>
      </w:r>
      <w:hyperlink r:id="rId9" w:history="1">
        <w:r w:rsidRPr="0096374E">
          <w:rPr>
            <w:szCs w:val="24"/>
            <w:u w:val="single"/>
          </w:rPr>
          <w:t>Appendix F:</w:t>
        </w:r>
      </w:hyperlink>
      <w:r w:rsidRPr="0096374E">
        <w:rPr>
          <w:szCs w:val="24"/>
        </w:rPr>
        <w:t xml:space="preserve"> Principles of Reimbursement for Non-Case Mixed Medical and Remedial Facilities. Residential care residents under th</w:t>
      </w:r>
      <w:r w:rsidR="00D42F7D">
        <w:rPr>
          <w:szCs w:val="24"/>
        </w:rPr>
        <w:t>is program receive specialized n</w:t>
      </w:r>
      <w:r w:rsidRPr="0096374E">
        <w:rPr>
          <w:szCs w:val="24"/>
        </w:rPr>
        <w:t xml:space="preserve">eurobehavioral treatment and </w:t>
      </w:r>
      <w:r w:rsidR="007674E7">
        <w:rPr>
          <w:szCs w:val="24"/>
        </w:rPr>
        <w:t>intensive rehabilitation.</w:t>
      </w:r>
    </w:p>
    <w:p w:rsidR="00790E0B" w:rsidRPr="00790E0B" w:rsidRDefault="00790E0B" w:rsidP="00790E0B">
      <w:pPr>
        <w:autoSpaceDE w:val="0"/>
        <w:autoSpaceDN w:val="0"/>
        <w:adjustRightInd w:val="0"/>
        <w:rPr>
          <w:sz w:val="22"/>
          <w:szCs w:val="22"/>
        </w:rPr>
        <w:sectPr w:rsidR="00790E0B" w:rsidRPr="00790E0B" w:rsidSect="00A70970">
          <w:head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960CC0" w:rsidRPr="0096374E" w:rsidRDefault="00F007C4" w:rsidP="009D1BFC">
      <w:pPr>
        <w:pStyle w:val="Intro"/>
        <w:spacing w:before="0" w:line="240" w:lineRule="auto"/>
        <w:ind w:left="0" w:firstLine="0"/>
        <w:rPr>
          <w:b/>
          <w:szCs w:val="24"/>
        </w:rPr>
      </w:pPr>
      <w:r w:rsidRPr="0096374E">
        <w:rPr>
          <w:b/>
          <w:szCs w:val="24"/>
        </w:rPr>
        <w:lastRenderedPageBreak/>
        <w:t xml:space="preserve">II. </w:t>
      </w:r>
      <w:r w:rsidR="00960CC0" w:rsidRPr="0096374E">
        <w:rPr>
          <w:b/>
          <w:szCs w:val="24"/>
        </w:rPr>
        <w:t>PROJECT DESCRIPTION:</w:t>
      </w:r>
    </w:p>
    <w:p w:rsidR="00EE47F6" w:rsidRPr="00895516" w:rsidRDefault="00EE47F6" w:rsidP="009D1BFC">
      <w:pPr>
        <w:pStyle w:val="Intro"/>
        <w:spacing w:before="0" w:line="240" w:lineRule="auto"/>
        <w:ind w:left="0" w:firstLine="0"/>
        <w:rPr>
          <w:szCs w:val="24"/>
        </w:rPr>
      </w:pPr>
    </w:p>
    <w:p w:rsidR="00790E0B" w:rsidRPr="0096374E" w:rsidRDefault="00790E0B" w:rsidP="00790E0B">
      <w:pPr>
        <w:autoSpaceDE w:val="0"/>
        <w:autoSpaceDN w:val="0"/>
        <w:adjustRightInd w:val="0"/>
        <w:jc w:val="both"/>
        <w:rPr>
          <w:szCs w:val="24"/>
        </w:rPr>
      </w:pPr>
      <w:r w:rsidRPr="0096374E">
        <w:rPr>
          <w:szCs w:val="24"/>
        </w:rPr>
        <w:t xml:space="preserve">The Maine Department of Health and Human Services has submitted a 1915C Medicaid Waiver to the Centers for Medicare and Medicaid Services (CMS) that would require </w:t>
      </w:r>
      <w:r w:rsidR="001B7391">
        <w:rPr>
          <w:szCs w:val="24"/>
        </w:rPr>
        <w:t>n</w:t>
      </w:r>
      <w:r w:rsidR="00A771AE" w:rsidRPr="0096374E">
        <w:rPr>
          <w:szCs w:val="24"/>
        </w:rPr>
        <w:t>eurobehavioral</w:t>
      </w:r>
      <w:r w:rsidRPr="0096374E">
        <w:rPr>
          <w:szCs w:val="24"/>
        </w:rPr>
        <w:t xml:space="preserve"> </w:t>
      </w:r>
      <w:r w:rsidR="001B7391">
        <w:rPr>
          <w:szCs w:val="24"/>
        </w:rPr>
        <w:t>r</w:t>
      </w:r>
      <w:r w:rsidRPr="0096374E">
        <w:rPr>
          <w:szCs w:val="24"/>
        </w:rPr>
        <w:t xml:space="preserve">esidential </w:t>
      </w:r>
      <w:r w:rsidR="001B7391">
        <w:rPr>
          <w:szCs w:val="24"/>
        </w:rPr>
        <w:t>s</w:t>
      </w:r>
      <w:r w:rsidRPr="0096374E">
        <w:rPr>
          <w:szCs w:val="24"/>
        </w:rPr>
        <w:t xml:space="preserve">upport be provided only in “home and community based” settings and not attached to a nursing care/residential care center such as RiverRidge Center. RiverRidge proposes that the 16 </w:t>
      </w:r>
      <w:r w:rsidR="001B7391">
        <w:rPr>
          <w:szCs w:val="24"/>
        </w:rPr>
        <w:t>r</w:t>
      </w:r>
      <w:r w:rsidR="00D42F7D">
        <w:rPr>
          <w:szCs w:val="24"/>
        </w:rPr>
        <w:t xml:space="preserve">esidential </w:t>
      </w:r>
      <w:r w:rsidR="001B7391">
        <w:rPr>
          <w:szCs w:val="24"/>
        </w:rPr>
        <w:t>c</w:t>
      </w:r>
      <w:r w:rsidR="00D42F7D">
        <w:rPr>
          <w:szCs w:val="24"/>
        </w:rPr>
        <w:t>are (RC)</w:t>
      </w:r>
      <w:r w:rsidRPr="0096374E">
        <w:rPr>
          <w:szCs w:val="24"/>
        </w:rPr>
        <w:t xml:space="preserve"> beds be converted to 14 </w:t>
      </w:r>
      <w:r w:rsidR="001B7391">
        <w:rPr>
          <w:szCs w:val="24"/>
        </w:rPr>
        <w:t>s</w:t>
      </w:r>
      <w:r w:rsidR="0054589B">
        <w:rPr>
          <w:szCs w:val="24"/>
        </w:rPr>
        <w:t xml:space="preserve">killed </w:t>
      </w:r>
      <w:r w:rsidR="001B7391">
        <w:rPr>
          <w:szCs w:val="24"/>
        </w:rPr>
        <w:t>n</w:t>
      </w:r>
      <w:r w:rsidR="0054589B">
        <w:rPr>
          <w:szCs w:val="24"/>
        </w:rPr>
        <w:t>ursing</w:t>
      </w:r>
      <w:r w:rsidRPr="0096374E">
        <w:rPr>
          <w:szCs w:val="24"/>
        </w:rPr>
        <w:t>/</w:t>
      </w:r>
      <w:r w:rsidR="001B7391">
        <w:rPr>
          <w:szCs w:val="24"/>
        </w:rPr>
        <w:t>n</w:t>
      </w:r>
      <w:r w:rsidR="0054589B">
        <w:rPr>
          <w:szCs w:val="24"/>
        </w:rPr>
        <w:t>ursing</w:t>
      </w:r>
      <w:r w:rsidRPr="0096374E">
        <w:rPr>
          <w:szCs w:val="24"/>
        </w:rPr>
        <w:t xml:space="preserve"> </w:t>
      </w:r>
      <w:r w:rsidR="0054589B">
        <w:rPr>
          <w:szCs w:val="24"/>
        </w:rPr>
        <w:t xml:space="preserve">(SNF/NF) </w:t>
      </w:r>
      <w:r w:rsidRPr="0096374E">
        <w:rPr>
          <w:szCs w:val="24"/>
        </w:rPr>
        <w:t xml:space="preserve">beds upon successful completion of this CON review and implementation of a </w:t>
      </w:r>
      <w:r w:rsidR="00241EF3">
        <w:rPr>
          <w:szCs w:val="24"/>
        </w:rPr>
        <w:t xml:space="preserve">transition and discharge plan. </w:t>
      </w:r>
      <w:r w:rsidR="007F066E" w:rsidRPr="0096374E">
        <w:rPr>
          <w:szCs w:val="24"/>
        </w:rPr>
        <w:t xml:space="preserve">The actual date </w:t>
      </w:r>
      <w:r w:rsidR="00B6167A">
        <w:rPr>
          <w:szCs w:val="24"/>
        </w:rPr>
        <w:t>that</w:t>
      </w:r>
      <w:r w:rsidR="007F066E" w:rsidRPr="0096374E">
        <w:rPr>
          <w:szCs w:val="24"/>
        </w:rPr>
        <w:t xml:space="preserve"> RiverRidge would commence this CON is related to when the Department rec</w:t>
      </w:r>
      <w:r w:rsidR="005E5B0A">
        <w:rPr>
          <w:szCs w:val="24"/>
        </w:rPr>
        <w:t>ei</w:t>
      </w:r>
      <w:r w:rsidR="00202217" w:rsidRPr="0096374E">
        <w:rPr>
          <w:szCs w:val="24"/>
        </w:rPr>
        <w:t>ves</w:t>
      </w:r>
      <w:r w:rsidR="007F066E" w:rsidRPr="0096374E">
        <w:rPr>
          <w:szCs w:val="24"/>
        </w:rPr>
        <w:t xml:space="preserve"> the 1915C waiver</w:t>
      </w:r>
      <w:r w:rsidR="005E5B0A">
        <w:rPr>
          <w:szCs w:val="24"/>
        </w:rPr>
        <w:t>. Rive</w:t>
      </w:r>
      <w:r w:rsidR="00ED53EC">
        <w:rPr>
          <w:szCs w:val="24"/>
        </w:rPr>
        <w:t>r</w:t>
      </w:r>
      <w:r w:rsidR="005E5B0A">
        <w:rPr>
          <w:szCs w:val="24"/>
        </w:rPr>
        <w:t>Ridge would execute</w:t>
      </w:r>
      <w:r w:rsidR="007F066E" w:rsidRPr="0096374E">
        <w:rPr>
          <w:szCs w:val="24"/>
        </w:rPr>
        <w:t xml:space="preserve"> a</w:t>
      </w:r>
      <w:r w:rsidRPr="0096374E">
        <w:rPr>
          <w:szCs w:val="24"/>
        </w:rPr>
        <w:t xml:space="preserve"> transition/discharge plan which would comply with all regulatory requirements for safe and app</w:t>
      </w:r>
      <w:r w:rsidR="005E5B0A">
        <w:rPr>
          <w:szCs w:val="24"/>
        </w:rPr>
        <w:t>ropriate discharge and transfer.</w:t>
      </w:r>
      <w:r w:rsidRPr="0096374E">
        <w:rPr>
          <w:szCs w:val="24"/>
        </w:rPr>
        <w:t xml:space="preserve"> RiverRidge’s 16 RC residents would be relocated to small</w:t>
      </w:r>
      <w:r w:rsidR="007F066E" w:rsidRPr="0096374E">
        <w:rPr>
          <w:szCs w:val="24"/>
        </w:rPr>
        <w:t>er community-based group homes</w:t>
      </w:r>
      <w:r w:rsidR="005E5B0A">
        <w:rPr>
          <w:szCs w:val="24"/>
        </w:rPr>
        <w:t xml:space="preserve"> under the </w:t>
      </w:r>
      <w:r w:rsidR="00ED53EC">
        <w:rPr>
          <w:szCs w:val="24"/>
        </w:rPr>
        <w:t>auspices</w:t>
      </w:r>
      <w:r w:rsidR="005E5B0A">
        <w:rPr>
          <w:szCs w:val="24"/>
        </w:rPr>
        <w:t xml:space="preserve"> of the office of Adult &amp; Disability Services (OADS)</w:t>
      </w:r>
      <w:r w:rsidR="007F066E" w:rsidRPr="0096374E">
        <w:rPr>
          <w:szCs w:val="24"/>
        </w:rPr>
        <w:t>.</w:t>
      </w:r>
    </w:p>
    <w:p w:rsidR="002D0F18" w:rsidRPr="00895516" w:rsidRDefault="002D0F18" w:rsidP="002D0F18">
      <w:pPr>
        <w:rPr>
          <w:rFonts w:eastAsia="Calibri"/>
          <w:szCs w:val="24"/>
        </w:rPr>
      </w:pPr>
    </w:p>
    <w:p w:rsidR="00B81951" w:rsidRPr="0096374E" w:rsidRDefault="00B81951" w:rsidP="00B81951">
      <w:pPr>
        <w:pStyle w:val="Intro"/>
        <w:spacing w:before="0" w:line="240" w:lineRule="auto"/>
        <w:ind w:left="0" w:firstLine="0"/>
        <w:rPr>
          <w:szCs w:val="24"/>
        </w:rPr>
      </w:pPr>
      <w:r w:rsidRPr="0096374E">
        <w:rPr>
          <w:b/>
          <w:szCs w:val="24"/>
        </w:rPr>
        <w:t>III. HIGHLIGHTS:</w:t>
      </w:r>
    </w:p>
    <w:p w:rsidR="00B81951" w:rsidRPr="00895516" w:rsidRDefault="00B81951" w:rsidP="00B81951">
      <w:pPr>
        <w:rPr>
          <w:szCs w:val="24"/>
        </w:rPr>
      </w:pPr>
    </w:p>
    <w:p w:rsidR="00B81951" w:rsidRPr="0096374E" w:rsidRDefault="005E2E11" w:rsidP="005820CE">
      <w:pPr>
        <w:rPr>
          <w:szCs w:val="24"/>
        </w:rPr>
      </w:pPr>
      <w:r w:rsidRPr="0096374E">
        <w:rPr>
          <w:szCs w:val="24"/>
        </w:rPr>
        <w:t>Letter of Intent dated:</w:t>
      </w:r>
      <w:r w:rsidRPr="0096374E">
        <w:rPr>
          <w:szCs w:val="24"/>
        </w:rPr>
        <w:tab/>
      </w:r>
      <w:r w:rsidRPr="0096374E">
        <w:rPr>
          <w:szCs w:val="24"/>
        </w:rPr>
        <w:tab/>
      </w:r>
      <w:r w:rsidRPr="0096374E">
        <w:rPr>
          <w:szCs w:val="24"/>
        </w:rPr>
        <w:tab/>
      </w:r>
      <w:r w:rsidR="005820CE">
        <w:rPr>
          <w:szCs w:val="24"/>
        </w:rPr>
        <w:tab/>
      </w:r>
      <w:r w:rsidR="007F066E" w:rsidRPr="0096374E">
        <w:rPr>
          <w:szCs w:val="24"/>
        </w:rPr>
        <w:t>December 13</w:t>
      </w:r>
      <w:r w:rsidR="009432E7" w:rsidRPr="0096374E">
        <w:rPr>
          <w:szCs w:val="24"/>
        </w:rPr>
        <w:t>, 2013</w:t>
      </w:r>
    </w:p>
    <w:p w:rsidR="00B81951" w:rsidRPr="0096374E" w:rsidRDefault="00B81951" w:rsidP="005820CE">
      <w:pPr>
        <w:rPr>
          <w:szCs w:val="24"/>
        </w:rPr>
      </w:pPr>
      <w:r w:rsidRPr="0096374E">
        <w:rPr>
          <w:szCs w:val="24"/>
        </w:rPr>
        <w:t>Tec</w:t>
      </w:r>
      <w:r w:rsidR="005E2E11" w:rsidRPr="0096374E">
        <w:rPr>
          <w:szCs w:val="24"/>
        </w:rPr>
        <w:t>hnical Assistance meeting held:</w:t>
      </w:r>
      <w:r w:rsidR="005E2E11" w:rsidRPr="0096374E">
        <w:rPr>
          <w:szCs w:val="24"/>
        </w:rPr>
        <w:tab/>
      </w:r>
      <w:r w:rsidR="005820CE">
        <w:rPr>
          <w:szCs w:val="24"/>
        </w:rPr>
        <w:tab/>
      </w:r>
      <w:r w:rsidR="007F066E" w:rsidRPr="0096374E">
        <w:rPr>
          <w:szCs w:val="24"/>
        </w:rPr>
        <w:t>Waived</w:t>
      </w:r>
    </w:p>
    <w:p w:rsidR="00B81951" w:rsidRPr="0096374E" w:rsidRDefault="005E2E11" w:rsidP="005820CE">
      <w:pPr>
        <w:rPr>
          <w:szCs w:val="24"/>
        </w:rPr>
      </w:pPr>
      <w:r w:rsidRPr="0096374E">
        <w:rPr>
          <w:szCs w:val="24"/>
        </w:rPr>
        <w:t>CON application filed:</w:t>
      </w:r>
      <w:r w:rsidRPr="0096374E">
        <w:rPr>
          <w:szCs w:val="24"/>
        </w:rPr>
        <w:tab/>
      </w:r>
      <w:r w:rsidRPr="0096374E">
        <w:rPr>
          <w:szCs w:val="24"/>
        </w:rPr>
        <w:tab/>
      </w:r>
      <w:r w:rsidRPr="0096374E">
        <w:rPr>
          <w:szCs w:val="24"/>
        </w:rPr>
        <w:tab/>
      </w:r>
      <w:r w:rsidR="007F066E" w:rsidRPr="0096374E">
        <w:rPr>
          <w:szCs w:val="24"/>
        </w:rPr>
        <w:t>February 19, 2014</w:t>
      </w:r>
    </w:p>
    <w:p w:rsidR="001D7499" w:rsidRPr="0096374E" w:rsidRDefault="005E2E11" w:rsidP="005820CE">
      <w:pPr>
        <w:rPr>
          <w:szCs w:val="24"/>
        </w:rPr>
      </w:pPr>
      <w:r w:rsidRPr="0096374E">
        <w:rPr>
          <w:szCs w:val="24"/>
        </w:rPr>
        <w:t>CON certified as complete:</w:t>
      </w:r>
      <w:r w:rsidRPr="0096374E">
        <w:rPr>
          <w:szCs w:val="24"/>
        </w:rPr>
        <w:tab/>
      </w:r>
      <w:r w:rsidRPr="0096374E">
        <w:rPr>
          <w:szCs w:val="24"/>
        </w:rPr>
        <w:tab/>
      </w:r>
      <w:r w:rsidR="005820CE">
        <w:rPr>
          <w:szCs w:val="24"/>
        </w:rPr>
        <w:tab/>
      </w:r>
      <w:r w:rsidR="007F066E" w:rsidRPr="0096374E">
        <w:rPr>
          <w:szCs w:val="24"/>
        </w:rPr>
        <w:t>February 19, 2014</w:t>
      </w:r>
    </w:p>
    <w:p w:rsidR="001D7499" w:rsidRPr="0096374E" w:rsidRDefault="005E2E11" w:rsidP="005820CE">
      <w:pPr>
        <w:rPr>
          <w:szCs w:val="24"/>
        </w:rPr>
      </w:pPr>
      <w:r w:rsidRPr="0096374E">
        <w:rPr>
          <w:szCs w:val="24"/>
        </w:rPr>
        <w:t>Public Hearing held:</w:t>
      </w:r>
      <w:r w:rsidRPr="0096374E">
        <w:rPr>
          <w:szCs w:val="24"/>
        </w:rPr>
        <w:tab/>
      </w:r>
      <w:r w:rsidRPr="0096374E">
        <w:rPr>
          <w:szCs w:val="24"/>
        </w:rPr>
        <w:tab/>
      </w:r>
      <w:r w:rsidRPr="0096374E">
        <w:rPr>
          <w:szCs w:val="24"/>
        </w:rPr>
        <w:tab/>
      </w:r>
      <w:r w:rsidR="005820CE">
        <w:rPr>
          <w:szCs w:val="24"/>
        </w:rPr>
        <w:tab/>
      </w:r>
      <w:r w:rsidR="007F066E" w:rsidRPr="0096374E">
        <w:rPr>
          <w:szCs w:val="24"/>
        </w:rPr>
        <w:t>March</w:t>
      </w:r>
      <w:r w:rsidR="009432E7" w:rsidRPr="0096374E">
        <w:rPr>
          <w:szCs w:val="24"/>
        </w:rPr>
        <w:t xml:space="preserve"> 1</w:t>
      </w:r>
      <w:r w:rsidR="007F066E" w:rsidRPr="0096374E">
        <w:rPr>
          <w:szCs w:val="24"/>
        </w:rPr>
        <w:t>9</w:t>
      </w:r>
      <w:r w:rsidR="009432E7" w:rsidRPr="0096374E">
        <w:rPr>
          <w:szCs w:val="24"/>
        </w:rPr>
        <w:t>, 2014</w:t>
      </w:r>
    </w:p>
    <w:p w:rsidR="00AC2985" w:rsidRPr="0096374E" w:rsidRDefault="005E2E11" w:rsidP="005820CE">
      <w:pPr>
        <w:rPr>
          <w:szCs w:val="24"/>
        </w:rPr>
      </w:pPr>
      <w:r w:rsidRPr="0096374E">
        <w:rPr>
          <w:szCs w:val="24"/>
        </w:rPr>
        <w:t>Comment Period Ended:</w:t>
      </w:r>
      <w:r w:rsidRPr="0096374E">
        <w:rPr>
          <w:szCs w:val="24"/>
        </w:rPr>
        <w:tab/>
      </w:r>
      <w:r w:rsidRPr="0096374E">
        <w:rPr>
          <w:szCs w:val="24"/>
        </w:rPr>
        <w:tab/>
      </w:r>
      <w:r w:rsidRPr="0096374E">
        <w:rPr>
          <w:szCs w:val="24"/>
        </w:rPr>
        <w:tab/>
      </w:r>
      <w:r w:rsidR="007F066E" w:rsidRPr="0096374E">
        <w:rPr>
          <w:szCs w:val="24"/>
        </w:rPr>
        <w:t>April 18,</w:t>
      </w:r>
      <w:r w:rsidR="009432E7" w:rsidRPr="0096374E">
        <w:rPr>
          <w:szCs w:val="24"/>
        </w:rPr>
        <w:t xml:space="preserve"> 2014</w:t>
      </w:r>
    </w:p>
    <w:p w:rsidR="00960CC0" w:rsidRPr="0096374E" w:rsidRDefault="00960CC0" w:rsidP="005820CE">
      <w:pPr>
        <w:rPr>
          <w:szCs w:val="24"/>
        </w:rPr>
      </w:pPr>
      <w:r w:rsidRPr="0096374E">
        <w:rPr>
          <w:szCs w:val="24"/>
        </w:rPr>
        <w:t>Prel</w:t>
      </w:r>
      <w:r w:rsidR="00050092" w:rsidRPr="0096374E">
        <w:rPr>
          <w:szCs w:val="24"/>
        </w:rPr>
        <w:t>imina</w:t>
      </w:r>
      <w:r w:rsidR="000A2C6D" w:rsidRPr="0096374E">
        <w:rPr>
          <w:szCs w:val="24"/>
        </w:rPr>
        <w:t>ry A</w:t>
      </w:r>
      <w:r w:rsidR="00E06F70" w:rsidRPr="0096374E">
        <w:rPr>
          <w:szCs w:val="24"/>
        </w:rPr>
        <w:t>nalysis released</w:t>
      </w:r>
      <w:r w:rsidR="005E2E11" w:rsidRPr="0096374E">
        <w:rPr>
          <w:szCs w:val="24"/>
        </w:rPr>
        <w:t>:</w:t>
      </w:r>
      <w:r w:rsidR="005E2E11" w:rsidRPr="0096374E">
        <w:rPr>
          <w:szCs w:val="24"/>
        </w:rPr>
        <w:tab/>
      </w:r>
      <w:r w:rsidR="005E2E11" w:rsidRPr="0096374E">
        <w:rPr>
          <w:szCs w:val="24"/>
        </w:rPr>
        <w:tab/>
      </w:r>
      <w:r w:rsidR="007F066E" w:rsidRPr="0096374E">
        <w:rPr>
          <w:szCs w:val="24"/>
        </w:rPr>
        <w:t>May</w:t>
      </w:r>
      <w:r w:rsidR="00C47E86" w:rsidRPr="0096374E">
        <w:rPr>
          <w:szCs w:val="24"/>
        </w:rPr>
        <w:t xml:space="preserve"> </w:t>
      </w:r>
      <w:r w:rsidR="007F066E" w:rsidRPr="0096374E">
        <w:rPr>
          <w:szCs w:val="24"/>
        </w:rPr>
        <w:t>1</w:t>
      </w:r>
      <w:r w:rsidR="00C47E86" w:rsidRPr="0096374E">
        <w:rPr>
          <w:szCs w:val="24"/>
        </w:rPr>
        <w:t>, 2014</w:t>
      </w:r>
    </w:p>
    <w:p w:rsidR="008F1A53" w:rsidRPr="0096374E" w:rsidRDefault="008B3F91" w:rsidP="005820CE">
      <w:pPr>
        <w:rPr>
          <w:szCs w:val="24"/>
        </w:rPr>
      </w:pPr>
      <w:r w:rsidRPr="0096374E">
        <w:rPr>
          <w:szCs w:val="24"/>
        </w:rPr>
        <w:t>Record Closed</w:t>
      </w:r>
      <w:r w:rsidR="005E2E11" w:rsidRPr="0096374E">
        <w:rPr>
          <w:szCs w:val="24"/>
        </w:rPr>
        <w:t>:</w:t>
      </w:r>
      <w:r w:rsidR="005E2E11" w:rsidRPr="0096374E">
        <w:rPr>
          <w:szCs w:val="24"/>
        </w:rPr>
        <w:tab/>
      </w:r>
      <w:r w:rsidR="005E2E11" w:rsidRPr="0096374E">
        <w:rPr>
          <w:szCs w:val="24"/>
        </w:rPr>
        <w:tab/>
      </w:r>
      <w:r w:rsidR="005E2E11" w:rsidRPr="0096374E">
        <w:rPr>
          <w:szCs w:val="24"/>
        </w:rPr>
        <w:tab/>
      </w:r>
      <w:r w:rsidR="005E2E11" w:rsidRPr="0096374E">
        <w:rPr>
          <w:szCs w:val="24"/>
        </w:rPr>
        <w:tab/>
      </w:r>
      <w:r w:rsidR="007F066E" w:rsidRPr="0096374E">
        <w:rPr>
          <w:szCs w:val="24"/>
        </w:rPr>
        <w:t>May 22</w:t>
      </w:r>
      <w:r w:rsidR="009432E7" w:rsidRPr="0096374E">
        <w:rPr>
          <w:szCs w:val="24"/>
        </w:rPr>
        <w:t>, 2014</w:t>
      </w:r>
    </w:p>
    <w:p w:rsidR="00DE16F6" w:rsidRPr="00895516" w:rsidRDefault="00DE16F6" w:rsidP="004466EC">
      <w:pPr>
        <w:ind w:left="360"/>
        <w:rPr>
          <w:szCs w:val="24"/>
        </w:rPr>
      </w:pPr>
    </w:p>
    <w:p w:rsidR="00960CC0" w:rsidRPr="0096374E" w:rsidRDefault="00F007C4" w:rsidP="00065CDD">
      <w:pPr>
        <w:pStyle w:val="Intro"/>
        <w:spacing w:before="0" w:line="240" w:lineRule="auto"/>
        <w:ind w:left="450" w:hanging="450"/>
        <w:rPr>
          <w:b/>
          <w:szCs w:val="24"/>
        </w:rPr>
      </w:pPr>
      <w:r w:rsidRPr="0096374E">
        <w:rPr>
          <w:b/>
          <w:szCs w:val="24"/>
        </w:rPr>
        <w:t xml:space="preserve">IV. </w:t>
      </w:r>
      <w:r w:rsidR="00960CC0" w:rsidRPr="0096374E">
        <w:rPr>
          <w:b/>
          <w:szCs w:val="24"/>
        </w:rPr>
        <w:t>PUBLIC COMMENTS RECEIVED IN RESPONSE TO THE PRELIMINARY</w:t>
      </w:r>
      <w:r w:rsidR="00065CDD" w:rsidRPr="0096374E">
        <w:rPr>
          <w:b/>
          <w:szCs w:val="24"/>
        </w:rPr>
        <w:t xml:space="preserve"> </w:t>
      </w:r>
      <w:r w:rsidR="00960CC0" w:rsidRPr="0096374E">
        <w:rPr>
          <w:b/>
          <w:szCs w:val="24"/>
        </w:rPr>
        <w:t>ANALYSIS:</w:t>
      </w:r>
    </w:p>
    <w:p w:rsidR="00960CC0" w:rsidRPr="00895516" w:rsidRDefault="00960CC0" w:rsidP="004466EC">
      <w:pPr>
        <w:rPr>
          <w:szCs w:val="24"/>
        </w:rPr>
      </w:pPr>
    </w:p>
    <w:p w:rsidR="00960CC0" w:rsidRDefault="00960CC0" w:rsidP="00253AE4">
      <w:pPr>
        <w:jc w:val="both"/>
      </w:pPr>
      <w:r w:rsidRPr="0096374E">
        <w:rPr>
          <w:szCs w:val="24"/>
        </w:rPr>
        <w:t>Following release of the Preliminary Analysis, n</w:t>
      </w:r>
      <w:r w:rsidR="00050092" w:rsidRPr="0096374E">
        <w:rPr>
          <w:szCs w:val="24"/>
        </w:rPr>
        <w:t>o</w:t>
      </w:r>
      <w:r w:rsidRPr="0096374E">
        <w:rPr>
          <w:szCs w:val="24"/>
        </w:rPr>
        <w:t xml:space="preserve"> public comments were </w:t>
      </w:r>
      <w:r w:rsidR="00A771AE" w:rsidRPr="0096374E">
        <w:rPr>
          <w:szCs w:val="24"/>
        </w:rPr>
        <w:t>received;</w:t>
      </w:r>
      <w:r w:rsidR="007F066E" w:rsidRPr="0096374E">
        <w:rPr>
          <w:szCs w:val="24"/>
        </w:rPr>
        <w:t xml:space="preserve"> there were some public comments at the public hearing.</w:t>
      </w:r>
      <w:r w:rsidR="007466B5" w:rsidRPr="007466B5">
        <w:t xml:space="preserve"> </w:t>
      </w:r>
      <w:r w:rsidR="007466B5">
        <w:t>A</w:t>
      </w:r>
      <w:r w:rsidR="007674E7">
        <w:t xml:space="preserve"> public hearing regarding </w:t>
      </w:r>
      <w:proofErr w:type="spellStart"/>
      <w:r w:rsidR="007674E7">
        <w:t>River</w:t>
      </w:r>
      <w:r w:rsidR="007466B5">
        <w:t>Ridge’s</w:t>
      </w:r>
      <w:proofErr w:type="spellEnd"/>
      <w:r w:rsidR="007466B5">
        <w:t xml:space="preserve"> proposal to convert 16 Appendix F PNMI beds to 14 SNF/NF beds was conducted on March 19, 2014 at 1:00 p.m. As stated above</w:t>
      </w:r>
      <w:r w:rsidR="001B7391">
        <w:t>,</w:t>
      </w:r>
      <w:r w:rsidR="007466B5">
        <w:t xml:space="preserve"> this proposal would involve relocating the 16 residents currently l</w:t>
      </w:r>
      <w:r w:rsidR="007674E7">
        <w:t xml:space="preserve">iving in the Saco wing of </w:t>
      </w:r>
      <w:proofErr w:type="spellStart"/>
      <w:r w:rsidR="007674E7">
        <w:t>River</w:t>
      </w:r>
      <w:r w:rsidR="007466B5">
        <w:t>Ridge</w:t>
      </w:r>
      <w:proofErr w:type="spellEnd"/>
      <w:r w:rsidR="007466B5">
        <w:t xml:space="preserve"> to a community based setting. This relocation would occur upon approval of the State of Maine’s 1915C Medicaid Waiver application. Comments were received from a diverse group of individuals including a State Senator, </w:t>
      </w:r>
      <w:r w:rsidR="001B7391">
        <w:t>c</w:t>
      </w:r>
      <w:r w:rsidR="007466B5">
        <w:t>onsult</w:t>
      </w:r>
      <w:r w:rsidR="007674E7">
        <w:t xml:space="preserve">ants and former owners of </w:t>
      </w:r>
      <w:proofErr w:type="spellStart"/>
      <w:r w:rsidR="007674E7">
        <w:t>River</w:t>
      </w:r>
      <w:r w:rsidR="007466B5">
        <w:t>Ridge</w:t>
      </w:r>
      <w:proofErr w:type="spellEnd"/>
      <w:r w:rsidR="007466B5">
        <w:t xml:space="preserve"> and family members of cur</w:t>
      </w:r>
      <w:r w:rsidR="007674E7">
        <w:t xml:space="preserve">rent residents of </w:t>
      </w:r>
      <w:proofErr w:type="spellStart"/>
      <w:r w:rsidR="007674E7">
        <w:t>River</w:t>
      </w:r>
      <w:r w:rsidR="00253AE4">
        <w:t>Ridge</w:t>
      </w:r>
      <w:proofErr w:type="spellEnd"/>
      <w:r w:rsidR="00253AE4">
        <w:t xml:space="preserve">. </w:t>
      </w:r>
      <w:r w:rsidR="007674E7">
        <w:t>The well</w:t>
      </w:r>
      <w:r w:rsidR="007466B5">
        <w:t>being of the current residents is of paramount importance to all commenters. Commenters emphasized that many of t</w:t>
      </w:r>
      <w:r w:rsidR="007674E7">
        <w:t xml:space="preserve">he residents have been at </w:t>
      </w:r>
      <w:proofErr w:type="spellStart"/>
      <w:r w:rsidR="007674E7">
        <w:t>River</w:t>
      </w:r>
      <w:r w:rsidR="007466B5">
        <w:t>Ridge</w:t>
      </w:r>
      <w:proofErr w:type="spellEnd"/>
      <w:r w:rsidR="007466B5">
        <w:t xml:space="preserve"> for many years</w:t>
      </w:r>
      <w:r w:rsidR="001B7391">
        <w:t>,</w:t>
      </w:r>
      <w:r w:rsidR="007466B5">
        <w:t xml:space="preserve"> consider the facility their home and do not want to relocate. Many therapeutic services are provided on-site that are tailored to meet the residents’ needs. There is a concern that these services will not be available in a smaller community based setting. Suggestions were made that the State of Maine and Genesis work closely with the Federal government and make the current facility compliant with home and community based requirements so that residents would not have to move. Concerns were also raised about the cost and sust</w:t>
      </w:r>
      <w:r w:rsidR="00253AE4">
        <w:t>ainability of this new program.</w:t>
      </w:r>
      <w:r w:rsidR="007466B5">
        <w:t xml:space="preserve"> The community based program may not serve all</w:t>
      </w:r>
      <w:r w:rsidR="007674E7">
        <w:t xml:space="preserve"> the current residents of </w:t>
      </w:r>
      <w:proofErr w:type="spellStart"/>
      <w:r w:rsidR="007674E7">
        <w:t>River</w:t>
      </w:r>
      <w:r w:rsidR="007466B5">
        <w:t>Ridge</w:t>
      </w:r>
      <w:proofErr w:type="spellEnd"/>
      <w:r w:rsidR="007466B5">
        <w:t xml:space="preserve"> which could result in the resident</w:t>
      </w:r>
      <w:r w:rsidR="001B7391">
        <w:t>s</w:t>
      </w:r>
      <w:r w:rsidR="007466B5">
        <w:t xml:space="preserve"> having to receive nursing home care at a higher cost. A full transcript of the public hearing is available in the record.</w:t>
      </w:r>
    </w:p>
    <w:p w:rsidR="00895516" w:rsidRDefault="00895516" w:rsidP="00065CDD">
      <w:pPr>
        <w:tabs>
          <w:tab w:val="left" w:pos="90"/>
          <w:tab w:val="left" w:pos="180"/>
        </w:tabs>
        <w:rPr>
          <w:b/>
          <w:szCs w:val="24"/>
        </w:rPr>
        <w:sectPr w:rsidR="00895516" w:rsidSect="00A70970">
          <w:headerReference w:type="default" r:id="rId13"/>
          <w:footerReference w:type="default" r:id="rId14"/>
          <w:headerReference w:type="first" r:id="rId15"/>
          <w:footerReference w:type="first" r:id="rId16"/>
          <w:footnotePr>
            <w:numRestart w:val="eachSect"/>
          </w:footnotePr>
          <w:pgSz w:w="12240" w:h="15840" w:code="1"/>
          <w:pgMar w:top="900" w:right="1440" w:bottom="720" w:left="1440" w:header="720" w:footer="720" w:gutter="0"/>
          <w:pgNumType w:start="2"/>
          <w:cols w:space="720"/>
          <w:titlePg/>
          <w:docGrid w:linePitch="326"/>
        </w:sectPr>
      </w:pPr>
    </w:p>
    <w:p w:rsidR="00E2087D" w:rsidRPr="0096374E" w:rsidRDefault="00F007C4" w:rsidP="00065CDD">
      <w:pPr>
        <w:tabs>
          <w:tab w:val="left" w:pos="90"/>
          <w:tab w:val="left" w:pos="180"/>
        </w:tabs>
        <w:rPr>
          <w:b/>
          <w:szCs w:val="24"/>
        </w:rPr>
      </w:pPr>
      <w:r w:rsidRPr="0096374E">
        <w:rPr>
          <w:b/>
          <w:szCs w:val="24"/>
        </w:rPr>
        <w:lastRenderedPageBreak/>
        <w:t xml:space="preserve">V. </w:t>
      </w:r>
      <w:r w:rsidR="00960CC0" w:rsidRPr="0096374E">
        <w:rPr>
          <w:b/>
          <w:szCs w:val="24"/>
        </w:rPr>
        <w:t>CONU ANALYSIS/</w:t>
      </w:r>
      <w:r w:rsidR="00C5355C" w:rsidRPr="0096374E">
        <w:rPr>
          <w:b/>
          <w:szCs w:val="24"/>
        </w:rPr>
        <w:t xml:space="preserve">APPLICANTS </w:t>
      </w:r>
      <w:r w:rsidR="00960CC0" w:rsidRPr="0096374E">
        <w:rPr>
          <w:b/>
          <w:szCs w:val="24"/>
        </w:rPr>
        <w:t>COMMENTS:</w:t>
      </w:r>
    </w:p>
    <w:p w:rsidR="008B3F91" w:rsidRPr="0096374E" w:rsidRDefault="008B3F91" w:rsidP="00065CDD">
      <w:pPr>
        <w:tabs>
          <w:tab w:val="left" w:pos="180"/>
        </w:tabs>
        <w:rPr>
          <w:sz w:val="16"/>
          <w:szCs w:val="16"/>
        </w:rPr>
      </w:pPr>
    </w:p>
    <w:p w:rsidR="00886E9A" w:rsidRPr="0096374E" w:rsidRDefault="00886E9A" w:rsidP="0037147A">
      <w:pPr>
        <w:numPr>
          <w:ilvl w:val="0"/>
          <w:numId w:val="1"/>
        </w:numPr>
        <w:ind w:hanging="360"/>
        <w:rPr>
          <w:b/>
          <w:szCs w:val="24"/>
        </w:rPr>
      </w:pPr>
      <w:r w:rsidRPr="0096374E">
        <w:rPr>
          <w:b/>
          <w:szCs w:val="24"/>
        </w:rPr>
        <w:t>Fit, Willing and Able:</w:t>
      </w:r>
    </w:p>
    <w:p w:rsidR="007F066E" w:rsidRPr="0096374E" w:rsidRDefault="007F066E" w:rsidP="009432E7">
      <w:pPr>
        <w:jc w:val="both"/>
        <w:rPr>
          <w:sz w:val="16"/>
          <w:szCs w:val="16"/>
        </w:rPr>
      </w:pPr>
    </w:p>
    <w:p w:rsidR="007F066E" w:rsidRDefault="007F066E" w:rsidP="007F066E">
      <w:pPr>
        <w:jc w:val="both"/>
        <w:rPr>
          <w:szCs w:val="24"/>
        </w:rPr>
      </w:pPr>
      <w:r w:rsidRPr="0096374E">
        <w:rPr>
          <w:szCs w:val="24"/>
        </w:rPr>
        <w:t>RiverRidge Center is licensed for 48 SNF/NF beds and 16 Level IV RC beds. The license was issued on February 20, 2014 and is valid from March 1, 2014 through February 28, 2015.</w:t>
      </w:r>
    </w:p>
    <w:p w:rsidR="0096374E" w:rsidRPr="0096374E" w:rsidRDefault="0096374E" w:rsidP="007F066E">
      <w:pPr>
        <w:jc w:val="both"/>
        <w:rPr>
          <w:sz w:val="16"/>
          <w:szCs w:val="16"/>
        </w:rPr>
      </w:pPr>
    </w:p>
    <w:p w:rsidR="007F066E" w:rsidRPr="0096374E" w:rsidRDefault="007F066E" w:rsidP="007F066E">
      <w:pPr>
        <w:jc w:val="both"/>
        <w:rPr>
          <w:szCs w:val="24"/>
        </w:rPr>
      </w:pPr>
      <w:r w:rsidRPr="0096374E">
        <w:rPr>
          <w:szCs w:val="24"/>
        </w:rPr>
        <w:t>A review of RiverRidge Center’s last completed survey data available from Medicare.gov website revealed the following ratings:</w:t>
      </w:r>
    </w:p>
    <w:p w:rsidR="007F066E" w:rsidRPr="0096374E" w:rsidRDefault="007F066E" w:rsidP="007F066E">
      <w:pPr>
        <w:jc w:val="both"/>
        <w:rPr>
          <w:sz w:val="16"/>
          <w:szCs w:val="16"/>
        </w:rPr>
      </w:pPr>
    </w:p>
    <w:tbl>
      <w:tblPr>
        <w:tblStyle w:val="TableGrid"/>
        <w:tblW w:w="0" w:type="auto"/>
        <w:tblInd w:w="738" w:type="dxa"/>
        <w:tblLook w:val="04A0" w:firstRow="1" w:lastRow="0" w:firstColumn="1" w:lastColumn="0" w:noHBand="0" w:noVBand="1"/>
      </w:tblPr>
      <w:tblGrid>
        <w:gridCol w:w="4050"/>
        <w:gridCol w:w="3510"/>
      </w:tblGrid>
      <w:tr w:rsidR="007F066E" w:rsidRPr="0096374E" w:rsidTr="007674E7">
        <w:tc>
          <w:tcPr>
            <w:tcW w:w="7560" w:type="dxa"/>
            <w:gridSpan w:val="2"/>
          </w:tcPr>
          <w:p w:rsidR="007F066E" w:rsidRPr="0096374E" w:rsidRDefault="007F066E" w:rsidP="00983F4F">
            <w:pPr>
              <w:jc w:val="center"/>
              <w:rPr>
                <w:b/>
                <w:szCs w:val="24"/>
              </w:rPr>
            </w:pPr>
            <w:r w:rsidRPr="0096374E">
              <w:rPr>
                <w:b/>
                <w:szCs w:val="24"/>
              </w:rPr>
              <w:t>RiverRidge Center</w:t>
            </w:r>
          </w:p>
        </w:tc>
      </w:tr>
      <w:tr w:rsidR="007F066E" w:rsidRPr="0096374E" w:rsidTr="007674E7">
        <w:tc>
          <w:tcPr>
            <w:tcW w:w="7560" w:type="dxa"/>
            <w:gridSpan w:val="2"/>
          </w:tcPr>
          <w:p w:rsidR="007F066E" w:rsidRPr="0096374E" w:rsidRDefault="007F066E" w:rsidP="00983F4F">
            <w:pPr>
              <w:jc w:val="center"/>
              <w:rPr>
                <w:b/>
                <w:szCs w:val="24"/>
              </w:rPr>
            </w:pPr>
            <w:r w:rsidRPr="0096374E">
              <w:rPr>
                <w:b/>
                <w:szCs w:val="24"/>
              </w:rPr>
              <w:t>Nursing Home Compare Ratings</w:t>
            </w:r>
          </w:p>
        </w:tc>
      </w:tr>
      <w:tr w:rsidR="007F066E" w:rsidRPr="0096374E" w:rsidTr="007674E7">
        <w:tc>
          <w:tcPr>
            <w:tcW w:w="4050" w:type="dxa"/>
          </w:tcPr>
          <w:p w:rsidR="007F066E" w:rsidRPr="0096374E" w:rsidRDefault="007F066E" w:rsidP="00983F4F">
            <w:pPr>
              <w:jc w:val="center"/>
              <w:rPr>
                <w:b/>
                <w:szCs w:val="24"/>
              </w:rPr>
            </w:pPr>
            <w:r w:rsidRPr="0096374E">
              <w:rPr>
                <w:b/>
                <w:szCs w:val="24"/>
              </w:rPr>
              <w:t>Category</w:t>
            </w:r>
          </w:p>
        </w:tc>
        <w:tc>
          <w:tcPr>
            <w:tcW w:w="3510" w:type="dxa"/>
          </w:tcPr>
          <w:p w:rsidR="007F066E" w:rsidRPr="0096374E" w:rsidRDefault="007F066E" w:rsidP="00983F4F">
            <w:pPr>
              <w:jc w:val="center"/>
              <w:rPr>
                <w:b/>
                <w:szCs w:val="24"/>
              </w:rPr>
            </w:pPr>
            <w:r w:rsidRPr="0096374E">
              <w:rPr>
                <w:b/>
                <w:szCs w:val="24"/>
              </w:rPr>
              <w:t>Ratings</w:t>
            </w:r>
          </w:p>
        </w:tc>
      </w:tr>
      <w:tr w:rsidR="007F066E" w:rsidRPr="0096374E" w:rsidTr="007674E7">
        <w:tc>
          <w:tcPr>
            <w:tcW w:w="4050" w:type="dxa"/>
          </w:tcPr>
          <w:p w:rsidR="007F066E" w:rsidRPr="0096374E" w:rsidRDefault="007F066E" w:rsidP="00983F4F">
            <w:pPr>
              <w:jc w:val="both"/>
              <w:rPr>
                <w:szCs w:val="24"/>
              </w:rPr>
            </w:pPr>
            <w:r w:rsidRPr="0096374E">
              <w:rPr>
                <w:szCs w:val="24"/>
              </w:rPr>
              <w:t>Overall</w:t>
            </w:r>
          </w:p>
        </w:tc>
        <w:tc>
          <w:tcPr>
            <w:tcW w:w="3510" w:type="dxa"/>
          </w:tcPr>
          <w:p w:rsidR="007F066E" w:rsidRPr="0096374E" w:rsidRDefault="007F066E" w:rsidP="00983F4F">
            <w:pPr>
              <w:jc w:val="both"/>
              <w:rPr>
                <w:szCs w:val="24"/>
              </w:rPr>
            </w:pPr>
            <w:r w:rsidRPr="0096374E">
              <w:rPr>
                <w:szCs w:val="24"/>
              </w:rPr>
              <w:t>Below Average</w:t>
            </w:r>
          </w:p>
        </w:tc>
      </w:tr>
      <w:tr w:rsidR="007F066E" w:rsidRPr="0096374E" w:rsidTr="007674E7">
        <w:tc>
          <w:tcPr>
            <w:tcW w:w="4050" w:type="dxa"/>
          </w:tcPr>
          <w:p w:rsidR="007F066E" w:rsidRPr="0096374E" w:rsidRDefault="007F066E" w:rsidP="00983F4F">
            <w:pPr>
              <w:jc w:val="both"/>
              <w:rPr>
                <w:szCs w:val="24"/>
              </w:rPr>
            </w:pPr>
            <w:r w:rsidRPr="0096374E">
              <w:rPr>
                <w:szCs w:val="24"/>
              </w:rPr>
              <w:t>Health Inspections</w:t>
            </w:r>
          </w:p>
        </w:tc>
        <w:tc>
          <w:tcPr>
            <w:tcW w:w="3510" w:type="dxa"/>
          </w:tcPr>
          <w:p w:rsidR="007F066E" w:rsidRPr="0096374E" w:rsidRDefault="007F066E" w:rsidP="00983F4F">
            <w:pPr>
              <w:jc w:val="both"/>
              <w:rPr>
                <w:szCs w:val="24"/>
              </w:rPr>
            </w:pPr>
            <w:r w:rsidRPr="0096374E">
              <w:rPr>
                <w:szCs w:val="24"/>
              </w:rPr>
              <w:t>Much Below Average</w:t>
            </w:r>
          </w:p>
        </w:tc>
      </w:tr>
      <w:tr w:rsidR="007F066E" w:rsidRPr="0096374E" w:rsidTr="007674E7">
        <w:tc>
          <w:tcPr>
            <w:tcW w:w="4050" w:type="dxa"/>
          </w:tcPr>
          <w:p w:rsidR="007F066E" w:rsidRPr="0096374E" w:rsidRDefault="007F066E" w:rsidP="00983F4F">
            <w:pPr>
              <w:jc w:val="both"/>
              <w:rPr>
                <w:szCs w:val="24"/>
              </w:rPr>
            </w:pPr>
            <w:r w:rsidRPr="0096374E">
              <w:rPr>
                <w:szCs w:val="24"/>
              </w:rPr>
              <w:t>Staffing</w:t>
            </w:r>
          </w:p>
        </w:tc>
        <w:tc>
          <w:tcPr>
            <w:tcW w:w="3510" w:type="dxa"/>
          </w:tcPr>
          <w:p w:rsidR="007F066E" w:rsidRPr="0096374E" w:rsidRDefault="007F066E" w:rsidP="00983F4F">
            <w:pPr>
              <w:jc w:val="both"/>
              <w:rPr>
                <w:szCs w:val="24"/>
              </w:rPr>
            </w:pPr>
            <w:r w:rsidRPr="0096374E">
              <w:rPr>
                <w:szCs w:val="24"/>
              </w:rPr>
              <w:t>Much Above Average</w:t>
            </w:r>
          </w:p>
        </w:tc>
      </w:tr>
      <w:tr w:rsidR="007F066E" w:rsidRPr="0096374E" w:rsidTr="007674E7">
        <w:tc>
          <w:tcPr>
            <w:tcW w:w="4050" w:type="dxa"/>
          </w:tcPr>
          <w:p w:rsidR="007F066E" w:rsidRPr="0096374E" w:rsidRDefault="007F066E" w:rsidP="00983F4F">
            <w:pPr>
              <w:jc w:val="both"/>
              <w:rPr>
                <w:szCs w:val="24"/>
              </w:rPr>
            </w:pPr>
            <w:r w:rsidRPr="0096374E">
              <w:rPr>
                <w:szCs w:val="24"/>
              </w:rPr>
              <w:t>Quality Ratings</w:t>
            </w:r>
          </w:p>
        </w:tc>
        <w:tc>
          <w:tcPr>
            <w:tcW w:w="3510" w:type="dxa"/>
          </w:tcPr>
          <w:p w:rsidR="007F066E" w:rsidRPr="0096374E" w:rsidRDefault="007F066E" w:rsidP="00983F4F">
            <w:pPr>
              <w:jc w:val="both"/>
              <w:rPr>
                <w:szCs w:val="24"/>
              </w:rPr>
            </w:pPr>
            <w:r w:rsidRPr="0096374E">
              <w:rPr>
                <w:szCs w:val="24"/>
              </w:rPr>
              <w:t>Above Average</w:t>
            </w:r>
          </w:p>
        </w:tc>
      </w:tr>
    </w:tbl>
    <w:p w:rsidR="00B6167A" w:rsidRDefault="00B6167A" w:rsidP="007F066E">
      <w:pPr>
        <w:jc w:val="both"/>
      </w:pPr>
    </w:p>
    <w:p w:rsidR="007F066E" w:rsidRDefault="007F066E" w:rsidP="007F066E">
      <w:pPr>
        <w:jc w:val="both"/>
      </w:pPr>
      <w:r>
        <w:t>RiverRidge</w:t>
      </w:r>
      <w:r w:rsidR="00B6167A">
        <w:t xml:space="preserve"> scored “Above Average” or better</w:t>
      </w:r>
      <w:r>
        <w:t xml:space="preserve"> in two out of four categories rated by CMS with an overall rating of “Below Average”. The last recertific</w:t>
      </w:r>
      <w:r w:rsidR="00253AE4">
        <w:t xml:space="preserve">ation survey was conducted on March 28, </w:t>
      </w:r>
      <w:r>
        <w:t xml:space="preserve">2013. The result of the survey was the identification of </w:t>
      </w:r>
      <w:r w:rsidR="001B7391">
        <w:t>3</w:t>
      </w:r>
      <w:r>
        <w:t xml:space="preserve"> health deficiencies. All </w:t>
      </w:r>
      <w:r w:rsidR="001B7391">
        <w:t>3</w:t>
      </w:r>
      <w:r>
        <w:t xml:space="preserve"> deficiencies were Lev</w:t>
      </w:r>
      <w:r w:rsidR="00253AE4">
        <w:t>el 2 (minimal harm/</w:t>
      </w:r>
      <w:r w:rsidR="00B6167A">
        <w:t>p</w:t>
      </w:r>
      <w:r>
        <w:t>otential for actual harm) or below. The average number of health deficiencies identified during a recertification survey in Maine is 4.3 and the average number of health deficiencies in the United States is 6.8.</w:t>
      </w:r>
    </w:p>
    <w:p w:rsidR="007F066E" w:rsidRDefault="007F066E" w:rsidP="007F066E">
      <w:pPr>
        <w:jc w:val="both"/>
      </w:pPr>
    </w:p>
    <w:p w:rsidR="007F066E" w:rsidRDefault="007F066E" w:rsidP="007F066E">
      <w:pPr>
        <w:jc w:val="both"/>
      </w:pPr>
      <w:r>
        <w:t>Inspectors determined that the nursing home failed to:</w:t>
      </w:r>
    </w:p>
    <w:p w:rsidR="007F066E" w:rsidRDefault="007F066E" w:rsidP="007F066E">
      <w:pPr>
        <w:jc w:val="both"/>
      </w:pPr>
    </w:p>
    <w:p w:rsidR="007F066E" w:rsidRDefault="007F066E" w:rsidP="005E5B0A">
      <w:pPr>
        <w:ind w:left="720" w:hanging="450"/>
        <w:jc w:val="both"/>
      </w:pPr>
      <w:r w:rsidRPr="008115C7">
        <w:rPr>
          <w:b/>
        </w:rPr>
        <w:t>1)</w:t>
      </w:r>
      <w:r>
        <w:tab/>
        <w:t>Ensure housekeeping and maintenance services were provided to ensure suction/aspirator equipment was maintained in a sanitary manner</w:t>
      </w:r>
      <w:r w:rsidR="001B7391">
        <w:t>,</w:t>
      </w:r>
      <w:r>
        <w:t xml:space="preserve"> and doors were free from chips in 21 of 29 Resident Rooms.</w:t>
      </w:r>
    </w:p>
    <w:p w:rsidR="007F066E" w:rsidRDefault="007F066E" w:rsidP="007F066E">
      <w:pPr>
        <w:jc w:val="both"/>
      </w:pPr>
    </w:p>
    <w:p w:rsidR="007F066E" w:rsidRDefault="007F066E" w:rsidP="007F066E">
      <w:pPr>
        <w:ind w:left="720" w:hanging="450"/>
        <w:jc w:val="both"/>
      </w:pPr>
      <w:r w:rsidRPr="008115C7">
        <w:rPr>
          <w:b/>
        </w:rPr>
        <w:t>2)</w:t>
      </w:r>
      <w:r>
        <w:tab/>
        <w:t>Ensure that an ice machine was plumbed in accordance with code requirements to prevent contamination on 1 of 4 days of survey.</w:t>
      </w:r>
    </w:p>
    <w:p w:rsidR="007F066E" w:rsidRDefault="007F066E" w:rsidP="007F066E">
      <w:pPr>
        <w:jc w:val="both"/>
      </w:pPr>
    </w:p>
    <w:p w:rsidR="007F066E" w:rsidRDefault="007F066E" w:rsidP="007F066E">
      <w:pPr>
        <w:ind w:left="720" w:hanging="450"/>
        <w:jc w:val="both"/>
      </w:pPr>
      <w:r w:rsidRPr="008115C7">
        <w:rPr>
          <w:b/>
        </w:rPr>
        <w:t>3)</w:t>
      </w:r>
      <w:r>
        <w:tab/>
        <w:t>Ensure that outdated medications were removed from 1 of 2 medication storage rooms and 2 of 6 medication carts.</w:t>
      </w:r>
    </w:p>
    <w:p w:rsidR="007F066E" w:rsidRDefault="007F066E" w:rsidP="007F066E">
      <w:pPr>
        <w:jc w:val="both"/>
      </w:pPr>
    </w:p>
    <w:p w:rsidR="007F066E" w:rsidRDefault="007F066E" w:rsidP="007F066E">
      <w:pPr>
        <w:jc w:val="both"/>
      </w:pPr>
      <w:r>
        <w:t>All deficiencies were corrected by April 26, 2013.</w:t>
      </w:r>
    </w:p>
    <w:p w:rsidR="009432E7" w:rsidRDefault="009432E7" w:rsidP="009432E7">
      <w:pPr>
        <w:jc w:val="both"/>
        <w:rPr>
          <w:sz w:val="16"/>
          <w:szCs w:val="16"/>
        </w:rPr>
      </w:pPr>
    </w:p>
    <w:p w:rsidR="007F066E" w:rsidRDefault="007F066E" w:rsidP="007F066E">
      <w:pPr>
        <w:jc w:val="both"/>
      </w:pPr>
      <w:proofErr w:type="gramStart"/>
      <w:r>
        <w:t>RiverRidge Centers</w:t>
      </w:r>
      <w:proofErr w:type="gramEnd"/>
      <w:r>
        <w:t xml:space="preserve"> operating company is Kennebunk Operations, LLC</w:t>
      </w:r>
      <w:r w:rsidR="001B7391">
        <w:t>,</w:t>
      </w:r>
      <w:r>
        <w:t xml:space="preserve"> a subsidiary of Genesis Health Care of Maine, Inc. </w:t>
      </w:r>
      <w:r w:rsidR="002B2BC6">
        <w:t xml:space="preserve">which </w:t>
      </w:r>
      <w:r>
        <w:t>became licensed to operate RiverRidge Center on January 1, 2007. The facility has been a provider of both SNF/NF beds and Level IV R</w:t>
      </w:r>
      <w:r w:rsidR="002B2BC6">
        <w:t>C</w:t>
      </w:r>
      <w:r>
        <w:t xml:space="preserve"> beds for over seven years. The services provided by the applicant are consistent with applicable licensing and certification standards.</w:t>
      </w:r>
    </w:p>
    <w:p w:rsidR="0096374E" w:rsidRDefault="0096374E" w:rsidP="007F066E">
      <w:pPr>
        <w:jc w:val="both"/>
      </w:pPr>
    </w:p>
    <w:p w:rsidR="007466B5" w:rsidRDefault="007466B5" w:rsidP="007F066E">
      <w:pPr>
        <w:jc w:val="both"/>
      </w:pPr>
    </w:p>
    <w:p w:rsidR="00895516" w:rsidRDefault="00895516" w:rsidP="007F066E">
      <w:pPr>
        <w:jc w:val="both"/>
        <w:sectPr w:rsidR="00895516" w:rsidSect="00A70970">
          <w:footerReference w:type="first" r:id="rId17"/>
          <w:footnotePr>
            <w:numRestart w:val="eachSect"/>
          </w:footnotePr>
          <w:pgSz w:w="12240" w:h="15840" w:code="1"/>
          <w:pgMar w:top="900" w:right="1440" w:bottom="720" w:left="1440" w:header="720" w:footer="720" w:gutter="0"/>
          <w:pgNumType w:start="2"/>
          <w:cols w:space="720"/>
          <w:titlePg/>
          <w:docGrid w:linePitch="326"/>
        </w:sectPr>
      </w:pPr>
    </w:p>
    <w:p w:rsidR="00EC5B1E" w:rsidRPr="005E2E11" w:rsidRDefault="00EC5B1E" w:rsidP="0037147A">
      <w:pPr>
        <w:numPr>
          <w:ilvl w:val="0"/>
          <w:numId w:val="1"/>
        </w:numPr>
        <w:ind w:hanging="360"/>
        <w:rPr>
          <w:szCs w:val="24"/>
        </w:rPr>
      </w:pPr>
      <w:r w:rsidRPr="005E2E11">
        <w:rPr>
          <w:b/>
          <w:szCs w:val="24"/>
        </w:rPr>
        <w:t>Economic Feasibility</w:t>
      </w:r>
      <w:r w:rsidRPr="005E2E11">
        <w:rPr>
          <w:szCs w:val="24"/>
        </w:rPr>
        <w:t>:</w:t>
      </w:r>
    </w:p>
    <w:p w:rsidR="007F066E" w:rsidRDefault="007F066E" w:rsidP="004951B4">
      <w:pPr>
        <w:jc w:val="both"/>
        <w:rPr>
          <w:szCs w:val="24"/>
        </w:rPr>
      </w:pPr>
    </w:p>
    <w:p w:rsidR="007466B5" w:rsidRDefault="007F066E" w:rsidP="007466B5">
      <w:pPr>
        <w:jc w:val="both"/>
      </w:pPr>
      <w:r>
        <w:t xml:space="preserve">The applicant provided a pro-forma cost report that represents the change in the provided service level. The applicant is proposing to convert the current 16 acquired brain injury </w:t>
      </w:r>
      <w:r w:rsidR="00B6167A">
        <w:t>RC</w:t>
      </w:r>
      <w:r>
        <w:t xml:space="preserve"> beds to fourteen SNF/NF beds. This conversion is taking place because the Department has submitted a 1915C Medicaid Waiver to the Centers for Medicare and Medicaid Services (CMS). If approved this waiver would require that </w:t>
      </w:r>
      <w:r w:rsidR="00095AA7">
        <w:t>n</w:t>
      </w:r>
      <w:r>
        <w:t>eurobehavior</w:t>
      </w:r>
      <w:r w:rsidR="007674E7">
        <w:t>al</w:t>
      </w:r>
      <w:r>
        <w:t xml:space="preserve"> </w:t>
      </w:r>
      <w:r w:rsidR="00095AA7">
        <w:t>r</w:t>
      </w:r>
      <w:r>
        <w:t xml:space="preserve">esidential </w:t>
      </w:r>
      <w:r w:rsidR="00095AA7">
        <w:t>s</w:t>
      </w:r>
      <w:r>
        <w:t xml:space="preserve">upport be provided in a home and community based setting. This would mean that </w:t>
      </w:r>
      <w:r w:rsidR="005E5B0A">
        <w:t>all of</w:t>
      </w:r>
      <w:r>
        <w:t xml:space="preserve"> the current residents would need to be discharged and relocated to a different facility. The pro-forma cost report demonstrated that the applicant is aware that there will be different staffing levels required to perform the services required by the occupants of the additional SNF/NF beds. The change over to SNF/NF care</w:t>
      </w:r>
      <w:r w:rsidR="00095AA7">
        <w:t>,</w:t>
      </w:r>
      <w:r>
        <w:t xml:space="preserve"> as well as the analysis of need supports the applicants’ assertion that this project is financially feasible and will maintain the finan</w:t>
      </w:r>
      <w:r w:rsidR="007466B5">
        <w:t>cial stability of this facility.</w:t>
      </w:r>
    </w:p>
    <w:p w:rsidR="007466B5" w:rsidRDefault="007466B5" w:rsidP="007466B5">
      <w:pPr>
        <w:jc w:val="both"/>
      </w:pPr>
    </w:p>
    <w:p w:rsidR="007466B5" w:rsidRPr="007466B5" w:rsidRDefault="007466B5" w:rsidP="0037147A">
      <w:pPr>
        <w:pStyle w:val="ListParagraph"/>
        <w:numPr>
          <w:ilvl w:val="0"/>
          <w:numId w:val="1"/>
        </w:numPr>
        <w:ind w:hanging="360"/>
        <w:rPr>
          <w:b/>
          <w:szCs w:val="24"/>
        </w:rPr>
      </w:pPr>
      <w:r w:rsidRPr="007466B5">
        <w:rPr>
          <w:b/>
          <w:szCs w:val="24"/>
        </w:rPr>
        <w:t>Public Need:</w:t>
      </w:r>
    </w:p>
    <w:p w:rsidR="007466B5" w:rsidRPr="0096374E" w:rsidRDefault="007466B5" w:rsidP="007466B5">
      <w:pPr>
        <w:ind w:left="1080" w:hanging="720"/>
        <w:rPr>
          <w:b/>
          <w:sz w:val="16"/>
          <w:szCs w:val="16"/>
        </w:rPr>
      </w:pPr>
    </w:p>
    <w:p w:rsidR="007466B5" w:rsidRPr="0096374E" w:rsidRDefault="007466B5" w:rsidP="007466B5">
      <w:pPr>
        <w:jc w:val="both"/>
        <w:rPr>
          <w:szCs w:val="24"/>
        </w:rPr>
      </w:pPr>
      <w:r w:rsidRPr="0096374E">
        <w:rPr>
          <w:szCs w:val="24"/>
        </w:rPr>
        <w:t>The applicant proposes adding 14 SNF/NF beds. C</w:t>
      </w:r>
      <w:r w:rsidR="007674E7">
        <w:rPr>
          <w:szCs w:val="24"/>
        </w:rPr>
        <w:t xml:space="preserve">ertificate of </w:t>
      </w:r>
      <w:r w:rsidRPr="0096374E">
        <w:rPr>
          <w:szCs w:val="24"/>
        </w:rPr>
        <w:t>N</w:t>
      </w:r>
      <w:r w:rsidR="007674E7">
        <w:rPr>
          <w:szCs w:val="24"/>
        </w:rPr>
        <w:t>eed</w:t>
      </w:r>
      <w:r>
        <w:rPr>
          <w:szCs w:val="24"/>
        </w:rPr>
        <w:t xml:space="preserve"> </w:t>
      </w:r>
      <w:r w:rsidRPr="0096374E">
        <w:rPr>
          <w:szCs w:val="24"/>
        </w:rPr>
        <w:t>U</w:t>
      </w:r>
      <w:r>
        <w:rPr>
          <w:szCs w:val="24"/>
        </w:rPr>
        <w:t>nit (CONU)</w:t>
      </w:r>
      <w:r w:rsidRPr="0096374E">
        <w:rPr>
          <w:szCs w:val="24"/>
        </w:rPr>
        <w:t xml:space="preserve"> utilized the Muskie School of Public Service’s </w:t>
      </w:r>
      <w:r w:rsidRPr="0096374E">
        <w:rPr>
          <w:szCs w:val="24"/>
          <w:u w:val="single"/>
        </w:rPr>
        <w:t xml:space="preserve">Older Adults and Adults with Physical Disabilities: Population and Service Use Trends in Maine 2012 Edition </w:t>
      </w:r>
      <w:r w:rsidRPr="0096374E">
        <w:rPr>
          <w:szCs w:val="24"/>
        </w:rPr>
        <w:t>to determine if there is a need for additional nursing home beds in York County Maine. Attached is a table showing the nursing facilities in York County and their occupancy rates.</w:t>
      </w:r>
    </w:p>
    <w:p w:rsidR="007466B5" w:rsidRPr="0096374E" w:rsidRDefault="007466B5" w:rsidP="007466B5">
      <w:pPr>
        <w:ind w:left="1080" w:hanging="720"/>
        <w:jc w:val="both"/>
        <w:rPr>
          <w:sz w:val="16"/>
          <w:szCs w:val="16"/>
        </w:rPr>
      </w:pPr>
    </w:p>
    <w:tbl>
      <w:tblPr>
        <w:tblStyle w:val="TableGrid"/>
        <w:tblW w:w="9450" w:type="dxa"/>
        <w:tblInd w:w="108" w:type="dxa"/>
        <w:tblLayout w:type="fixed"/>
        <w:tblLook w:val="04A0" w:firstRow="1" w:lastRow="0" w:firstColumn="1" w:lastColumn="0" w:noHBand="0" w:noVBand="1"/>
      </w:tblPr>
      <w:tblGrid>
        <w:gridCol w:w="4410"/>
        <w:gridCol w:w="1080"/>
        <w:gridCol w:w="2070"/>
        <w:gridCol w:w="1890"/>
      </w:tblGrid>
      <w:tr w:rsidR="007466B5" w:rsidRPr="0096374E" w:rsidTr="003B1E56">
        <w:tc>
          <w:tcPr>
            <w:tcW w:w="4410" w:type="dxa"/>
          </w:tcPr>
          <w:p w:rsidR="007466B5" w:rsidRPr="0096374E" w:rsidRDefault="007466B5" w:rsidP="003B1E56">
            <w:pPr>
              <w:ind w:left="1080" w:hanging="720"/>
              <w:jc w:val="center"/>
              <w:rPr>
                <w:b/>
                <w:szCs w:val="24"/>
              </w:rPr>
            </w:pPr>
            <w:r w:rsidRPr="0096374E">
              <w:rPr>
                <w:b/>
                <w:szCs w:val="24"/>
              </w:rPr>
              <w:t>Facility Names</w:t>
            </w:r>
          </w:p>
        </w:tc>
        <w:tc>
          <w:tcPr>
            <w:tcW w:w="1080" w:type="dxa"/>
          </w:tcPr>
          <w:p w:rsidR="007466B5" w:rsidRPr="0096374E" w:rsidRDefault="007466B5" w:rsidP="003B1E56">
            <w:pPr>
              <w:tabs>
                <w:tab w:val="center" w:pos="608"/>
              </w:tabs>
              <w:ind w:left="1080" w:hanging="720"/>
              <w:jc w:val="center"/>
              <w:rPr>
                <w:b/>
                <w:szCs w:val="24"/>
              </w:rPr>
            </w:pPr>
            <w:r w:rsidRPr="0096374E">
              <w:rPr>
                <w:b/>
                <w:szCs w:val="24"/>
              </w:rPr>
              <w:t>Beds</w:t>
            </w:r>
          </w:p>
        </w:tc>
        <w:tc>
          <w:tcPr>
            <w:tcW w:w="2070" w:type="dxa"/>
          </w:tcPr>
          <w:p w:rsidR="007466B5" w:rsidRPr="0096374E" w:rsidRDefault="007466B5" w:rsidP="003B1E56">
            <w:pPr>
              <w:jc w:val="center"/>
              <w:rPr>
                <w:b/>
                <w:szCs w:val="24"/>
              </w:rPr>
            </w:pPr>
            <w:r>
              <w:rPr>
                <w:b/>
                <w:szCs w:val="24"/>
              </w:rPr>
              <w:t>%</w:t>
            </w:r>
            <w:r w:rsidRPr="0096374E">
              <w:rPr>
                <w:b/>
                <w:szCs w:val="24"/>
              </w:rPr>
              <w:t>Occupancy</w:t>
            </w:r>
          </w:p>
        </w:tc>
        <w:tc>
          <w:tcPr>
            <w:tcW w:w="1890" w:type="dxa"/>
          </w:tcPr>
          <w:p w:rsidR="007466B5" w:rsidRPr="0096374E" w:rsidRDefault="007466B5" w:rsidP="003B1E56">
            <w:pPr>
              <w:jc w:val="center"/>
              <w:rPr>
                <w:b/>
                <w:szCs w:val="24"/>
              </w:rPr>
            </w:pPr>
            <w:r w:rsidRPr="0096374E">
              <w:rPr>
                <w:b/>
                <w:szCs w:val="24"/>
              </w:rPr>
              <w:t>Occupied Beds</w:t>
            </w:r>
          </w:p>
        </w:tc>
      </w:tr>
      <w:tr w:rsidR="007466B5" w:rsidRPr="0096374E" w:rsidTr="003B1E56">
        <w:tc>
          <w:tcPr>
            <w:tcW w:w="4410" w:type="dxa"/>
          </w:tcPr>
          <w:p w:rsidR="007466B5" w:rsidRPr="0096374E" w:rsidRDefault="007466B5" w:rsidP="003B1E56">
            <w:pPr>
              <w:ind w:left="1080" w:hanging="720"/>
              <w:rPr>
                <w:szCs w:val="24"/>
              </w:rPr>
            </w:pPr>
            <w:r>
              <w:rPr>
                <w:szCs w:val="24"/>
              </w:rPr>
              <w:t>Durg</w:t>
            </w:r>
            <w:r w:rsidRPr="0096374E">
              <w:rPr>
                <w:szCs w:val="24"/>
              </w:rPr>
              <w:t>in Pines</w:t>
            </w:r>
          </w:p>
        </w:tc>
        <w:tc>
          <w:tcPr>
            <w:tcW w:w="1080" w:type="dxa"/>
          </w:tcPr>
          <w:p w:rsidR="007466B5" w:rsidRPr="0096374E" w:rsidRDefault="007466B5" w:rsidP="003B1E56">
            <w:pPr>
              <w:ind w:left="1080" w:hanging="720"/>
              <w:jc w:val="center"/>
              <w:rPr>
                <w:szCs w:val="24"/>
              </w:rPr>
            </w:pPr>
            <w:r w:rsidRPr="0096374E">
              <w:rPr>
                <w:szCs w:val="24"/>
              </w:rPr>
              <w:t>81</w:t>
            </w:r>
          </w:p>
        </w:tc>
        <w:tc>
          <w:tcPr>
            <w:tcW w:w="2070" w:type="dxa"/>
          </w:tcPr>
          <w:p w:rsidR="007466B5" w:rsidRPr="0096374E" w:rsidRDefault="007466B5" w:rsidP="003B1E56">
            <w:pPr>
              <w:ind w:left="1080" w:hanging="720"/>
              <w:jc w:val="center"/>
              <w:rPr>
                <w:szCs w:val="24"/>
              </w:rPr>
            </w:pPr>
            <w:r w:rsidRPr="0096374E">
              <w:rPr>
                <w:szCs w:val="24"/>
              </w:rPr>
              <w:t>85.19%</w:t>
            </w:r>
          </w:p>
        </w:tc>
        <w:tc>
          <w:tcPr>
            <w:tcW w:w="1890" w:type="dxa"/>
          </w:tcPr>
          <w:p w:rsidR="007466B5" w:rsidRPr="0096374E" w:rsidRDefault="007466B5" w:rsidP="003B1E56">
            <w:pPr>
              <w:ind w:left="1080" w:hanging="720"/>
              <w:jc w:val="center"/>
              <w:rPr>
                <w:szCs w:val="24"/>
              </w:rPr>
            </w:pPr>
            <w:r w:rsidRPr="0096374E">
              <w:rPr>
                <w:szCs w:val="24"/>
              </w:rPr>
              <w:t>69</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Evergreen Manor</w:t>
            </w:r>
          </w:p>
        </w:tc>
        <w:tc>
          <w:tcPr>
            <w:tcW w:w="1080" w:type="dxa"/>
          </w:tcPr>
          <w:p w:rsidR="007466B5" w:rsidRPr="0096374E" w:rsidRDefault="007466B5" w:rsidP="003B1E56">
            <w:pPr>
              <w:ind w:left="1080" w:hanging="720"/>
              <w:jc w:val="center"/>
              <w:rPr>
                <w:szCs w:val="24"/>
              </w:rPr>
            </w:pPr>
            <w:r w:rsidRPr="0096374E">
              <w:rPr>
                <w:szCs w:val="24"/>
              </w:rPr>
              <w:t>42</w:t>
            </w:r>
          </w:p>
        </w:tc>
        <w:tc>
          <w:tcPr>
            <w:tcW w:w="2070" w:type="dxa"/>
          </w:tcPr>
          <w:p w:rsidR="007466B5" w:rsidRPr="0096374E" w:rsidRDefault="007466B5" w:rsidP="003B1E56">
            <w:pPr>
              <w:ind w:left="1080" w:hanging="720"/>
              <w:jc w:val="center"/>
              <w:rPr>
                <w:szCs w:val="24"/>
              </w:rPr>
            </w:pPr>
            <w:r w:rsidRPr="0096374E">
              <w:rPr>
                <w:szCs w:val="24"/>
              </w:rPr>
              <w:t>97.62%</w:t>
            </w:r>
          </w:p>
        </w:tc>
        <w:tc>
          <w:tcPr>
            <w:tcW w:w="1890" w:type="dxa"/>
          </w:tcPr>
          <w:p w:rsidR="007466B5" w:rsidRPr="0096374E" w:rsidRDefault="007466B5" w:rsidP="003B1E56">
            <w:pPr>
              <w:ind w:left="1080" w:hanging="720"/>
              <w:jc w:val="center"/>
              <w:rPr>
                <w:szCs w:val="24"/>
              </w:rPr>
            </w:pPr>
            <w:r w:rsidRPr="0096374E">
              <w:rPr>
                <w:szCs w:val="24"/>
              </w:rPr>
              <w:t>41</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Greenwood Center</w:t>
            </w:r>
          </w:p>
        </w:tc>
        <w:tc>
          <w:tcPr>
            <w:tcW w:w="1080" w:type="dxa"/>
          </w:tcPr>
          <w:p w:rsidR="007466B5" w:rsidRPr="0096374E" w:rsidRDefault="007466B5" w:rsidP="003B1E56">
            <w:pPr>
              <w:ind w:left="1080" w:hanging="720"/>
              <w:jc w:val="center"/>
              <w:rPr>
                <w:szCs w:val="24"/>
              </w:rPr>
            </w:pPr>
            <w:r w:rsidRPr="0096374E">
              <w:rPr>
                <w:szCs w:val="24"/>
              </w:rPr>
              <w:t>86</w:t>
            </w:r>
          </w:p>
        </w:tc>
        <w:tc>
          <w:tcPr>
            <w:tcW w:w="2070" w:type="dxa"/>
          </w:tcPr>
          <w:p w:rsidR="007466B5" w:rsidRPr="0096374E" w:rsidRDefault="007466B5" w:rsidP="003B1E56">
            <w:pPr>
              <w:ind w:left="1080" w:hanging="720"/>
              <w:jc w:val="center"/>
              <w:rPr>
                <w:szCs w:val="24"/>
              </w:rPr>
            </w:pPr>
            <w:r w:rsidRPr="0096374E">
              <w:rPr>
                <w:szCs w:val="24"/>
              </w:rPr>
              <w:t>90.70%</w:t>
            </w:r>
          </w:p>
        </w:tc>
        <w:tc>
          <w:tcPr>
            <w:tcW w:w="1890" w:type="dxa"/>
          </w:tcPr>
          <w:p w:rsidR="007466B5" w:rsidRPr="0096374E" w:rsidRDefault="007466B5" w:rsidP="003B1E56">
            <w:pPr>
              <w:ind w:left="1080" w:hanging="720"/>
              <w:jc w:val="center"/>
              <w:rPr>
                <w:szCs w:val="24"/>
              </w:rPr>
            </w:pPr>
            <w:r w:rsidRPr="0096374E">
              <w:rPr>
                <w:szCs w:val="24"/>
              </w:rPr>
              <w:t>78</w:t>
            </w:r>
          </w:p>
        </w:tc>
      </w:tr>
      <w:tr w:rsidR="007466B5" w:rsidRPr="0096374E" w:rsidTr="003B1E56">
        <w:tc>
          <w:tcPr>
            <w:tcW w:w="4410" w:type="dxa"/>
          </w:tcPr>
          <w:p w:rsidR="007466B5" w:rsidRPr="0096374E" w:rsidRDefault="007466B5" w:rsidP="003B1E56">
            <w:pPr>
              <w:ind w:left="1080" w:hanging="720"/>
              <w:rPr>
                <w:szCs w:val="24"/>
              </w:rPr>
            </w:pPr>
            <w:r>
              <w:rPr>
                <w:szCs w:val="24"/>
              </w:rPr>
              <w:t>Kennebunk</w:t>
            </w:r>
            <w:r w:rsidRPr="0096374E">
              <w:rPr>
                <w:szCs w:val="24"/>
              </w:rPr>
              <w:t xml:space="preserve"> Center for Health &amp; Rehab</w:t>
            </w:r>
          </w:p>
        </w:tc>
        <w:tc>
          <w:tcPr>
            <w:tcW w:w="1080" w:type="dxa"/>
          </w:tcPr>
          <w:p w:rsidR="007466B5" w:rsidRPr="0096374E" w:rsidRDefault="007466B5" w:rsidP="003B1E56">
            <w:pPr>
              <w:ind w:left="1080" w:hanging="720"/>
              <w:jc w:val="center"/>
              <w:rPr>
                <w:szCs w:val="24"/>
              </w:rPr>
            </w:pPr>
            <w:r w:rsidRPr="0096374E">
              <w:rPr>
                <w:szCs w:val="24"/>
              </w:rPr>
              <w:t>78</w:t>
            </w:r>
          </w:p>
        </w:tc>
        <w:tc>
          <w:tcPr>
            <w:tcW w:w="2070" w:type="dxa"/>
          </w:tcPr>
          <w:p w:rsidR="007466B5" w:rsidRPr="0096374E" w:rsidRDefault="007466B5" w:rsidP="003B1E56">
            <w:pPr>
              <w:ind w:left="1080" w:hanging="720"/>
              <w:jc w:val="center"/>
              <w:rPr>
                <w:szCs w:val="24"/>
              </w:rPr>
            </w:pPr>
            <w:r w:rsidRPr="0096374E">
              <w:rPr>
                <w:szCs w:val="24"/>
              </w:rPr>
              <w:t>91.03%</w:t>
            </w:r>
          </w:p>
        </w:tc>
        <w:tc>
          <w:tcPr>
            <w:tcW w:w="1890" w:type="dxa"/>
          </w:tcPr>
          <w:p w:rsidR="007466B5" w:rsidRPr="0096374E" w:rsidRDefault="007466B5" w:rsidP="003B1E56">
            <w:pPr>
              <w:ind w:left="1080" w:hanging="720"/>
              <w:jc w:val="center"/>
              <w:rPr>
                <w:szCs w:val="24"/>
              </w:rPr>
            </w:pPr>
            <w:r w:rsidRPr="0096374E">
              <w:rPr>
                <w:szCs w:val="24"/>
              </w:rPr>
              <w:t>71</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RiverRidge Center</w:t>
            </w:r>
          </w:p>
        </w:tc>
        <w:tc>
          <w:tcPr>
            <w:tcW w:w="1080" w:type="dxa"/>
          </w:tcPr>
          <w:p w:rsidR="007466B5" w:rsidRPr="0096374E" w:rsidRDefault="007466B5" w:rsidP="003B1E56">
            <w:pPr>
              <w:ind w:left="1080" w:hanging="720"/>
              <w:jc w:val="center"/>
              <w:rPr>
                <w:szCs w:val="24"/>
              </w:rPr>
            </w:pPr>
            <w:r w:rsidRPr="0096374E">
              <w:rPr>
                <w:szCs w:val="24"/>
              </w:rPr>
              <w:t>48</w:t>
            </w:r>
          </w:p>
        </w:tc>
        <w:tc>
          <w:tcPr>
            <w:tcW w:w="2070" w:type="dxa"/>
          </w:tcPr>
          <w:p w:rsidR="007466B5" w:rsidRPr="0096374E" w:rsidRDefault="007466B5" w:rsidP="003B1E56">
            <w:pPr>
              <w:ind w:left="1080" w:hanging="720"/>
              <w:jc w:val="center"/>
              <w:rPr>
                <w:szCs w:val="24"/>
              </w:rPr>
            </w:pPr>
            <w:r w:rsidRPr="0096374E">
              <w:rPr>
                <w:szCs w:val="24"/>
              </w:rPr>
              <w:t>95.83%</w:t>
            </w:r>
          </w:p>
        </w:tc>
        <w:tc>
          <w:tcPr>
            <w:tcW w:w="1890" w:type="dxa"/>
          </w:tcPr>
          <w:p w:rsidR="007466B5" w:rsidRPr="0096374E" w:rsidRDefault="007466B5" w:rsidP="003B1E56">
            <w:pPr>
              <w:ind w:left="1080" w:hanging="720"/>
              <w:jc w:val="center"/>
              <w:rPr>
                <w:szCs w:val="24"/>
              </w:rPr>
            </w:pPr>
            <w:r w:rsidRPr="0096374E">
              <w:rPr>
                <w:szCs w:val="24"/>
              </w:rPr>
              <w:t>46</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Seal Rock Health Care</w:t>
            </w:r>
          </w:p>
        </w:tc>
        <w:tc>
          <w:tcPr>
            <w:tcW w:w="1080" w:type="dxa"/>
          </w:tcPr>
          <w:p w:rsidR="007466B5" w:rsidRPr="0096374E" w:rsidRDefault="007466B5" w:rsidP="003B1E56">
            <w:pPr>
              <w:ind w:left="1080" w:hanging="720"/>
              <w:jc w:val="center"/>
              <w:rPr>
                <w:szCs w:val="24"/>
              </w:rPr>
            </w:pPr>
            <w:r w:rsidRPr="0096374E">
              <w:rPr>
                <w:szCs w:val="24"/>
              </w:rPr>
              <w:t>105</w:t>
            </w:r>
          </w:p>
        </w:tc>
        <w:tc>
          <w:tcPr>
            <w:tcW w:w="2070" w:type="dxa"/>
          </w:tcPr>
          <w:p w:rsidR="007466B5" w:rsidRPr="0096374E" w:rsidRDefault="007466B5" w:rsidP="003B1E56">
            <w:pPr>
              <w:ind w:left="1080" w:hanging="720"/>
              <w:jc w:val="center"/>
              <w:rPr>
                <w:szCs w:val="24"/>
              </w:rPr>
            </w:pPr>
            <w:r w:rsidRPr="0096374E">
              <w:rPr>
                <w:szCs w:val="24"/>
              </w:rPr>
              <w:t>96.19%</w:t>
            </w:r>
          </w:p>
        </w:tc>
        <w:tc>
          <w:tcPr>
            <w:tcW w:w="1890" w:type="dxa"/>
          </w:tcPr>
          <w:p w:rsidR="007466B5" w:rsidRPr="0096374E" w:rsidRDefault="007466B5" w:rsidP="003B1E56">
            <w:pPr>
              <w:ind w:left="1080" w:hanging="720"/>
              <w:jc w:val="center"/>
              <w:rPr>
                <w:szCs w:val="24"/>
              </w:rPr>
            </w:pPr>
            <w:r w:rsidRPr="0096374E">
              <w:rPr>
                <w:szCs w:val="24"/>
              </w:rPr>
              <w:t>101</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South</w:t>
            </w:r>
            <w:r>
              <w:rPr>
                <w:szCs w:val="24"/>
              </w:rPr>
              <w:t>ridge</w:t>
            </w:r>
            <w:r w:rsidRPr="0096374E">
              <w:rPr>
                <w:szCs w:val="24"/>
              </w:rPr>
              <w:t xml:space="preserve"> Rehab &amp; Living</w:t>
            </w:r>
          </w:p>
        </w:tc>
        <w:tc>
          <w:tcPr>
            <w:tcW w:w="1080" w:type="dxa"/>
          </w:tcPr>
          <w:p w:rsidR="007466B5" w:rsidRPr="0096374E" w:rsidRDefault="007466B5" w:rsidP="003B1E56">
            <w:pPr>
              <w:ind w:left="1080" w:hanging="720"/>
              <w:jc w:val="center"/>
              <w:rPr>
                <w:szCs w:val="24"/>
              </w:rPr>
            </w:pPr>
            <w:r w:rsidRPr="0096374E">
              <w:rPr>
                <w:szCs w:val="24"/>
              </w:rPr>
              <w:t>65</w:t>
            </w:r>
          </w:p>
        </w:tc>
        <w:tc>
          <w:tcPr>
            <w:tcW w:w="2070" w:type="dxa"/>
          </w:tcPr>
          <w:p w:rsidR="007466B5" w:rsidRPr="0096374E" w:rsidRDefault="007466B5" w:rsidP="003B1E56">
            <w:pPr>
              <w:ind w:left="1080" w:hanging="720"/>
              <w:jc w:val="center"/>
              <w:rPr>
                <w:szCs w:val="24"/>
              </w:rPr>
            </w:pPr>
            <w:r w:rsidRPr="0096374E">
              <w:rPr>
                <w:szCs w:val="24"/>
              </w:rPr>
              <w:t>95.38%</w:t>
            </w:r>
          </w:p>
        </w:tc>
        <w:tc>
          <w:tcPr>
            <w:tcW w:w="1890" w:type="dxa"/>
          </w:tcPr>
          <w:p w:rsidR="007466B5" w:rsidRPr="0096374E" w:rsidRDefault="007466B5" w:rsidP="003B1E56">
            <w:pPr>
              <w:ind w:left="1080" w:hanging="720"/>
              <w:jc w:val="center"/>
              <w:rPr>
                <w:szCs w:val="24"/>
              </w:rPr>
            </w:pPr>
            <w:r w:rsidRPr="0096374E">
              <w:rPr>
                <w:szCs w:val="24"/>
              </w:rPr>
              <w:t>62</w:t>
            </w:r>
          </w:p>
        </w:tc>
      </w:tr>
      <w:tr w:rsidR="007466B5" w:rsidRPr="0096374E" w:rsidTr="003B1E56">
        <w:tc>
          <w:tcPr>
            <w:tcW w:w="4410" w:type="dxa"/>
          </w:tcPr>
          <w:p w:rsidR="007466B5" w:rsidRPr="0096374E" w:rsidRDefault="007466B5" w:rsidP="003B1E56">
            <w:pPr>
              <w:ind w:left="1080" w:hanging="720"/>
              <w:rPr>
                <w:szCs w:val="24"/>
              </w:rPr>
            </w:pPr>
            <w:r>
              <w:rPr>
                <w:szCs w:val="24"/>
              </w:rPr>
              <w:t>St. Andre’s</w:t>
            </w:r>
            <w:r w:rsidRPr="0096374E">
              <w:rPr>
                <w:szCs w:val="24"/>
              </w:rPr>
              <w:t xml:space="preserve"> Health Care</w:t>
            </w:r>
          </w:p>
        </w:tc>
        <w:tc>
          <w:tcPr>
            <w:tcW w:w="1080" w:type="dxa"/>
          </w:tcPr>
          <w:p w:rsidR="007466B5" w:rsidRPr="0096374E" w:rsidRDefault="007466B5" w:rsidP="003B1E56">
            <w:pPr>
              <w:ind w:left="1080" w:hanging="720"/>
              <w:jc w:val="center"/>
              <w:rPr>
                <w:szCs w:val="24"/>
              </w:rPr>
            </w:pPr>
            <w:r w:rsidRPr="0096374E">
              <w:rPr>
                <w:szCs w:val="24"/>
              </w:rPr>
              <w:t>96</w:t>
            </w:r>
          </w:p>
        </w:tc>
        <w:tc>
          <w:tcPr>
            <w:tcW w:w="2070" w:type="dxa"/>
          </w:tcPr>
          <w:p w:rsidR="007466B5" w:rsidRPr="0096374E" w:rsidRDefault="007466B5" w:rsidP="003B1E56">
            <w:pPr>
              <w:ind w:left="1080" w:hanging="720"/>
              <w:jc w:val="center"/>
              <w:rPr>
                <w:szCs w:val="24"/>
              </w:rPr>
            </w:pPr>
            <w:r w:rsidRPr="0096374E">
              <w:rPr>
                <w:szCs w:val="24"/>
              </w:rPr>
              <w:t>83.33%</w:t>
            </w:r>
          </w:p>
        </w:tc>
        <w:tc>
          <w:tcPr>
            <w:tcW w:w="1890" w:type="dxa"/>
          </w:tcPr>
          <w:p w:rsidR="007466B5" w:rsidRPr="0096374E" w:rsidRDefault="007466B5" w:rsidP="003B1E56">
            <w:pPr>
              <w:ind w:left="1080" w:hanging="720"/>
              <w:jc w:val="center"/>
              <w:rPr>
                <w:szCs w:val="24"/>
              </w:rPr>
            </w:pPr>
            <w:r w:rsidRPr="0096374E">
              <w:rPr>
                <w:szCs w:val="24"/>
              </w:rPr>
              <w:t>80</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The Newton Center</w:t>
            </w:r>
          </w:p>
        </w:tc>
        <w:tc>
          <w:tcPr>
            <w:tcW w:w="1080" w:type="dxa"/>
          </w:tcPr>
          <w:p w:rsidR="007466B5" w:rsidRPr="0096374E" w:rsidRDefault="007466B5" w:rsidP="003B1E56">
            <w:pPr>
              <w:ind w:left="1080" w:hanging="720"/>
              <w:jc w:val="center"/>
              <w:rPr>
                <w:szCs w:val="24"/>
              </w:rPr>
            </w:pPr>
            <w:r w:rsidRPr="0096374E">
              <w:rPr>
                <w:szCs w:val="24"/>
              </w:rPr>
              <w:t>74</w:t>
            </w:r>
          </w:p>
        </w:tc>
        <w:tc>
          <w:tcPr>
            <w:tcW w:w="2070" w:type="dxa"/>
          </w:tcPr>
          <w:p w:rsidR="007466B5" w:rsidRPr="0096374E" w:rsidRDefault="007466B5" w:rsidP="003B1E56">
            <w:pPr>
              <w:ind w:left="1080" w:hanging="720"/>
              <w:jc w:val="center"/>
              <w:rPr>
                <w:szCs w:val="24"/>
              </w:rPr>
            </w:pPr>
            <w:r w:rsidRPr="0096374E">
              <w:rPr>
                <w:szCs w:val="24"/>
              </w:rPr>
              <w:t>94.59%</w:t>
            </w:r>
          </w:p>
        </w:tc>
        <w:tc>
          <w:tcPr>
            <w:tcW w:w="1890" w:type="dxa"/>
          </w:tcPr>
          <w:p w:rsidR="007466B5" w:rsidRPr="0096374E" w:rsidRDefault="007466B5" w:rsidP="003B1E56">
            <w:pPr>
              <w:ind w:left="1080" w:hanging="720"/>
              <w:jc w:val="center"/>
              <w:rPr>
                <w:szCs w:val="24"/>
              </w:rPr>
            </w:pPr>
            <w:r w:rsidRPr="0096374E">
              <w:rPr>
                <w:szCs w:val="24"/>
              </w:rPr>
              <w:t>70</w:t>
            </w:r>
          </w:p>
        </w:tc>
      </w:tr>
      <w:tr w:rsidR="007466B5" w:rsidRPr="0096374E" w:rsidTr="003B1E56">
        <w:tc>
          <w:tcPr>
            <w:tcW w:w="4410" w:type="dxa"/>
          </w:tcPr>
          <w:p w:rsidR="007466B5" w:rsidRPr="0096374E" w:rsidRDefault="007466B5" w:rsidP="003B1E56">
            <w:pPr>
              <w:ind w:left="1080" w:hanging="720"/>
              <w:rPr>
                <w:szCs w:val="24"/>
              </w:rPr>
            </w:pPr>
            <w:r w:rsidRPr="0096374E">
              <w:rPr>
                <w:szCs w:val="24"/>
              </w:rPr>
              <w:t>Varney Crossing</w:t>
            </w:r>
          </w:p>
        </w:tc>
        <w:tc>
          <w:tcPr>
            <w:tcW w:w="1080" w:type="dxa"/>
          </w:tcPr>
          <w:p w:rsidR="007466B5" w:rsidRPr="0096374E" w:rsidRDefault="007466B5" w:rsidP="003B1E56">
            <w:pPr>
              <w:ind w:left="1080" w:hanging="720"/>
              <w:jc w:val="center"/>
              <w:rPr>
                <w:szCs w:val="24"/>
              </w:rPr>
            </w:pPr>
            <w:r w:rsidRPr="0096374E">
              <w:rPr>
                <w:szCs w:val="24"/>
              </w:rPr>
              <w:t>64</w:t>
            </w:r>
          </w:p>
        </w:tc>
        <w:tc>
          <w:tcPr>
            <w:tcW w:w="2070" w:type="dxa"/>
          </w:tcPr>
          <w:p w:rsidR="007466B5" w:rsidRPr="0096374E" w:rsidRDefault="007466B5" w:rsidP="003B1E56">
            <w:pPr>
              <w:ind w:left="1080" w:hanging="720"/>
              <w:jc w:val="center"/>
              <w:rPr>
                <w:szCs w:val="24"/>
              </w:rPr>
            </w:pPr>
            <w:r w:rsidRPr="0096374E">
              <w:rPr>
                <w:szCs w:val="24"/>
              </w:rPr>
              <w:t>96.88%</w:t>
            </w:r>
          </w:p>
        </w:tc>
        <w:tc>
          <w:tcPr>
            <w:tcW w:w="1890" w:type="dxa"/>
          </w:tcPr>
          <w:p w:rsidR="007466B5" w:rsidRPr="0096374E" w:rsidRDefault="007466B5" w:rsidP="003B1E56">
            <w:pPr>
              <w:ind w:left="1080" w:hanging="720"/>
              <w:jc w:val="center"/>
              <w:rPr>
                <w:szCs w:val="24"/>
              </w:rPr>
            </w:pPr>
            <w:r w:rsidRPr="0096374E">
              <w:rPr>
                <w:szCs w:val="24"/>
              </w:rPr>
              <w:t>62</w:t>
            </w:r>
          </w:p>
        </w:tc>
      </w:tr>
      <w:tr w:rsidR="007466B5" w:rsidRPr="0096374E" w:rsidTr="003B1E56">
        <w:tc>
          <w:tcPr>
            <w:tcW w:w="4410" w:type="dxa"/>
          </w:tcPr>
          <w:p w:rsidR="007466B5" w:rsidRPr="0096374E" w:rsidRDefault="007466B5" w:rsidP="003B1E56">
            <w:pPr>
              <w:ind w:left="1080" w:hanging="720"/>
              <w:rPr>
                <w:b/>
                <w:szCs w:val="24"/>
              </w:rPr>
            </w:pPr>
            <w:r w:rsidRPr="0096374E">
              <w:rPr>
                <w:b/>
                <w:szCs w:val="24"/>
              </w:rPr>
              <w:t>Total</w:t>
            </w:r>
          </w:p>
        </w:tc>
        <w:tc>
          <w:tcPr>
            <w:tcW w:w="1080" w:type="dxa"/>
          </w:tcPr>
          <w:p w:rsidR="007466B5" w:rsidRPr="0096374E" w:rsidRDefault="007466B5" w:rsidP="003B1E56">
            <w:pPr>
              <w:ind w:left="1080" w:hanging="720"/>
              <w:jc w:val="center"/>
              <w:rPr>
                <w:b/>
                <w:szCs w:val="24"/>
              </w:rPr>
            </w:pPr>
            <w:r w:rsidRPr="0096374E">
              <w:rPr>
                <w:b/>
                <w:szCs w:val="24"/>
              </w:rPr>
              <w:t>739</w:t>
            </w:r>
          </w:p>
        </w:tc>
        <w:tc>
          <w:tcPr>
            <w:tcW w:w="2070" w:type="dxa"/>
          </w:tcPr>
          <w:p w:rsidR="007466B5" w:rsidRPr="0096374E" w:rsidRDefault="007466B5" w:rsidP="003B1E56">
            <w:pPr>
              <w:ind w:left="1080" w:hanging="720"/>
              <w:jc w:val="center"/>
              <w:rPr>
                <w:b/>
                <w:szCs w:val="24"/>
              </w:rPr>
            </w:pPr>
          </w:p>
        </w:tc>
        <w:tc>
          <w:tcPr>
            <w:tcW w:w="1890" w:type="dxa"/>
          </w:tcPr>
          <w:p w:rsidR="007466B5" w:rsidRPr="0096374E" w:rsidRDefault="007466B5" w:rsidP="003B1E56">
            <w:pPr>
              <w:ind w:left="1080" w:hanging="720"/>
              <w:jc w:val="center"/>
              <w:rPr>
                <w:b/>
                <w:szCs w:val="24"/>
              </w:rPr>
            </w:pPr>
            <w:r w:rsidRPr="0096374E">
              <w:rPr>
                <w:b/>
                <w:szCs w:val="24"/>
              </w:rPr>
              <w:t>680</w:t>
            </w:r>
          </w:p>
        </w:tc>
      </w:tr>
    </w:tbl>
    <w:p w:rsidR="007466B5" w:rsidRPr="0096374E" w:rsidRDefault="007466B5" w:rsidP="007466B5">
      <w:pPr>
        <w:ind w:left="1080" w:hanging="720"/>
        <w:jc w:val="both"/>
        <w:rPr>
          <w:b/>
          <w:sz w:val="16"/>
          <w:szCs w:val="16"/>
        </w:rPr>
      </w:pPr>
    </w:p>
    <w:p w:rsidR="00895516" w:rsidRDefault="007466B5" w:rsidP="00717AE4">
      <w:pPr>
        <w:jc w:val="both"/>
        <w:rPr>
          <w:szCs w:val="24"/>
        </w:rPr>
      </w:pPr>
      <w:r w:rsidRPr="0096374E">
        <w:rPr>
          <w:szCs w:val="24"/>
        </w:rPr>
        <w:t xml:space="preserve">Utilizing the most recent occupancy data from the Muskie Institute the average occupancy rate in York County is 92.67% which exceeds the statewide occupancy rate of 91.8%. </w:t>
      </w:r>
      <w:r w:rsidRPr="0096374E">
        <w:rPr>
          <w:b/>
          <w:szCs w:val="24"/>
        </w:rPr>
        <w:t>(It should be</w:t>
      </w:r>
      <w:r w:rsidRPr="0096374E">
        <w:rPr>
          <w:szCs w:val="24"/>
        </w:rPr>
        <w:t xml:space="preserve"> </w:t>
      </w:r>
      <w:r>
        <w:rPr>
          <w:b/>
          <w:szCs w:val="24"/>
        </w:rPr>
        <w:t>noted that both St. Andre</w:t>
      </w:r>
      <w:r w:rsidRPr="0096374E">
        <w:rPr>
          <w:b/>
          <w:szCs w:val="24"/>
        </w:rPr>
        <w:t xml:space="preserve">’s and </w:t>
      </w:r>
      <w:r>
        <w:rPr>
          <w:b/>
          <w:szCs w:val="24"/>
        </w:rPr>
        <w:t>Durg</w:t>
      </w:r>
      <w:r w:rsidRPr="0096374E">
        <w:rPr>
          <w:b/>
          <w:szCs w:val="24"/>
        </w:rPr>
        <w:t>in Pines achieved occupancy levels of over 90% in previous</w:t>
      </w:r>
      <w:r w:rsidRPr="0096374E">
        <w:rPr>
          <w:szCs w:val="24"/>
        </w:rPr>
        <w:t xml:space="preserve"> </w:t>
      </w:r>
      <w:r w:rsidRPr="0096374E">
        <w:rPr>
          <w:b/>
          <w:szCs w:val="24"/>
        </w:rPr>
        <w:t>months)</w:t>
      </w:r>
      <w:r w:rsidRPr="0096374E">
        <w:rPr>
          <w:szCs w:val="24"/>
        </w:rPr>
        <w:t>. The average payer mix is 62.01% MaineCare, 13.73% Medicare and 24.26% other.</w:t>
      </w:r>
    </w:p>
    <w:p w:rsidR="00895516" w:rsidRDefault="00895516" w:rsidP="00717AE4">
      <w:pPr>
        <w:jc w:val="both"/>
        <w:rPr>
          <w:szCs w:val="24"/>
        </w:rPr>
      </w:pPr>
    </w:p>
    <w:p w:rsidR="007F066E" w:rsidRPr="0096374E" w:rsidRDefault="007F066E" w:rsidP="00717AE4">
      <w:pPr>
        <w:jc w:val="both"/>
        <w:rPr>
          <w:szCs w:val="24"/>
        </w:rPr>
      </w:pPr>
      <w:r w:rsidRPr="0096374E">
        <w:rPr>
          <w:szCs w:val="24"/>
        </w:rPr>
        <w:t>York County has 739 nursing beds</w:t>
      </w:r>
      <w:r w:rsidR="007466B5">
        <w:rPr>
          <w:szCs w:val="24"/>
        </w:rPr>
        <w:t>;</w:t>
      </w:r>
      <w:r w:rsidRPr="0096374E">
        <w:rPr>
          <w:szCs w:val="24"/>
        </w:rPr>
        <w:t xml:space="preserve"> </w:t>
      </w:r>
      <w:r w:rsidR="007466B5">
        <w:rPr>
          <w:szCs w:val="24"/>
        </w:rPr>
        <w:t xml:space="preserve">this is an </w:t>
      </w:r>
      <w:r w:rsidRPr="0096374E">
        <w:rPr>
          <w:szCs w:val="24"/>
        </w:rPr>
        <w:t>average</w:t>
      </w:r>
      <w:r w:rsidR="007466B5">
        <w:rPr>
          <w:szCs w:val="24"/>
        </w:rPr>
        <w:t xml:space="preserve"> of </w:t>
      </w:r>
      <w:r w:rsidRPr="0096374E">
        <w:rPr>
          <w:szCs w:val="24"/>
        </w:rPr>
        <w:t>24 beds per 1000 persons age 65 and above. This is below the State average of 33 beds per 1,000 persons age</w:t>
      </w:r>
      <w:r w:rsidR="00095AA7">
        <w:rPr>
          <w:szCs w:val="24"/>
        </w:rPr>
        <w:t>d</w:t>
      </w:r>
      <w:r w:rsidRPr="0096374E">
        <w:rPr>
          <w:szCs w:val="24"/>
        </w:rPr>
        <w:t xml:space="preserve"> 65 and above. The York County 65 and above population is expected to increase by 63% between 2012 and 2022 and the 85 and above population is expected to increase by 9.5% during the same time period. Only Florida and West Virginia ranked higher than Maine in the percent of population age</w:t>
      </w:r>
      <w:r w:rsidR="00095AA7">
        <w:rPr>
          <w:szCs w:val="24"/>
        </w:rPr>
        <w:t>d</w:t>
      </w:r>
      <w:r w:rsidRPr="0096374E">
        <w:rPr>
          <w:szCs w:val="24"/>
        </w:rPr>
        <w:t xml:space="preserve"> 65 or above. As the population ages there will be an increased demand for nursing home level of care.</w:t>
      </w:r>
    </w:p>
    <w:p w:rsidR="007F066E" w:rsidRPr="0096374E" w:rsidRDefault="007F066E" w:rsidP="00717AE4">
      <w:pPr>
        <w:jc w:val="both"/>
        <w:rPr>
          <w:sz w:val="16"/>
          <w:szCs w:val="16"/>
        </w:rPr>
      </w:pPr>
    </w:p>
    <w:p w:rsidR="007F066E" w:rsidRPr="0096374E" w:rsidRDefault="007F066E" w:rsidP="00717AE4">
      <w:pPr>
        <w:jc w:val="both"/>
        <w:rPr>
          <w:szCs w:val="24"/>
        </w:rPr>
      </w:pPr>
      <w:r w:rsidRPr="0096374E">
        <w:rPr>
          <w:szCs w:val="24"/>
        </w:rPr>
        <w:t xml:space="preserve">This project will substantially address specific health problems as measured by health needs in the area to be served by the project. The applicant states that the new 14 SNF/NF beds will </w:t>
      </w:r>
      <w:r w:rsidR="00B6167A">
        <w:rPr>
          <w:szCs w:val="24"/>
        </w:rPr>
        <w:t xml:space="preserve">have the ability to </w:t>
      </w:r>
      <w:r w:rsidRPr="0096374E">
        <w:rPr>
          <w:szCs w:val="24"/>
        </w:rPr>
        <w:t>admit traditional geriatric rehabilitation patients</w:t>
      </w:r>
      <w:r w:rsidR="00B6167A">
        <w:rPr>
          <w:szCs w:val="24"/>
        </w:rPr>
        <w:t xml:space="preserve"> as well as patients RiverRidge serves currently</w:t>
      </w:r>
      <w:r w:rsidRPr="0096374E">
        <w:rPr>
          <w:szCs w:val="24"/>
        </w:rPr>
        <w:t>.</w:t>
      </w:r>
    </w:p>
    <w:p w:rsidR="007F066E" w:rsidRPr="0096374E" w:rsidRDefault="007F066E" w:rsidP="00717AE4">
      <w:pPr>
        <w:jc w:val="both"/>
        <w:rPr>
          <w:sz w:val="16"/>
          <w:szCs w:val="16"/>
        </w:rPr>
      </w:pPr>
    </w:p>
    <w:p w:rsidR="007F066E" w:rsidRDefault="007F066E" w:rsidP="00717AE4">
      <w:pPr>
        <w:jc w:val="both"/>
        <w:rPr>
          <w:szCs w:val="24"/>
        </w:rPr>
      </w:pPr>
      <w:r w:rsidRPr="0096374E">
        <w:rPr>
          <w:szCs w:val="24"/>
        </w:rPr>
        <w:t xml:space="preserve">There is a demonstrated need for additional SNF/NF services in the area. The RiverRidge facility was specifically designed to provide rehabilitation services for people with brain injuries. The need for high level neurorehabilitation services for patients with </w:t>
      </w:r>
      <w:r w:rsidR="00095AA7">
        <w:rPr>
          <w:szCs w:val="24"/>
        </w:rPr>
        <w:t>a</w:t>
      </w:r>
      <w:r w:rsidRPr="0096374E">
        <w:rPr>
          <w:szCs w:val="24"/>
        </w:rPr>
        <w:t xml:space="preserve">cquired </w:t>
      </w:r>
      <w:r w:rsidR="00095AA7">
        <w:rPr>
          <w:szCs w:val="24"/>
        </w:rPr>
        <w:t>b</w:t>
      </w:r>
      <w:r w:rsidRPr="0096374E">
        <w:rPr>
          <w:szCs w:val="24"/>
        </w:rPr>
        <w:t xml:space="preserve">rain </w:t>
      </w:r>
      <w:r w:rsidR="00095AA7">
        <w:rPr>
          <w:szCs w:val="24"/>
        </w:rPr>
        <w:t>i</w:t>
      </w:r>
      <w:r w:rsidRPr="0096374E">
        <w:rPr>
          <w:szCs w:val="24"/>
        </w:rPr>
        <w:t xml:space="preserve">njuries (ABI) and </w:t>
      </w:r>
      <w:r w:rsidR="00095AA7">
        <w:rPr>
          <w:szCs w:val="24"/>
        </w:rPr>
        <w:t>t</w:t>
      </w:r>
      <w:r w:rsidRPr="0096374E">
        <w:rPr>
          <w:szCs w:val="24"/>
        </w:rPr>
        <w:t xml:space="preserve">raumatic </w:t>
      </w:r>
      <w:r w:rsidR="00095AA7">
        <w:rPr>
          <w:szCs w:val="24"/>
        </w:rPr>
        <w:t>b</w:t>
      </w:r>
      <w:r w:rsidRPr="0096374E">
        <w:rPr>
          <w:szCs w:val="24"/>
        </w:rPr>
        <w:t xml:space="preserve">rain </w:t>
      </w:r>
      <w:r w:rsidR="00095AA7">
        <w:rPr>
          <w:szCs w:val="24"/>
        </w:rPr>
        <w:t>i</w:t>
      </w:r>
      <w:r w:rsidRPr="0096374E">
        <w:rPr>
          <w:szCs w:val="24"/>
        </w:rPr>
        <w:t xml:space="preserve">njuries (TBI) is critical in Maine. The applicant submitted excerpts from the Muskie School of Public Services titled </w:t>
      </w:r>
      <w:r w:rsidRPr="0096374E">
        <w:rPr>
          <w:szCs w:val="24"/>
          <w:u w:val="single"/>
        </w:rPr>
        <w:t xml:space="preserve">Brain Injury in Maine, A Needs Assessment </w:t>
      </w:r>
      <w:r w:rsidRPr="0096374E">
        <w:rPr>
          <w:szCs w:val="24"/>
        </w:rPr>
        <w:t xml:space="preserve">and the </w:t>
      </w:r>
      <w:r w:rsidRPr="0096374E">
        <w:rPr>
          <w:szCs w:val="24"/>
          <w:u w:val="single"/>
        </w:rPr>
        <w:t xml:space="preserve">2013 Annual Report of the Acquired Brain Injury Advisory Council of Maine </w:t>
      </w:r>
      <w:r w:rsidRPr="0096374E">
        <w:rPr>
          <w:szCs w:val="24"/>
        </w:rPr>
        <w:t>demonstrating the extent of brain injuries and the need for treatment nationwide and in the State of Maine. The applicant would have to seek approval for the provision of ABI services in these additional beds from OADS in compliance with provisions of Section 67 of the MaineCare Benefits Manual.</w:t>
      </w:r>
    </w:p>
    <w:p w:rsidR="00253AE4" w:rsidRDefault="00253AE4" w:rsidP="00717AE4">
      <w:pPr>
        <w:jc w:val="both"/>
        <w:rPr>
          <w:szCs w:val="24"/>
        </w:rPr>
      </w:pPr>
    </w:p>
    <w:p w:rsidR="007F066E" w:rsidRDefault="007F066E" w:rsidP="00717AE4">
      <w:pPr>
        <w:jc w:val="both"/>
      </w:pPr>
      <w:r>
        <w:t>The project will have a positive impact on the health status indicators of the population to be served. The applicant described the many services provided by RiverRidge (see Table 2 below). The addition of the new skilled services will decrease healing time and allow patients to return home faster. Providing needed services will have a positive impact on health status indicators.</w:t>
      </w:r>
    </w:p>
    <w:p w:rsidR="007F066E" w:rsidRPr="001074B3" w:rsidRDefault="007F066E" w:rsidP="00717AE4">
      <w:pPr>
        <w:jc w:val="both"/>
        <w:rPr>
          <w:sz w:val="18"/>
          <w:szCs w:val="18"/>
        </w:rPr>
      </w:pPr>
    </w:p>
    <w:p w:rsidR="007F066E" w:rsidRPr="000B2381" w:rsidRDefault="007F066E" w:rsidP="00717AE4">
      <w:pPr>
        <w:jc w:val="both"/>
        <w:rPr>
          <w:b/>
        </w:rPr>
      </w:pPr>
      <w:r w:rsidRPr="000B2381">
        <w:rPr>
          <w:b/>
        </w:rPr>
        <w:t>Table 2 Summary of Proposed Services</w:t>
      </w:r>
    </w:p>
    <w:p w:rsidR="007F066E" w:rsidRPr="001074B3" w:rsidRDefault="007F066E" w:rsidP="00717AE4">
      <w:pPr>
        <w:jc w:val="both"/>
        <w:rPr>
          <w:sz w:val="18"/>
          <w:szCs w:val="18"/>
        </w:rPr>
      </w:pPr>
    </w:p>
    <w:tbl>
      <w:tblPr>
        <w:tblStyle w:val="TableGrid"/>
        <w:tblW w:w="9334" w:type="dxa"/>
        <w:jc w:val="center"/>
        <w:tblInd w:w="-503" w:type="dxa"/>
        <w:tblLook w:val="04A0" w:firstRow="1" w:lastRow="0" w:firstColumn="1" w:lastColumn="0" w:noHBand="0" w:noVBand="1"/>
      </w:tblPr>
      <w:tblGrid>
        <w:gridCol w:w="2588"/>
        <w:gridCol w:w="1281"/>
        <w:gridCol w:w="5465"/>
      </w:tblGrid>
      <w:tr w:rsidR="007F066E" w:rsidTr="00717AE4">
        <w:trPr>
          <w:trHeight w:val="845"/>
          <w:jc w:val="center"/>
        </w:trPr>
        <w:tc>
          <w:tcPr>
            <w:tcW w:w="2588" w:type="dxa"/>
          </w:tcPr>
          <w:p w:rsidR="007F066E" w:rsidRDefault="007F066E" w:rsidP="00717AE4">
            <w:r>
              <w:t>Mousam River Unit</w:t>
            </w:r>
          </w:p>
        </w:tc>
        <w:tc>
          <w:tcPr>
            <w:tcW w:w="1281" w:type="dxa"/>
          </w:tcPr>
          <w:p w:rsidR="007F066E" w:rsidRDefault="007F066E" w:rsidP="00717AE4">
            <w:pPr>
              <w:jc w:val="center"/>
            </w:pPr>
            <w:r>
              <w:t>24 Beds</w:t>
            </w:r>
          </w:p>
        </w:tc>
        <w:tc>
          <w:tcPr>
            <w:tcW w:w="5465" w:type="dxa"/>
          </w:tcPr>
          <w:p w:rsidR="007F066E" w:rsidRDefault="007F066E" w:rsidP="00B6167A">
            <w:pPr>
              <w:ind w:right="-133"/>
            </w:pPr>
            <w:r>
              <w:t>Neurorehabilitation services, skilled nursing, rehabilitation services, recreational therapy, neuropsychological services</w:t>
            </w:r>
          </w:p>
        </w:tc>
      </w:tr>
      <w:tr w:rsidR="007F066E" w:rsidTr="00717AE4">
        <w:trPr>
          <w:trHeight w:val="530"/>
          <w:jc w:val="center"/>
        </w:trPr>
        <w:tc>
          <w:tcPr>
            <w:tcW w:w="2588" w:type="dxa"/>
          </w:tcPr>
          <w:p w:rsidR="007F066E" w:rsidRDefault="007F066E" w:rsidP="00717AE4">
            <w:r>
              <w:t>Kennebunk River Unit</w:t>
            </w:r>
          </w:p>
        </w:tc>
        <w:tc>
          <w:tcPr>
            <w:tcW w:w="1281" w:type="dxa"/>
          </w:tcPr>
          <w:p w:rsidR="007F066E" w:rsidRDefault="007F066E" w:rsidP="00717AE4">
            <w:pPr>
              <w:jc w:val="center"/>
            </w:pPr>
            <w:r>
              <w:t>24 Beds</w:t>
            </w:r>
          </w:p>
        </w:tc>
        <w:tc>
          <w:tcPr>
            <w:tcW w:w="5465" w:type="dxa"/>
          </w:tcPr>
          <w:p w:rsidR="007F066E" w:rsidRDefault="007F066E" w:rsidP="00717AE4">
            <w:pPr>
              <w:ind w:right="-133"/>
            </w:pPr>
            <w:r>
              <w:t>Geriatric long term care services and long term care brain injury services.</w:t>
            </w:r>
          </w:p>
        </w:tc>
      </w:tr>
      <w:tr w:rsidR="007F066E" w:rsidTr="00717AE4">
        <w:trPr>
          <w:trHeight w:val="863"/>
          <w:jc w:val="center"/>
        </w:trPr>
        <w:tc>
          <w:tcPr>
            <w:tcW w:w="2588" w:type="dxa"/>
          </w:tcPr>
          <w:p w:rsidR="007F066E" w:rsidRDefault="007F066E" w:rsidP="00717AE4">
            <w:r>
              <w:t>Saco River Unit</w:t>
            </w:r>
          </w:p>
        </w:tc>
        <w:tc>
          <w:tcPr>
            <w:tcW w:w="1281" w:type="dxa"/>
          </w:tcPr>
          <w:p w:rsidR="007F066E" w:rsidRDefault="007F066E" w:rsidP="00717AE4">
            <w:pPr>
              <w:jc w:val="center"/>
            </w:pPr>
            <w:r>
              <w:t>14 Beds</w:t>
            </w:r>
          </w:p>
        </w:tc>
        <w:tc>
          <w:tcPr>
            <w:tcW w:w="5465" w:type="dxa"/>
          </w:tcPr>
          <w:p w:rsidR="007F066E" w:rsidRDefault="007F066E" w:rsidP="00717AE4">
            <w:pPr>
              <w:ind w:right="-133"/>
            </w:pPr>
            <w:r>
              <w:t xml:space="preserve">Rehabilitation services for </w:t>
            </w:r>
            <w:r w:rsidR="00095AA7">
              <w:t>s</w:t>
            </w:r>
            <w:r>
              <w:t>troke patients,</w:t>
            </w:r>
          </w:p>
          <w:p w:rsidR="007F066E" w:rsidRDefault="007F066E" w:rsidP="00095AA7">
            <w:pPr>
              <w:ind w:right="-133"/>
            </w:pPr>
            <w:r>
              <w:t xml:space="preserve">ABI patients, and </w:t>
            </w:r>
            <w:r w:rsidR="00095AA7">
              <w:t>s</w:t>
            </w:r>
            <w:r>
              <w:t xml:space="preserve">pinal </w:t>
            </w:r>
            <w:r w:rsidR="00095AA7">
              <w:t>c</w:t>
            </w:r>
            <w:r>
              <w:t xml:space="preserve">ord </w:t>
            </w:r>
            <w:r w:rsidR="00095AA7">
              <w:t>i</w:t>
            </w:r>
            <w:r>
              <w:t>njury patients as well as traditional geriatric services.</w:t>
            </w:r>
          </w:p>
        </w:tc>
      </w:tr>
    </w:tbl>
    <w:p w:rsidR="007F066E" w:rsidRPr="001074B3" w:rsidRDefault="007F066E" w:rsidP="00717AE4">
      <w:pPr>
        <w:jc w:val="both"/>
        <w:rPr>
          <w:sz w:val="18"/>
          <w:szCs w:val="18"/>
        </w:rPr>
      </w:pPr>
    </w:p>
    <w:p w:rsidR="007F066E" w:rsidRDefault="007F066E" w:rsidP="00717AE4">
      <w:pPr>
        <w:jc w:val="both"/>
      </w:pPr>
      <w:r>
        <w:t>The applicant will offer the services affected by the project to all residents of the area proposed to be served and therefore will ensure accessibility of the service.</w:t>
      </w:r>
    </w:p>
    <w:p w:rsidR="007F066E" w:rsidRPr="001074B3" w:rsidRDefault="007F066E" w:rsidP="00717AE4">
      <w:pPr>
        <w:jc w:val="both"/>
        <w:rPr>
          <w:sz w:val="18"/>
          <w:szCs w:val="18"/>
        </w:rPr>
      </w:pPr>
    </w:p>
    <w:p w:rsidR="007F066E" w:rsidRDefault="007F066E" w:rsidP="00717AE4">
      <w:pPr>
        <w:jc w:val="both"/>
      </w:pPr>
      <w:r>
        <w:t>The project will provide demonstrable improvements in the outcome measures for patients that require skilled services, ABI and TBI services.</w:t>
      </w:r>
    </w:p>
    <w:p w:rsidR="007F066E" w:rsidRPr="001074B3" w:rsidRDefault="007F066E" w:rsidP="00717AE4">
      <w:pPr>
        <w:jc w:val="both"/>
        <w:rPr>
          <w:sz w:val="18"/>
          <w:szCs w:val="18"/>
        </w:rPr>
      </w:pPr>
    </w:p>
    <w:p w:rsidR="00341E03" w:rsidRDefault="00341E03" w:rsidP="00717AE4">
      <w:pPr>
        <w:autoSpaceDE w:val="0"/>
        <w:autoSpaceDN w:val="0"/>
        <w:adjustRightInd w:val="0"/>
        <w:jc w:val="both"/>
      </w:pPr>
      <w:r w:rsidRPr="005264A7">
        <w:t xml:space="preserve">There are timing issues associated with the approval of the 1915C Medicaid Waiver and the implementation of a transition and discharge plan for residents who will need to be relocated to a home and community based setting. The following condition is necessary to ensure that current residents of the 16 bed RC unit at </w:t>
      </w:r>
      <w:proofErr w:type="spellStart"/>
      <w:r w:rsidRPr="005264A7">
        <w:t>RiverRidge</w:t>
      </w:r>
      <w:proofErr w:type="spellEnd"/>
      <w:r w:rsidRPr="005264A7">
        <w:t xml:space="preserve"> have no disruption in neurorehabiliation services.</w:t>
      </w:r>
    </w:p>
    <w:p w:rsidR="00341E03" w:rsidRDefault="00341E03" w:rsidP="00717AE4">
      <w:pPr>
        <w:autoSpaceDE w:val="0"/>
        <w:autoSpaceDN w:val="0"/>
        <w:adjustRightInd w:val="0"/>
        <w:jc w:val="both"/>
      </w:pPr>
    </w:p>
    <w:p w:rsidR="00341E03" w:rsidRPr="005264A7" w:rsidRDefault="00341E03" w:rsidP="00717AE4">
      <w:pPr>
        <w:autoSpaceDE w:val="0"/>
        <w:autoSpaceDN w:val="0"/>
        <w:adjustRightInd w:val="0"/>
        <w:jc w:val="both"/>
      </w:pPr>
      <w:r w:rsidRPr="005264A7">
        <w:rPr>
          <w:b/>
        </w:rPr>
        <w:t xml:space="preserve">Condition: </w:t>
      </w:r>
      <w:r w:rsidRPr="005264A7">
        <w:t xml:space="preserve">This certificate of need approval will not be valid until each resident needing to relocate from the 16 bed RC unit at </w:t>
      </w:r>
      <w:proofErr w:type="spellStart"/>
      <w:r w:rsidRPr="005264A7">
        <w:t>RiverRidge</w:t>
      </w:r>
      <w:proofErr w:type="spellEnd"/>
      <w:r w:rsidRPr="005264A7">
        <w:t xml:space="preserve"> has a placement in a home and community based setting and the 1915C Medicaid Waiver has received CMS approval.</w:t>
      </w:r>
    </w:p>
    <w:p w:rsidR="00E53BD1" w:rsidRPr="007D4799" w:rsidRDefault="00E53BD1" w:rsidP="00717AE4">
      <w:pPr>
        <w:jc w:val="both"/>
        <w:rPr>
          <w:sz w:val="16"/>
          <w:szCs w:val="16"/>
        </w:rPr>
      </w:pPr>
    </w:p>
    <w:p w:rsidR="00895516" w:rsidRDefault="00895516" w:rsidP="0037147A">
      <w:pPr>
        <w:numPr>
          <w:ilvl w:val="0"/>
          <w:numId w:val="1"/>
        </w:numPr>
        <w:ind w:hanging="360"/>
        <w:rPr>
          <w:b/>
          <w:szCs w:val="24"/>
        </w:rPr>
        <w:sectPr w:rsidR="00895516" w:rsidSect="00A70970">
          <w:footerReference w:type="default" r:id="rId18"/>
          <w:headerReference w:type="first" r:id="rId19"/>
          <w:footerReference w:type="first" r:id="rId20"/>
          <w:footnotePr>
            <w:numRestart w:val="eachSect"/>
          </w:footnotePr>
          <w:pgSz w:w="12240" w:h="15840" w:code="1"/>
          <w:pgMar w:top="900" w:right="1440" w:bottom="720" w:left="1440" w:header="720" w:footer="720" w:gutter="0"/>
          <w:pgNumType w:start="2"/>
          <w:cols w:space="720"/>
          <w:titlePg/>
          <w:docGrid w:linePitch="326"/>
        </w:sectPr>
      </w:pPr>
    </w:p>
    <w:p w:rsidR="00B92D52" w:rsidRPr="005E2E11" w:rsidRDefault="00B92D52" w:rsidP="0037147A">
      <w:pPr>
        <w:numPr>
          <w:ilvl w:val="0"/>
          <w:numId w:val="1"/>
        </w:numPr>
        <w:ind w:hanging="360"/>
        <w:rPr>
          <w:b/>
          <w:szCs w:val="24"/>
        </w:rPr>
      </w:pPr>
      <w:r w:rsidRPr="005E2E11">
        <w:rPr>
          <w:b/>
          <w:szCs w:val="24"/>
        </w:rPr>
        <w:t>Orderly and Economic Development:</w:t>
      </w:r>
    </w:p>
    <w:p w:rsidR="00B92D52" w:rsidRPr="00895516" w:rsidRDefault="00B92D52" w:rsidP="00717AE4">
      <w:pPr>
        <w:jc w:val="both"/>
        <w:rPr>
          <w:szCs w:val="24"/>
        </w:rPr>
      </w:pPr>
    </w:p>
    <w:p w:rsidR="007F066E" w:rsidRPr="0019690A" w:rsidRDefault="007F066E" w:rsidP="00717AE4">
      <w:pPr>
        <w:jc w:val="both"/>
      </w:pPr>
      <w:r>
        <w:t xml:space="preserve">The decision </w:t>
      </w:r>
      <w:r w:rsidRPr="0019690A">
        <w:t xml:space="preserve">to increase </w:t>
      </w:r>
      <w:proofErr w:type="spellStart"/>
      <w:r>
        <w:t>RiverRidge’s</w:t>
      </w:r>
      <w:proofErr w:type="spellEnd"/>
      <w:r>
        <w:t xml:space="preserve"> SNF/</w:t>
      </w:r>
      <w:r w:rsidRPr="0019690A">
        <w:t xml:space="preserve">NF bed capacity </w:t>
      </w:r>
      <w:r>
        <w:t xml:space="preserve">by 14 beds and close the 16 bed RC ABI unit was made in response to proposed regulatory changes </w:t>
      </w:r>
      <w:r w:rsidRPr="0019690A">
        <w:t xml:space="preserve">from </w:t>
      </w:r>
      <w:r>
        <w:t>the Department of Health and Human Services (1915C Waiver application) and a need for additional SNF/NF services in the York County area. T</w:t>
      </w:r>
      <w:r w:rsidRPr="0019690A">
        <w:t>he change in service will improve patients’ access to choice and limit restrictions of service caused by the lack of available beds in the area.</w:t>
      </w:r>
    </w:p>
    <w:p w:rsidR="007F066E" w:rsidRPr="00895516" w:rsidRDefault="007F066E" w:rsidP="00717AE4">
      <w:pPr>
        <w:jc w:val="both"/>
        <w:rPr>
          <w:szCs w:val="24"/>
        </w:rPr>
      </w:pPr>
    </w:p>
    <w:p w:rsidR="007F066E" w:rsidRPr="0019690A" w:rsidRDefault="007F066E" w:rsidP="00717AE4">
      <w:pPr>
        <w:jc w:val="both"/>
      </w:pPr>
      <w:r w:rsidRPr="0019690A">
        <w:t>The increased allowable operating costs of $1,</w:t>
      </w:r>
      <w:r>
        <w:t>315,230</w:t>
      </w:r>
      <w:r w:rsidRPr="0019690A">
        <w:t xml:space="preserve"> will be offset by </w:t>
      </w:r>
      <w:r>
        <w:t>a source of MaineCare revenue</w:t>
      </w:r>
      <w:r w:rsidR="00095AA7">
        <w:t>,</w:t>
      </w:r>
      <w:r w:rsidRPr="0019690A">
        <w:t xml:space="preserve"> which will make the project MaineCare neutral. This project will result in no increased costs to th</w:t>
      </w:r>
      <w:r>
        <w:t xml:space="preserve">e Maine health care system. </w:t>
      </w:r>
      <w:r w:rsidRPr="0019690A">
        <w:t xml:space="preserve">Since total health care expenditures are zero </w:t>
      </w:r>
      <w:r w:rsidR="00B6167A">
        <w:t>due</w:t>
      </w:r>
      <w:r w:rsidRPr="0019690A">
        <w:t xml:space="preserve"> to the MaineCare neutrality provisions, this project will not impact the availability of </w:t>
      </w:r>
      <w:r>
        <w:t>State funding for other providers in the area.</w:t>
      </w:r>
    </w:p>
    <w:p w:rsidR="007F066E" w:rsidRPr="00895516" w:rsidRDefault="007F066E" w:rsidP="00717AE4">
      <w:pPr>
        <w:jc w:val="both"/>
        <w:rPr>
          <w:szCs w:val="24"/>
        </w:rPr>
      </w:pPr>
    </w:p>
    <w:p w:rsidR="007466B5" w:rsidRDefault="007F066E" w:rsidP="007466B5">
      <w:pPr>
        <w:jc w:val="both"/>
      </w:pPr>
      <w:r w:rsidRPr="0019690A">
        <w:t>This project will not increase total healthcare costs</w:t>
      </w:r>
      <w:r w:rsidR="00095AA7">
        <w:t>,</w:t>
      </w:r>
      <w:r w:rsidRPr="0019690A">
        <w:t xml:space="preserve"> therefore </w:t>
      </w:r>
      <w:r>
        <w:t>additiona</w:t>
      </w:r>
      <w:r w:rsidR="007466B5">
        <w:t>l State funding is not required.</w:t>
      </w:r>
      <w:r w:rsidR="007466B5" w:rsidRPr="007466B5">
        <w:t xml:space="preserve"> </w:t>
      </w:r>
    </w:p>
    <w:p w:rsidR="007466B5" w:rsidRPr="00895516" w:rsidRDefault="007466B5" w:rsidP="007466B5">
      <w:pPr>
        <w:jc w:val="both"/>
        <w:rPr>
          <w:szCs w:val="24"/>
        </w:rPr>
      </w:pPr>
    </w:p>
    <w:p w:rsidR="007466B5" w:rsidRDefault="007466B5" w:rsidP="007466B5">
      <w:pPr>
        <w:jc w:val="both"/>
      </w:pPr>
      <w:r w:rsidRPr="0019690A">
        <w:t xml:space="preserve">The applicant states that </w:t>
      </w:r>
      <w:r>
        <w:t>the 14 new NF/SNF beds will be used to expand RiverRidge’s skilled rehabilitation program. The focus will be on providing rehabilitative care</w:t>
      </w:r>
      <w:r w:rsidRPr="0019690A">
        <w:t xml:space="preserve">. This aids in transitioning </w:t>
      </w:r>
      <w:r>
        <w:t>patients</w:t>
      </w:r>
      <w:r w:rsidRPr="0019690A">
        <w:t xml:space="preserve"> back to their own homes. This is in contrast to a more institutional model of care where</w:t>
      </w:r>
      <w:r>
        <w:t>by</w:t>
      </w:r>
      <w:r w:rsidRPr="0019690A">
        <w:t xml:space="preserve"> seniors remain in a long term care facility for what ca</w:t>
      </w:r>
      <w:r>
        <w:t>n be lengthy and costly stays.</w:t>
      </w:r>
    </w:p>
    <w:p w:rsidR="007466B5" w:rsidRPr="00895516" w:rsidRDefault="007466B5" w:rsidP="007466B5">
      <w:pPr>
        <w:jc w:val="both"/>
        <w:rPr>
          <w:szCs w:val="24"/>
        </w:rPr>
      </w:pPr>
    </w:p>
    <w:p w:rsidR="007466B5" w:rsidRPr="0019690A" w:rsidRDefault="007466B5" w:rsidP="007466B5">
      <w:pPr>
        <w:jc w:val="both"/>
      </w:pPr>
      <w:r w:rsidRPr="0019690A">
        <w:t xml:space="preserve">The proposed services are the most effective and accessible </w:t>
      </w:r>
      <w:r>
        <w:t xml:space="preserve">delivery model for rehabilitative care </w:t>
      </w:r>
      <w:r w:rsidRPr="0019690A">
        <w:t>available at this time.</w:t>
      </w:r>
    </w:p>
    <w:p w:rsidR="007466B5" w:rsidRPr="00895516" w:rsidRDefault="007466B5" w:rsidP="00717AE4">
      <w:pPr>
        <w:jc w:val="both"/>
        <w:rPr>
          <w:szCs w:val="24"/>
        </w:rPr>
      </w:pPr>
    </w:p>
    <w:p w:rsidR="007466B5" w:rsidRPr="005E2E11" w:rsidRDefault="007466B5" w:rsidP="0037147A">
      <w:pPr>
        <w:numPr>
          <w:ilvl w:val="0"/>
          <w:numId w:val="1"/>
        </w:numPr>
        <w:ind w:hanging="360"/>
        <w:rPr>
          <w:b/>
          <w:szCs w:val="24"/>
        </w:rPr>
      </w:pPr>
      <w:r w:rsidRPr="005E2E11">
        <w:rPr>
          <w:b/>
          <w:szCs w:val="24"/>
        </w:rPr>
        <w:t>Outcomes and Community Impact:</w:t>
      </w:r>
    </w:p>
    <w:p w:rsidR="007466B5" w:rsidRPr="00895516" w:rsidRDefault="007466B5" w:rsidP="007466B5">
      <w:pPr>
        <w:rPr>
          <w:szCs w:val="24"/>
        </w:rPr>
      </w:pPr>
    </w:p>
    <w:p w:rsidR="0096374E" w:rsidRDefault="007466B5" w:rsidP="00717AE4">
      <w:pPr>
        <w:jc w:val="both"/>
      </w:pPr>
      <w:r w:rsidRPr="0019690A">
        <w:t xml:space="preserve">The addition of </w:t>
      </w:r>
      <w:r>
        <w:t>14</w:t>
      </w:r>
      <w:r w:rsidRPr="0019690A">
        <w:t xml:space="preserve"> </w:t>
      </w:r>
      <w:r>
        <w:t xml:space="preserve">SNF/NF </w:t>
      </w:r>
      <w:r w:rsidRPr="0019690A">
        <w:t>beds</w:t>
      </w:r>
      <w:r>
        <w:t>, focusing on rehabilitative services,</w:t>
      </w:r>
      <w:r w:rsidRPr="0019690A">
        <w:t xml:space="preserve"> in the </w:t>
      </w:r>
      <w:r>
        <w:t>York</w:t>
      </w:r>
      <w:r w:rsidRPr="0019690A">
        <w:t xml:space="preserve"> County area will have a positive effect on the quality of care delivered</w:t>
      </w:r>
      <w:r>
        <w:t xml:space="preserve">. </w:t>
      </w:r>
      <w:r w:rsidRPr="0019690A">
        <w:t>Se</w:t>
      </w:r>
      <w:r>
        <w:t xml:space="preserve">niors needing SNF/NF care will </w:t>
      </w:r>
      <w:r w:rsidRPr="0019690A">
        <w:t>have a greater likelihood of fin</w:t>
      </w:r>
      <w:r>
        <w:t>ding the services offered</w:t>
      </w:r>
      <w:r w:rsidRPr="0019690A">
        <w:t xml:space="preserve"> in the area </w:t>
      </w:r>
      <w:r>
        <w:t xml:space="preserve">in which </w:t>
      </w:r>
      <w:r w:rsidRPr="0019690A">
        <w:t xml:space="preserve">they reside. </w:t>
      </w:r>
      <w:r>
        <w:t>Rehabilitative services increase the likelihood that patients completing appropriate sub-acute rehabilitation will end up returning home and/or to community-based services rather than placed in a costly long-term care setting.</w:t>
      </w:r>
      <w:r w:rsidRPr="0019690A">
        <w:t xml:space="preserve"> </w:t>
      </w:r>
      <w:r>
        <w:t>This reintroduction of a patient into the at-large community is consistent with the goals of the department and national trends of extending home-based services.</w:t>
      </w:r>
    </w:p>
    <w:p w:rsidR="00241EF3" w:rsidRPr="00895516" w:rsidRDefault="00241EF3" w:rsidP="00717AE4">
      <w:pPr>
        <w:jc w:val="both"/>
        <w:rPr>
          <w:szCs w:val="24"/>
        </w:rPr>
      </w:pPr>
    </w:p>
    <w:p w:rsidR="00895516" w:rsidRDefault="007F066E" w:rsidP="00895516">
      <w:pPr>
        <w:jc w:val="both"/>
      </w:pPr>
      <w:r>
        <w:t xml:space="preserve">The increase of 14 SNF/NF beds in the York County area equates to a 1.9% increase. Given the demographics of York County there will be a greater need for SNF/NF beds in the near future. The </w:t>
      </w:r>
      <w:r w:rsidR="0096374E">
        <w:t>level of occupancy of other providers in the region indicates</w:t>
      </w:r>
      <w:r>
        <w:t xml:space="preserve"> an average occupancy exceeding 90%. In addition</w:t>
      </w:r>
      <w:r w:rsidR="00095AA7">
        <w:t>,</w:t>
      </w:r>
      <w:r>
        <w:t xml:space="preserve"> </w:t>
      </w:r>
      <w:proofErr w:type="spellStart"/>
      <w:r>
        <w:t>RiverRidge’s</w:t>
      </w:r>
      <w:proofErr w:type="spellEnd"/>
      <w:r>
        <w:t xml:space="preserve"> specialized focus on sub-acute rehabilitation services for the elderly and brain injured patient serves a specialized niche in the area. This increase in beds will not negatively affect the quality of care delivered by existing service providers.</w:t>
      </w:r>
    </w:p>
    <w:p w:rsidR="00895516" w:rsidRDefault="00895516" w:rsidP="00895516">
      <w:pPr>
        <w:jc w:val="both"/>
      </w:pPr>
    </w:p>
    <w:p w:rsidR="00544CAB" w:rsidRPr="00241EF3" w:rsidRDefault="00274279" w:rsidP="00895516">
      <w:pPr>
        <w:ind w:firstLine="720"/>
        <w:jc w:val="both"/>
        <w:rPr>
          <w:b/>
          <w:szCs w:val="24"/>
        </w:rPr>
      </w:pPr>
      <w:r w:rsidRPr="00241EF3">
        <w:rPr>
          <w:b/>
          <w:szCs w:val="24"/>
        </w:rPr>
        <w:t>f)</w:t>
      </w:r>
      <w:r w:rsidR="007D4799" w:rsidRPr="00241EF3">
        <w:rPr>
          <w:szCs w:val="24"/>
        </w:rPr>
        <w:tab/>
      </w:r>
      <w:r w:rsidR="00544CAB" w:rsidRPr="00241EF3">
        <w:rPr>
          <w:b/>
          <w:szCs w:val="24"/>
        </w:rPr>
        <w:t>Service Utilization:</w:t>
      </w:r>
    </w:p>
    <w:p w:rsidR="00A104BB" w:rsidRPr="00241EF3" w:rsidRDefault="00A104BB" w:rsidP="00B308C5">
      <w:pPr>
        <w:rPr>
          <w:b/>
          <w:szCs w:val="24"/>
        </w:rPr>
      </w:pPr>
    </w:p>
    <w:p w:rsidR="00E2087D" w:rsidRPr="00241EF3" w:rsidRDefault="00A56B6E" w:rsidP="00895516">
      <w:pPr>
        <w:jc w:val="both"/>
        <w:rPr>
          <w:szCs w:val="24"/>
        </w:rPr>
      </w:pPr>
      <w:r w:rsidRPr="00241EF3">
        <w:rPr>
          <w:szCs w:val="24"/>
        </w:rPr>
        <w:t>The Maine Quality Forum has not adopted any principles of evidence-based medicine directly applicable to the application; therefore this application meets the standard for this determination.</w:t>
      </w:r>
    </w:p>
    <w:p w:rsidR="00895516" w:rsidRDefault="00895516" w:rsidP="00274279">
      <w:pPr>
        <w:tabs>
          <w:tab w:val="left" w:pos="1170"/>
        </w:tabs>
        <w:ind w:left="1080" w:hanging="360"/>
        <w:rPr>
          <w:b/>
          <w:szCs w:val="24"/>
        </w:rPr>
        <w:sectPr w:rsidR="00895516" w:rsidSect="00A70970">
          <w:footerReference w:type="first" r:id="rId21"/>
          <w:footnotePr>
            <w:numRestart w:val="eachSect"/>
          </w:footnotePr>
          <w:pgSz w:w="12240" w:h="15840" w:code="1"/>
          <w:pgMar w:top="900" w:right="1440" w:bottom="720" w:left="1440" w:header="720" w:footer="720" w:gutter="0"/>
          <w:pgNumType w:start="2"/>
          <w:cols w:space="720"/>
          <w:titlePg/>
          <w:docGrid w:linePitch="326"/>
        </w:sectPr>
      </w:pPr>
    </w:p>
    <w:p w:rsidR="00A56B6E" w:rsidRPr="00241EF3" w:rsidRDefault="00895516" w:rsidP="00895516">
      <w:pPr>
        <w:tabs>
          <w:tab w:val="left" w:pos="1440"/>
        </w:tabs>
        <w:ind w:left="1440" w:hanging="720"/>
        <w:rPr>
          <w:b/>
          <w:szCs w:val="24"/>
        </w:rPr>
      </w:pPr>
      <w:r>
        <w:rPr>
          <w:b/>
          <w:szCs w:val="24"/>
        </w:rPr>
        <w:t>g)</w:t>
      </w:r>
      <w:r>
        <w:rPr>
          <w:b/>
          <w:szCs w:val="24"/>
        </w:rPr>
        <w:tab/>
      </w:r>
      <w:r w:rsidR="00A56B6E" w:rsidRPr="00241EF3">
        <w:rPr>
          <w:b/>
          <w:szCs w:val="24"/>
        </w:rPr>
        <w:t>Consistency with MaineCare F</w:t>
      </w:r>
      <w:r w:rsidR="00253AE4">
        <w:rPr>
          <w:b/>
          <w:szCs w:val="24"/>
        </w:rPr>
        <w:t>unding Pool and 333-A and 334-A:</w:t>
      </w:r>
    </w:p>
    <w:p w:rsidR="00A56B6E" w:rsidRPr="00241EF3" w:rsidRDefault="00A56B6E" w:rsidP="00A56B6E">
      <w:pPr>
        <w:pStyle w:val="ListParagraph"/>
        <w:ind w:left="1080"/>
        <w:rPr>
          <w:b/>
          <w:szCs w:val="24"/>
        </w:rPr>
      </w:pPr>
    </w:p>
    <w:p w:rsidR="00A56B6E" w:rsidRPr="00241EF3" w:rsidRDefault="00A56B6E" w:rsidP="00A56B6E">
      <w:pPr>
        <w:jc w:val="both"/>
        <w:rPr>
          <w:szCs w:val="24"/>
        </w:rPr>
      </w:pPr>
      <w:r w:rsidRPr="00241EF3">
        <w:rPr>
          <w:szCs w:val="24"/>
        </w:rPr>
        <w:t>The resources available for the project are listed in Table 1: Sources and Uses of MaineCare Funding. The applicant identified two sources of revenue for offsetting the project’s annual expenses.</w:t>
      </w:r>
    </w:p>
    <w:p w:rsidR="00A56B6E" w:rsidRPr="00241EF3" w:rsidRDefault="00A56B6E" w:rsidP="00A56B6E">
      <w:pPr>
        <w:jc w:val="both"/>
        <w:rPr>
          <w:szCs w:val="24"/>
        </w:rPr>
      </w:pPr>
    </w:p>
    <w:p w:rsidR="00A56B6E" w:rsidRPr="00241EF3" w:rsidRDefault="00A56B6E" w:rsidP="00A56B6E">
      <w:pPr>
        <w:jc w:val="both"/>
        <w:rPr>
          <w:b/>
          <w:szCs w:val="24"/>
        </w:rPr>
      </w:pPr>
      <w:r w:rsidRPr="00241EF3">
        <w:rPr>
          <w:b/>
          <w:szCs w:val="24"/>
        </w:rPr>
        <w:t>Table 1: Sources and Uses of MaineCare Funding:</w:t>
      </w:r>
    </w:p>
    <w:p w:rsidR="00A56B6E" w:rsidRPr="00241EF3" w:rsidRDefault="00A56B6E" w:rsidP="00A56B6E">
      <w:pPr>
        <w:jc w:val="both"/>
        <w:rPr>
          <w:szCs w:val="24"/>
        </w:rPr>
      </w:pPr>
    </w:p>
    <w:tbl>
      <w:tblPr>
        <w:tblStyle w:val="TableGrid"/>
        <w:tblW w:w="9360" w:type="dxa"/>
        <w:jc w:val="center"/>
        <w:tblInd w:w="648" w:type="dxa"/>
        <w:tblLayout w:type="fixed"/>
        <w:tblLook w:val="04A0" w:firstRow="1" w:lastRow="0" w:firstColumn="1" w:lastColumn="0" w:noHBand="0" w:noVBand="1"/>
      </w:tblPr>
      <w:tblGrid>
        <w:gridCol w:w="1350"/>
        <w:gridCol w:w="2880"/>
        <w:gridCol w:w="1080"/>
        <w:gridCol w:w="1350"/>
        <w:gridCol w:w="1350"/>
        <w:gridCol w:w="1350"/>
      </w:tblGrid>
      <w:tr w:rsidR="00A56B6E" w:rsidRPr="00241EF3" w:rsidTr="00983F4F">
        <w:trPr>
          <w:jc w:val="center"/>
        </w:trPr>
        <w:tc>
          <w:tcPr>
            <w:tcW w:w="1350" w:type="dxa"/>
            <w:tcBorders>
              <w:bottom w:val="single" w:sz="4" w:space="0" w:color="auto"/>
            </w:tcBorders>
          </w:tcPr>
          <w:p w:rsidR="00A56B6E" w:rsidRPr="00241EF3" w:rsidRDefault="00A56B6E" w:rsidP="00983F4F">
            <w:pPr>
              <w:jc w:val="center"/>
              <w:rPr>
                <w:b/>
                <w:szCs w:val="24"/>
              </w:rPr>
            </w:pPr>
            <w:r w:rsidRPr="00241EF3">
              <w:rPr>
                <w:b/>
                <w:szCs w:val="24"/>
              </w:rPr>
              <w:t>Source</w:t>
            </w:r>
          </w:p>
        </w:tc>
        <w:tc>
          <w:tcPr>
            <w:tcW w:w="2880" w:type="dxa"/>
          </w:tcPr>
          <w:p w:rsidR="00A56B6E" w:rsidRPr="00241EF3" w:rsidRDefault="00A56B6E" w:rsidP="00983F4F">
            <w:pPr>
              <w:jc w:val="center"/>
              <w:rPr>
                <w:b/>
                <w:szCs w:val="24"/>
              </w:rPr>
            </w:pPr>
            <w:r w:rsidRPr="00241EF3">
              <w:rPr>
                <w:b/>
                <w:szCs w:val="24"/>
              </w:rPr>
              <w:t>Facility</w:t>
            </w:r>
          </w:p>
        </w:tc>
        <w:tc>
          <w:tcPr>
            <w:tcW w:w="1080" w:type="dxa"/>
          </w:tcPr>
          <w:p w:rsidR="00A56B6E" w:rsidRPr="00241EF3" w:rsidRDefault="00A56B6E" w:rsidP="00983F4F">
            <w:pPr>
              <w:jc w:val="center"/>
              <w:rPr>
                <w:b/>
                <w:szCs w:val="24"/>
              </w:rPr>
            </w:pPr>
            <w:r w:rsidRPr="00241EF3">
              <w:rPr>
                <w:b/>
                <w:szCs w:val="24"/>
              </w:rPr>
              <w:t># of Beds</w:t>
            </w:r>
          </w:p>
        </w:tc>
        <w:tc>
          <w:tcPr>
            <w:tcW w:w="1350" w:type="dxa"/>
          </w:tcPr>
          <w:p w:rsidR="00A56B6E" w:rsidRPr="00241EF3" w:rsidRDefault="00A56B6E" w:rsidP="00983F4F">
            <w:pPr>
              <w:jc w:val="center"/>
              <w:rPr>
                <w:b/>
                <w:szCs w:val="24"/>
              </w:rPr>
            </w:pPr>
            <w:r w:rsidRPr="00241EF3">
              <w:rPr>
                <w:b/>
                <w:szCs w:val="24"/>
              </w:rPr>
              <w:t>$ Value</w:t>
            </w:r>
          </w:p>
        </w:tc>
        <w:tc>
          <w:tcPr>
            <w:tcW w:w="1350" w:type="dxa"/>
          </w:tcPr>
          <w:p w:rsidR="00A56B6E" w:rsidRPr="00241EF3" w:rsidRDefault="00A56B6E" w:rsidP="00983F4F">
            <w:pPr>
              <w:jc w:val="center"/>
              <w:rPr>
                <w:b/>
                <w:szCs w:val="24"/>
              </w:rPr>
            </w:pPr>
            <w:r w:rsidRPr="00241EF3">
              <w:rPr>
                <w:b/>
                <w:szCs w:val="24"/>
              </w:rPr>
              <w:t>Allocated Beds</w:t>
            </w:r>
          </w:p>
        </w:tc>
        <w:tc>
          <w:tcPr>
            <w:tcW w:w="1350" w:type="dxa"/>
          </w:tcPr>
          <w:p w:rsidR="00A56B6E" w:rsidRPr="00241EF3" w:rsidRDefault="00A56B6E" w:rsidP="00983F4F">
            <w:pPr>
              <w:jc w:val="center"/>
              <w:rPr>
                <w:b/>
                <w:szCs w:val="24"/>
              </w:rPr>
            </w:pPr>
            <w:r w:rsidRPr="00241EF3">
              <w:rPr>
                <w:b/>
                <w:szCs w:val="24"/>
              </w:rPr>
              <w:t>$ Value</w:t>
            </w:r>
          </w:p>
        </w:tc>
      </w:tr>
      <w:tr w:rsidR="00A56B6E" w:rsidRPr="00241EF3" w:rsidTr="00983F4F">
        <w:trPr>
          <w:jc w:val="center"/>
        </w:trPr>
        <w:tc>
          <w:tcPr>
            <w:tcW w:w="1350" w:type="dxa"/>
            <w:tcBorders>
              <w:bottom w:val="nil"/>
            </w:tcBorders>
          </w:tcPr>
          <w:p w:rsidR="00A56B6E" w:rsidRPr="00241EF3" w:rsidRDefault="00A56B6E" w:rsidP="00983F4F">
            <w:pPr>
              <w:jc w:val="center"/>
              <w:rPr>
                <w:szCs w:val="24"/>
              </w:rPr>
            </w:pPr>
          </w:p>
        </w:tc>
        <w:tc>
          <w:tcPr>
            <w:tcW w:w="2880" w:type="dxa"/>
          </w:tcPr>
          <w:p w:rsidR="00A56B6E" w:rsidRPr="00241EF3" w:rsidRDefault="00A56B6E" w:rsidP="00ED53EC">
            <w:pPr>
              <w:rPr>
                <w:szCs w:val="24"/>
              </w:rPr>
            </w:pPr>
            <w:r w:rsidRPr="00241EF3">
              <w:rPr>
                <w:szCs w:val="24"/>
              </w:rPr>
              <w:t>RiverRidge Center RC</w:t>
            </w:r>
          </w:p>
        </w:tc>
        <w:tc>
          <w:tcPr>
            <w:tcW w:w="1080" w:type="dxa"/>
          </w:tcPr>
          <w:p w:rsidR="00A56B6E" w:rsidRPr="00241EF3" w:rsidRDefault="00A56B6E" w:rsidP="00983F4F">
            <w:pPr>
              <w:jc w:val="center"/>
              <w:rPr>
                <w:szCs w:val="24"/>
              </w:rPr>
            </w:pPr>
            <w:r w:rsidRPr="00241EF3">
              <w:rPr>
                <w:szCs w:val="24"/>
              </w:rPr>
              <w:t>16</w:t>
            </w:r>
          </w:p>
        </w:tc>
        <w:tc>
          <w:tcPr>
            <w:tcW w:w="1350" w:type="dxa"/>
          </w:tcPr>
          <w:p w:rsidR="00A56B6E" w:rsidRPr="00241EF3" w:rsidRDefault="00A56B6E" w:rsidP="00983F4F">
            <w:pPr>
              <w:jc w:val="right"/>
              <w:rPr>
                <w:szCs w:val="24"/>
              </w:rPr>
            </w:pPr>
            <w:r w:rsidRPr="00241EF3">
              <w:rPr>
                <w:szCs w:val="24"/>
              </w:rPr>
              <w:t>$993,203</w:t>
            </w:r>
          </w:p>
        </w:tc>
        <w:tc>
          <w:tcPr>
            <w:tcW w:w="1350" w:type="dxa"/>
          </w:tcPr>
          <w:p w:rsidR="00A56B6E" w:rsidRPr="00241EF3" w:rsidRDefault="00A56B6E" w:rsidP="00983F4F">
            <w:pPr>
              <w:jc w:val="center"/>
              <w:rPr>
                <w:szCs w:val="24"/>
              </w:rPr>
            </w:pPr>
            <w:r w:rsidRPr="00241EF3">
              <w:rPr>
                <w:szCs w:val="24"/>
              </w:rPr>
              <w:t>16</w:t>
            </w:r>
          </w:p>
        </w:tc>
        <w:tc>
          <w:tcPr>
            <w:tcW w:w="1350" w:type="dxa"/>
          </w:tcPr>
          <w:p w:rsidR="00A56B6E" w:rsidRPr="00241EF3" w:rsidRDefault="00A56B6E" w:rsidP="00983F4F">
            <w:pPr>
              <w:jc w:val="right"/>
              <w:rPr>
                <w:szCs w:val="24"/>
              </w:rPr>
            </w:pPr>
            <w:r w:rsidRPr="00241EF3">
              <w:rPr>
                <w:szCs w:val="24"/>
              </w:rPr>
              <w:t>$993,203</w:t>
            </w:r>
          </w:p>
        </w:tc>
      </w:tr>
      <w:tr w:rsidR="00A56B6E" w:rsidRPr="00241EF3" w:rsidTr="00983F4F">
        <w:trPr>
          <w:jc w:val="center"/>
        </w:trPr>
        <w:tc>
          <w:tcPr>
            <w:tcW w:w="1350" w:type="dxa"/>
            <w:tcBorders>
              <w:top w:val="nil"/>
              <w:bottom w:val="nil"/>
            </w:tcBorders>
          </w:tcPr>
          <w:p w:rsidR="00A56B6E" w:rsidRPr="00241EF3" w:rsidRDefault="00A56B6E" w:rsidP="00983F4F">
            <w:pPr>
              <w:jc w:val="center"/>
              <w:rPr>
                <w:szCs w:val="24"/>
              </w:rPr>
            </w:pPr>
          </w:p>
        </w:tc>
        <w:tc>
          <w:tcPr>
            <w:tcW w:w="2880" w:type="dxa"/>
          </w:tcPr>
          <w:p w:rsidR="00A56B6E" w:rsidRPr="00241EF3" w:rsidRDefault="00A56B6E" w:rsidP="00983F4F">
            <w:pPr>
              <w:rPr>
                <w:szCs w:val="24"/>
              </w:rPr>
            </w:pPr>
            <w:r w:rsidRPr="00241EF3">
              <w:rPr>
                <w:szCs w:val="24"/>
              </w:rPr>
              <w:t>Windward Gardens</w:t>
            </w:r>
          </w:p>
        </w:tc>
        <w:tc>
          <w:tcPr>
            <w:tcW w:w="1080" w:type="dxa"/>
          </w:tcPr>
          <w:p w:rsidR="00A56B6E" w:rsidRPr="00241EF3" w:rsidRDefault="00A56B6E" w:rsidP="00983F4F">
            <w:pPr>
              <w:jc w:val="center"/>
              <w:rPr>
                <w:szCs w:val="24"/>
              </w:rPr>
            </w:pPr>
            <w:r w:rsidRPr="00241EF3">
              <w:rPr>
                <w:szCs w:val="24"/>
              </w:rPr>
              <w:t>5</w:t>
            </w:r>
          </w:p>
        </w:tc>
        <w:tc>
          <w:tcPr>
            <w:tcW w:w="1350" w:type="dxa"/>
          </w:tcPr>
          <w:p w:rsidR="00A56B6E" w:rsidRPr="00241EF3" w:rsidRDefault="00A56B6E" w:rsidP="00983F4F">
            <w:pPr>
              <w:jc w:val="right"/>
              <w:rPr>
                <w:szCs w:val="24"/>
              </w:rPr>
            </w:pPr>
            <w:r w:rsidRPr="00241EF3">
              <w:rPr>
                <w:szCs w:val="24"/>
              </w:rPr>
              <w:t>$353,685</w:t>
            </w:r>
          </w:p>
        </w:tc>
        <w:tc>
          <w:tcPr>
            <w:tcW w:w="1350" w:type="dxa"/>
          </w:tcPr>
          <w:p w:rsidR="00A56B6E" w:rsidRPr="00241EF3" w:rsidRDefault="00A56B6E" w:rsidP="00983F4F">
            <w:pPr>
              <w:jc w:val="center"/>
              <w:rPr>
                <w:szCs w:val="24"/>
              </w:rPr>
            </w:pPr>
            <w:r w:rsidRPr="00241EF3">
              <w:rPr>
                <w:szCs w:val="24"/>
              </w:rPr>
              <w:t>5</w:t>
            </w:r>
          </w:p>
        </w:tc>
        <w:tc>
          <w:tcPr>
            <w:tcW w:w="1350" w:type="dxa"/>
          </w:tcPr>
          <w:p w:rsidR="00A56B6E" w:rsidRPr="00241EF3" w:rsidRDefault="00A56B6E" w:rsidP="00983F4F">
            <w:pPr>
              <w:jc w:val="right"/>
              <w:rPr>
                <w:szCs w:val="24"/>
              </w:rPr>
            </w:pPr>
            <w:r w:rsidRPr="00241EF3">
              <w:rPr>
                <w:szCs w:val="24"/>
              </w:rPr>
              <w:t>$353,685</w:t>
            </w:r>
          </w:p>
        </w:tc>
      </w:tr>
      <w:tr w:rsidR="00A56B6E" w:rsidRPr="00241EF3" w:rsidTr="00983F4F">
        <w:trPr>
          <w:jc w:val="center"/>
        </w:trPr>
        <w:tc>
          <w:tcPr>
            <w:tcW w:w="1350" w:type="dxa"/>
            <w:tcBorders>
              <w:top w:val="nil"/>
            </w:tcBorders>
          </w:tcPr>
          <w:p w:rsidR="00A56B6E" w:rsidRPr="00241EF3" w:rsidRDefault="00A56B6E" w:rsidP="00983F4F">
            <w:pPr>
              <w:jc w:val="center"/>
              <w:rPr>
                <w:b/>
                <w:szCs w:val="24"/>
              </w:rPr>
            </w:pPr>
          </w:p>
        </w:tc>
        <w:tc>
          <w:tcPr>
            <w:tcW w:w="2880" w:type="dxa"/>
            <w:tcBorders>
              <w:bottom w:val="single" w:sz="4" w:space="0" w:color="auto"/>
            </w:tcBorders>
          </w:tcPr>
          <w:p w:rsidR="00A56B6E" w:rsidRPr="00241EF3" w:rsidRDefault="00A56B6E" w:rsidP="00983F4F">
            <w:pPr>
              <w:jc w:val="center"/>
              <w:rPr>
                <w:b/>
                <w:szCs w:val="24"/>
              </w:rPr>
            </w:pPr>
            <w:r w:rsidRPr="00241EF3">
              <w:rPr>
                <w:b/>
                <w:szCs w:val="24"/>
              </w:rPr>
              <w:t>Total</w:t>
            </w:r>
          </w:p>
        </w:tc>
        <w:tc>
          <w:tcPr>
            <w:tcW w:w="1080" w:type="dxa"/>
            <w:tcBorders>
              <w:bottom w:val="single" w:sz="4" w:space="0" w:color="auto"/>
            </w:tcBorders>
          </w:tcPr>
          <w:p w:rsidR="00A56B6E" w:rsidRPr="00241EF3" w:rsidRDefault="00A56B6E" w:rsidP="00983F4F">
            <w:pPr>
              <w:jc w:val="center"/>
              <w:rPr>
                <w:b/>
                <w:szCs w:val="24"/>
              </w:rPr>
            </w:pPr>
            <w:r w:rsidRPr="00241EF3">
              <w:rPr>
                <w:b/>
                <w:szCs w:val="24"/>
              </w:rPr>
              <w:t>21</w:t>
            </w:r>
          </w:p>
        </w:tc>
        <w:tc>
          <w:tcPr>
            <w:tcW w:w="1350" w:type="dxa"/>
            <w:tcBorders>
              <w:bottom w:val="single" w:sz="4" w:space="0" w:color="auto"/>
            </w:tcBorders>
          </w:tcPr>
          <w:p w:rsidR="00A56B6E" w:rsidRPr="00241EF3" w:rsidRDefault="00A56B6E" w:rsidP="00983F4F">
            <w:pPr>
              <w:jc w:val="right"/>
              <w:rPr>
                <w:b/>
                <w:szCs w:val="24"/>
              </w:rPr>
            </w:pPr>
            <w:r w:rsidRPr="00241EF3">
              <w:rPr>
                <w:b/>
                <w:szCs w:val="24"/>
              </w:rPr>
              <w:t>$1,346,888</w:t>
            </w:r>
          </w:p>
        </w:tc>
        <w:tc>
          <w:tcPr>
            <w:tcW w:w="1350" w:type="dxa"/>
            <w:tcBorders>
              <w:bottom w:val="single" w:sz="4" w:space="0" w:color="auto"/>
            </w:tcBorders>
          </w:tcPr>
          <w:p w:rsidR="00A56B6E" w:rsidRPr="00241EF3" w:rsidRDefault="00A56B6E" w:rsidP="00983F4F">
            <w:pPr>
              <w:jc w:val="center"/>
              <w:rPr>
                <w:b/>
                <w:szCs w:val="24"/>
              </w:rPr>
            </w:pPr>
            <w:r w:rsidRPr="00241EF3">
              <w:rPr>
                <w:b/>
                <w:szCs w:val="24"/>
              </w:rPr>
              <w:t>21</w:t>
            </w:r>
          </w:p>
        </w:tc>
        <w:tc>
          <w:tcPr>
            <w:tcW w:w="1350" w:type="dxa"/>
            <w:tcBorders>
              <w:bottom w:val="single" w:sz="4" w:space="0" w:color="auto"/>
            </w:tcBorders>
          </w:tcPr>
          <w:p w:rsidR="00A56B6E" w:rsidRPr="00241EF3" w:rsidRDefault="00A56B6E" w:rsidP="00983F4F">
            <w:pPr>
              <w:jc w:val="right"/>
              <w:rPr>
                <w:b/>
                <w:szCs w:val="24"/>
              </w:rPr>
            </w:pPr>
            <w:r w:rsidRPr="00241EF3">
              <w:rPr>
                <w:b/>
                <w:szCs w:val="24"/>
              </w:rPr>
              <w:t>$1,346,888</w:t>
            </w:r>
          </w:p>
        </w:tc>
      </w:tr>
      <w:tr w:rsidR="00A56B6E" w:rsidRPr="00241EF3" w:rsidTr="00983F4F">
        <w:trPr>
          <w:jc w:val="center"/>
        </w:trPr>
        <w:tc>
          <w:tcPr>
            <w:tcW w:w="1350" w:type="dxa"/>
            <w:tcBorders>
              <w:bottom w:val="nil"/>
            </w:tcBorders>
          </w:tcPr>
          <w:p w:rsidR="00A56B6E" w:rsidRPr="00241EF3" w:rsidRDefault="00A56B6E" w:rsidP="00983F4F">
            <w:pPr>
              <w:jc w:val="center"/>
              <w:rPr>
                <w:b/>
                <w:szCs w:val="24"/>
              </w:rPr>
            </w:pPr>
          </w:p>
        </w:tc>
        <w:tc>
          <w:tcPr>
            <w:tcW w:w="2880" w:type="dxa"/>
            <w:tcBorders>
              <w:right w:val="nil"/>
            </w:tcBorders>
          </w:tcPr>
          <w:p w:rsidR="00A56B6E" w:rsidRPr="00241EF3" w:rsidRDefault="00A56B6E" w:rsidP="00983F4F">
            <w:pPr>
              <w:rPr>
                <w:b/>
                <w:szCs w:val="24"/>
              </w:rPr>
            </w:pPr>
          </w:p>
        </w:tc>
        <w:tc>
          <w:tcPr>
            <w:tcW w:w="1080" w:type="dxa"/>
            <w:tcBorders>
              <w:left w:val="nil"/>
              <w:right w:val="nil"/>
            </w:tcBorders>
          </w:tcPr>
          <w:p w:rsidR="00A56B6E" w:rsidRPr="00241EF3" w:rsidRDefault="00A56B6E" w:rsidP="00983F4F">
            <w:pPr>
              <w:jc w:val="center"/>
              <w:rPr>
                <w:b/>
                <w:szCs w:val="24"/>
              </w:rPr>
            </w:pPr>
          </w:p>
        </w:tc>
        <w:tc>
          <w:tcPr>
            <w:tcW w:w="1350" w:type="dxa"/>
            <w:tcBorders>
              <w:left w:val="nil"/>
              <w:right w:val="nil"/>
            </w:tcBorders>
          </w:tcPr>
          <w:p w:rsidR="00A56B6E" w:rsidRPr="00241EF3" w:rsidRDefault="00A56B6E" w:rsidP="00983F4F">
            <w:pPr>
              <w:jc w:val="right"/>
              <w:rPr>
                <w:b/>
                <w:szCs w:val="24"/>
              </w:rPr>
            </w:pPr>
          </w:p>
        </w:tc>
        <w:tc>
          <w:tcPr>
            <w:tcW w:w="1350" w:type="dxa"/>
            <w:tcBorders>
              <w:left w:val="nil"/>
              <w:right w:val="nil"/>
            </w:tcBorders>
          </w:tcPr>
          <w:p w:rsidR="00A56B6E" w:rsidRPr="00241EF3" w:rsidRDefault="00A56B6E" w:rsidP="00983F4F">
            <w:pPr>
              <w:jc w:val="center"/>
              <w:rPr>
                <w:b/>
                <w:szCs w:val="24"/>
              </w:rPr>
            </w:pPr>
          </w:p>
        </w:tc>
        <w:tc>
          <w:tcPr>
            <w:tcW w:w="1350" w:type="dxa"/>
            <w:tcBorders>
              <w:left w:val="nil"/>
            </w:tcBorders>
          </w:tcPr>
          <w:p w:rsidR="00A56B6E" w:rsidRPr="00241EF3" w:rsidRDefault="00A56B6E" w:rsidP="00983F4F">
            <w:pPr>
              <w:jc w:val="right"/>
              <w:rPr>
                <w:b/>
                <w:szCs w:val="24"/>
              </w:rPr>
            </w:pPr>
          </w:p>
        </w:tc>
      </w:tr>
      <w:tr w:rsidR="00A56B6E" w:rsidRPr="00241EF3" w:rsidTr="00983F4F">
        <w:trPr>
          <w:trHeight w:val="143"/>
          <w:jc w:val="center"/>
        </w:trPr>
        <w:tc>
          <w:tcPr>
            <w:tcW w:w="1350" w:type="dxa"/>
            <w:tcBorders>
              <w:top w:val="nil"/>
              <w:bottom w:val="single" w:sz="4" w:space="0" w:color="auto"/>
            </w:tcBorders>
          </w:tcPr>
          <w:p w:rsidR="00A56B6E" w:rsidRPr="00241EF3" w:rsidRDefault="00A56B6E" w:rsidP="00983F4F">
            <w:pPr>
              <w:jc w:val="center"/>
              <w:rPr>
                <w:b/>
                <w:szCs w:val="24"/>
              </w:rPr>
            </w:pPr>
            <w:r w:rsidRPr="00241EF3">
              <w:rPr>
                <w:b/>
                <w:szCs w:val="24"/>
              </w:rPr>
              <w:t>Use</w:t>
            </w:r>
          </w:p>
        </w:tc>
        <w:tc>
          <w:tcPr>
            <w:tcW w:w="2880" w:type="dxa"/>
            <w:tcBorders>
              <w:bottom w:val="single" w:sz="4" w:space="0" w:color="auto"/>
            </w:tcBorders>
          </w:tcPr>
          <w:p w:rsidR="00A56B6E" w:rsidRPr="00241EF3" w:rsidRDefault="00A56B6E" w:rsidP="00ED53EC">
            <w:pPr>
              <w:rPr>
                <w:szCs w:val="24"/>
              </w:rPr>
            </w:pPr>
            <w:r w:rsidRPr="00241EF3">
              <w:rPr>
                <w:szCs w:val="24"/>
              </w:rPr>
              <w:t>RiverRidge SNF/NF</w:t>
            </w:r>
          </w:p>
        </w:tc>
        <w:tc>
          <w:tcPr>
            <w:tcW w:w="1080" w:type="dxa"/>
            <w:tcBorders>
              <w:bottom w:val="single" w:sz="4" w:space="0" w:color="auto"/>
            </w:tcBorders>
          </w:tcPr>
          <w:p w:rsidR="00A56B6E" w:rsidRPr="00241EF3" w:rsidRDefault="00A56B6E" w:rsidP="00983F4F">
            <w:pPr>
              <w:jc w:val="center"/>
              <w:rPr>
                <w:szCs w:val="24"/>
              </w:rPr>
            </w:pPr>
            <w:r w:rsidRPr="00241EF3">
              <w:rPr>
                <w:szCs w:val="24"/>
              </w:rPr>
              <w:t>14</w:t>
            </w:r>
          </w:p>
        </w:tc>
        <w:tc>
          <w:tcPr>
            <w:tcW w:w="1350" w:type="dxa"/>
            <w:tcBorders>
              <w:bottom w:val="single" w:sz="4" w:space="0" w:color="auto"/>
            </w:tcBorders>
          </w:tcPr>
          <w:p w:rsidR="00A56B6E" w:rsidRPr="00241EF3" w:rsidRDefault="00A56B6E" w:rsidP="00983F4F">
            <w:pPr>
              <w:jc w:val="right"/>
              <w:rPr>
                <w:szCs w:val="24"/>
              </w:rPr>
            </w:pPr>
            <w:r w:rsidRPr="00241EF3">
              <w:rPr>
                <w:szCs w:val="24"/>
              </w:rPr>
              <w:t>$1,315,230</w:t>
            </w:r>
          </w:p>
        </w:tc>
        <w:tc>
          <w:tcPr>
            <w:tcW w:w="1350" w:type="dxa"/>
            <w:tcBorders>
              <w:bottom w:val="single" w:sz="4" w:space="0" w:color="auto"/>
            </w:tcBorders>
          </w:tcPr>
          <w:p w:rsidR="00A56B6E" w:rsidRPr="00241EF3" w:rsidRDefault="00A56B6E" w:rsidP="00983F4F">
            <w:pPr>
              <w:jc w:val="center"/>
              <w:rPr>
                <w:szCs w:val="24"/>
              </w:rPr>
            </w:pPr>
            <w:r w:rsidRPr="00241EF3">
              <w:rPr>
                <w:szCs w:val="24"/>
              </w:rPr>
              <w:t>14</w:t>
            </w:r>
          </w:p>
        </w:tc>
        <w:tc>
          <w:tcPr>
            <w:tcW w:w="1350" w:type="dxa"/>
            <w:tcBorders>
              <w:bottom w:val="single" w:sz="4" w:space="0" w:color="auto"/>
            </w:tcBorders>
          </w:tcPr>
          <w:p w:rsidR="00A56B6E" w:rsidRPr="00241EF3" w:rsidRDefault="00A56B6E" w:rsidP="00983F4F">
            <w:pPr>
              <w:jc w:val="right"/>
              <w:rPr>
                <w:szCs w:val="24"/>
              </w:rPr>
            </w:pPr>
            <w:r w:rsidRPr="00241EF3">
              <w:rPr>
                <w:szCs w:val="24"/>
              </w:rPr>
              <w:t>$1,315,230</w:t>
            </w:r>
          </w:p>
        </w:tc>
      </w:tr>
      <w:tr w:rsidR="00A56B6E" w:rsidRPr="00241EF3" w:rsidTr="00983F4F">
        <w:trPr>
          <w:trHeight w:val="368"/>
          <w:jc w:val="center"/>
        </w:trPr>
        <w:tc>
          <w:tcPr>
            <w:tcW w:w="1350" w:type="dxa"/>
          </w:tcPr>
          <w:p w:rsidR="00A56B6E" w:rsidRPr="00241EF3" w:rsidRDefault="00A56B6E" w:rsidP="00983F4F">
            <w:pPr>
              <w:jc w:val="center"/>
              <w:rPr>
                <w:b/>
                <w:szCs w:val="24"/>
              </w:rPr>
            </w:pPr>
            <w:r w:rsidRPr="00241EF3">
              <w:rPr>
                <w:b/>
                <w:szCs w:val="24"/>
              </w:rPr>
              <w:t>Excess Resources</w:t>
            </w:r>
          </w:p>
        </w:tc>
        <w:tc>
          <w:tcPr>
            <w:tcW w:w="2880" w:type="dxa"/>
          </w:tcPr>
          <w:p w:rsidR="00A56B6E" w:rsidRPr="00241EF3" w:rsidRDefault="00A56B6E" w:rsidP="00983F4F">
            <w:pPr>
              <w:rPr>
                <w:szCs w:val="24"/>
              </w:rPr>
            </w:pPr>
          </w:p>
        </w:tc>
        <w:tc>
          <w:tcPr>
            <w:tcW w:w="1080" w:type="dxa"/>
          </w:tcPr>
          <w:p w:rsidR="00A56B6E" w:rsidRPr="00241EF3" w:rsidRDefault="00A56B6E" w:rsidP="00983F4F">
            <w:pPr>
              <w:jc w:val="center"/>
              <w:rPr>
                <w:szCs w:val="24"/>
              </w:rPr>
            </w:pPr>
            <w:r w:rsidRPr="00241EF3">
              <w:rPr>
                <w:szCs w:val="24"/>
              </w:rPr>
              <w:t>7</w:t>
            </w:r>
          </w:p>
        </w:tc>
        <w:tc>
          <w:tcPr>
            <w:tcW w:w="1350" w:type="dxa"/>
          </w:tcPr>
          <w:p w:rsidR="00A56B6E" w:rsidRPr="00241EF3" w:rsidRDefault="00A56B6E" w:rsidP="00983F4F">
            <w:pPr>
              <w:jc w:val="right"/>
              <w:rPr>
                <w:szCs w:val="24"/>
              </w:rPr>
            </w:pPr>
            <w:r w:rsidRPr="00241EF3">
              <w:rPr>
                <w:szCs w:val="24"/>
              </w:rPr>
              <w:t>$31,658</w:t>
            </w:r>
          </w:p>
        </w:tc>
        <w:tc>
          <w:tcPr>
            <w:tcW w:w="1350" w:type="dxa"/>
          </w:tcPr>
          <w:p w:rsidR="00A56B6E" w:rsidRPr="00241EF3" w:rsidRDefault="00A56B6E" w:rsidP="00983F4F">
            <w:pPr>
              <w:jc w:val="center"/>
              <w:rPr>
                <w:szCs w:val="24"/>
              </w:rPr>
            </w:pPr>
          </w:p>
        </w:tc>
        <w:tc>
          <w:tcPr>
            <w:tcW w:w="1350" w:type="dxa"/>
          </w:tcPr>
          <w:p w:rsidR="00A56B6E" w:rsidRPr="00241EF3" w:rsidRDefault="00A56B6E" w:rsidP="00983F4F">
            <w:pPr>
              <w:jc w:val="right"/>
              <w:rPr>
                <w:szCs w:val="24"/>
              </w:rPr>
            </w:pPr>
            <w:r w:rsidRPr="00241EF3">
              <w:rPr>
                <w:szCs w:val="24"/>
              </w:rPr>
              <w:t>$31,658</w:t>
            </w:r>
          </w:p>
        </w:tc>
      </w:tr>
    </w:tbl>
    <w:p w:rsidR="007466B5" w:rsidRPr="00241EF3" w:rsidRDefault="007466B5" w:rsidP="007466B5">
      <w:pPr>
        <w:jc w:val="both"/>
        <w:rPr>
          <w:szCs w:val="24"/>
        </w:rPr>
      </w:pPr>
    </w:p>
    <w:p w:rsidR="007466B5" w:rsidRPr="00241EF3" w:rsidRDefault="007466B5" w:rsidP="007466B5">
      <w:pPr>
        <w:jc w:val="both"/>
        <w:rPr>
          <w:szCs w:val="24"/>
        </w:rPr>
      </w:pPr>
      <w:r w:rsidRPr="00241EF3">
        <w:rPr>
          <w:szCs w:val="24"/>
        </w:rPr>
        <w:t>The chart indicates that the revenue stream from 21 beds would offset the potential costs of the 14 new SNF/NF beds. The value of the revenue stream is $1,346,888. The expected costs to the MaineCare program are calculated to be $1,315,230. The excess, $31,568, in resources from the transaction would be placed in the MaineCare Nursing Facility Funding Pool.</w:t>
      </w:r>
    </w:p>
    <w:p w:rsidR="007466B5" w:rsidRPr="00241EF3" w:rsidRDefault="007466B5" w:rsidP="007466B5">
      <w:pPr>
        <w:jc w:val="both"/>
        <w:rPr>
          <w:szCs w:val="24"/>
        </w:rPr>
      </w:pPr>
    </w:p>
    <w:p w:rsidR="007466B5" w:rsidRPr="00241EF3" w:rsidRDefault="007466B5" w:rsidP="007466B5">
      <w:pPr>
        <w:jc w:val="both"/>
        <w:rPr>
          <w:szCs w:val="24"/>
        </w:rPr>
      </w:pPr>
      <w:r w:rsidRPr="00241EF3">
        <w:rPr>
          <w:szCs w:val="24"/>
        </w:rPr>
        <w:t>No funding is utilized from the MaineCare funding pool.</w:t>
      </w:r>
    </w:p>
    <w:p w:rsidR="007466B5" w:rsidRPr="00241EF3" w:rsidRDefault="007466B5" w:rsidP="00A56B6E">
      <w:pPr>
        <w:jc w:val="both"/>
        <w:rPr>
          <w:szCs w:val="24"/>
        </w:rPr>
      </w:pPr>
    </w:p>
    <w:p w:rsidR="007466B5" w:rsidRPr="00241EF3" w:rsidRDefault="007466B5" w:rsidP="007466B5">
      <w:pPr>
        <w:rPr>
          <w:szCs w:val="24"/>
        </w:rPr>
      </w:pPr>
      <w:r w:rsidRPr="00241EF3">
        <w:rPr>
          <w:b/>
          <w:szCs w:val="24"/>
        </w:rPr>
        <w:t>VI. CONCLUSION:</w:t>
      </w:r>
    </w:p>
    <w:p w:rsidR="007466B5" w:rsidRPr="00241EF3" w:rsidRDefault="007466B5" w:rsidP="007466B5">
      <w:pPr>
        <w:rPr>
          <w:b/>
          <w:szCs w:val="24"/>
        </w:rPr>
      </w:pPr>
    </w:p>
    <w:p w:rsidR="007466B5" w:rsidRPr="00241EF3" w:rsidRDefault="007466B5" w:rsidP="007466B5">
      <w:pPr>
        <w:jc w:val="both"/>
        <w:rPr>
          <w:szCs w:val="24"/>
        </w:rPr>
      </w:pPr>
      <w:r w:rsidRPr="00241EF3">
        <w:rPr>
          <w:szCs w:val="24"/>
        </w:rPr>
        <w:t>For all the reasons set forth in the Preliminary Analysis and in the record, CONU concludes that the review criteria have been satisfied. CONU recommends the approval of the CON.</w:t>
      </w:r>
    </w:p>
    <w:p w:rsidR="007466B5" w:rsidRPr="00241EF3" w:rsidRDefault="007466B5" w:rsidP="007466B5">
      <w:pPr>
        <w:rPr>
          <w:b/>
          <w:szCs w:val="24"/>
        </w:rPr>
      </w:pPr>
    </w:p>
    <w:p w:rsidR="007466B5" w:rsidRPr="00241EF3" w:rsidRDefault="007466B5" w:rsidP="007466B5">
      <w:pPr>
        <w:pStyle w:val="Intro"/>
        <w:spacing w:before="0" w:line="240" w:lineRule="auto"/>
        <w:ind w:left="0" w:firstLine="0"/>
        <w:rPr>
          <w:b/>
          <w:szCs w:val="24"/>
        </w:rPr>
      </w:pPr>
      <w:r w:rsidRPr="00241EF3">
        <w:rPr>
          <w:b/>
          <w:szCs w:val="24"/>
        </w:rPr>
        <w:t>VII. RECOMMENDATION:</w:t>
      </w:r>
    </w:p>
    <w:p w:rsidR="007466B5" w:rsidRPr="00241EF3" w:rsidRDefault="007466B5" w:rsidP="007466B5">
      <w:pPr>
        <w:rPr>
          <w:b/>
          <w:szCs w:val="24"/>
        </w:rPr>
      </w:pPr>
    </w:p>
    <w:p w:rsidR="007466B5" w:rsidRPr="00241EF3" w:rsidRDefault="007466B5" w:rsidP="007466B5">
      <w:pPr>
        <w:rPr>
          <w:b/>
          <w:szCs w:val="24"/>
        </w:rPr>
      </w:pPr>
      <w:r w:rsidRPr="00241EF3">
        <w:rPr>
          <w:szCs w:val="24"/>
        </w:rPr>
        <w:t xml:space="preserve">CONU recommends that this application be </w:t>
      </w:r>
      <w:r w:rsidRPr="00241EF3">
        <w:rPr>
          <w:b/>
          <w:szCs w:val="24"/>
        </w:rPr>
        <w:t>Approved with the following condition.</w:t>
      </w:r>
    </w:p>
    <w:p w:rsidR="007466B5" w:rsidRPr="00241EF3" w:rsidRDefault="007466B5" w:rsidP="007466B5">
      <w:pPr>
        <w:rPr>
          <w:b/>
          <w:szCs w:val="24"/>
        </w:rPr>
      </w:pPr>
    </w:p>
    <w:p w:rsidR="00A56B6E" w:rsidRPr="00241EF3" w:rsidRDefault="007466B5" w:rsidP="00895516">
      <w:pPr>
        <w:jc w:val="both"/>
        <w:rPr>
          <w:szCs w:val="24"/>
        </w:rPr>
      </w:pPr>
      <w:r w:rsidRPr="00241EF3">
        <w:rPr>
          <w:b/>
          <w:szCs w:val="24"/>
        </w:rPr>
        <w:t xml:space="preserve">Condition: </w:t>
      </w:r>
      <w:r w:rsidRPr="00241EF3">
        <w:rPr>
          <w:szCs w:val="24"/>
        </w:rPr>
        <w:t xml:space="preserve">This certificate of need approval will not be valid until each resident needing to relocate from the 16 bed RC unit at </w:t>
      </w:r>
      <w:proofErr w:type="spellStart"/>
      <w:r w:rsidRPr="00241EF3">
        <w:rPr>
          <w:szCs w:val="24"/>
        </w:rPr>
        <w:t>RiverRidge</w:t>
      </w:r>
      <w:proofErr w:type="spellEnd"/>
      <w:r w:rsidRPr="00241EF3">
        <w:rPr>
          <w:szCs w:val="24"/>
        </w:rPr>
        <w:t xml:space="preserve"> has a placement in a home and community based setting and the 1915C Medicaid Wa</w:t>
      </w:r>
      <w:r w:rsidR="00253AE4">
        <w:rPr>
          <w:szCs w:val="24"/>
        </w:rPr>
        <w:t>iver has received CMS approval.</w:t>
      </w:r>
    </w:p>
    <w:sectPr w:rsidR="00A56B6E" w:rsidRPr="00241EF3" w:rsidSect="00A70970">
      <w:headerReference w:type="first" r:id="rId22"/>
      <w:footerReference w:type="first" r:id="rId23"/>
      <w:footnotePr>
        <w:numRestart w:val="eachSect"/>
      </w:footnotePr>
      <w:pgSz w:w="12240" w:h="15840" w:code="1"/>
      <w:pgMar w:top="900" w:right="1440" w:bottom="72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11" w:rsidRDefault="00047011">
      <w:r>
        <w:separator/>
      </w:r>
    </w:p>
  </w:endnote>
  <w:endnote w:type="continuationSeparator" w:id="0">
    <w:p w:rsidR="00047011" w:rsidRDefault="0004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70" w:rsidRDefault="00A70970">
    <w:pPr>
      <w:pStyle w:val="Footer"/>
      <w:jc w:val="center"/>
    </w:pPr>
  </w:p>
  <w:p w:rsidR="00A70970" w:rsidRDefault="00A70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16520"/>
      <w:docPartObj>
        <w:docPartGallery w:val="Page Numbers (Bottom of Page)"/>
        <w:docPartUnique/>
      </w:docPartObj>
    </w:sdtPr>
    <w:sdtEndPr/>
    <w:sdtContent>
      <w:sdt>
        <w:sdtPr>
          <w:id w:val="629824658"/>
          <w:docPartObj>
            <w:docPartGallery w:val="Page Numbers (Top of Page)"/>
            <w:docPartUnique/>
          </w:docPartObj>
        </w:sdtPr>
        <w:sdtEndPr/>
        <w:sdtContent>
          <w:p w:rsidR="0037147A" w:rsidRDefault="0037147A" w:rsidP="0037147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95516">
              <w:rPr>
                <w:b/>
                <w:bCs/>
                <w:noProof/>
              </w:rPr>
              <w:t>3</w:t>
            </w:r>
            <w:r>
              <w:rPr>
                <w:b/>
                <w:bCs/>
                <w:szCs w:val="24"/>
              </w:rPr>
              <w:fldChar w:fldCharType="end"/>
            </w:r>
            <w:r>
              <w:t xml:space="preserve"> of </w:t>
            </w:r>
            <w:r>
              <w:rPr>
                <w:b/>
                <w:bCs/>
                <w:szCs w:val="24"/>
              </w:rPr>
              <w:t>7</w:t>
            </w:r>
          </w:p>
        </w:sdtContent>
      </w:sdt>
    </w:sdtContent>
  </w:sdt>
  <w:p w:rsidR="0037147A" w:rsidRDefault="0037147A" w:rsidP="0037147A">
    <w:pPr>
      <w:pStyle w:val="Footer"/>
    </w:pPr>
  </w:p>
  <w:p w:rsidR="0037147A" w:rsidRDefault="00371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79761"/>
      <w:docPartObj>
        <w:docPartGallery w:val="Page Numbers (Bottom of Page)"/>
        <w:docPartUnique/>
      </w:docPartObj>
    </w:sdtPr>
    <w:sdtEndPr/>
    <w:sdtContent>
      <w:sdt>
        <w:sdtPr>
          <w:id w:val="1791398094"/>
          <w:docPartObj>
            <w:docPartGallery w:val="Page Numbers (Top of Page)"/>
            <w:docPartUnique/>
          </w:docPartObj>
        </w:sdtPr>
        <w:sdtEndPr/>
        <w:sdtContent>
          <w:p w:rsidR="00991F91" w:rsidRDefault="00991F9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B6C84">
              <w:rPr>
                <w:b/>
                <w:bCs/>
                <w:noProof/>
              </w:rPr>
              <w:t>2</w:t>
            </w:r>
            <w:r>
              <w:rPr>
                <w:b/>
                <w:bCs/>
                <w:szCs w:val="24"/>
              </w:rPr>
              <w:fldChar w:fldCharType="end"/>
            </w:r>
            <w:r>
              <w:t xml:space="preserve"> of </w:t>
            </w:r>
            <w:r>
              <w:rPr>
                <w:b/>
                <w:bCs/>
                <w:szCs w:val="24"/>
              </w:rPr>
              <w:t>7</w:t>
            </w:r>
          </w:p>
        </w:sdtContent>
      </w:sdt>
    </w:sdtContent>
  </w:sdt>
  <w:p w:rsidR="00991F91" w:rsidRDefault="00991F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67708"/>
      <w:docPartObj>
        <w:docPartGallery w:val="Page Numbers (Bottom of Page)"/>
        <w:docPartUnique/>
      </w:docPartObj>
    </w:sdtPr>
    <w:sdtEndPr/>
    <w:sdtContent>
      <w:sdt>
        <w:sdtPr>
          <w:id w:val="1287935456"/>
          <w:docPartObj>
            <w:docPartGallery w:val="Page Numbers (Top of Page)"/>
            <w:docPartUnique/>
          </w:docPartObj>
        </w:sdtPr>
        <w:sdtEndPr/>
        <w:sdtContent>
          <w:p w:rsidR="00895516" w:rsidRDefault="00895516">
            <w:pPr>
              <w:pStyle w:val="Footer"/>
              <w:jc w:val="center"/>
            </w:pPr>
            <w:r>
              <w:t xml:space="preserve">Page </w:t>
            </w:r>
            <w:r>
              <w:rPr>
                <w:b/>
                <w:bCs/>
                <w:szCs w:val="24"/>
              </w:rPr>
              <w:t>3</w:t>
            </w:r>
            <w:r>
              <w:t xml:space="preserve"> of </w:t>
            </w:r>
            <w:r>
              <w:rPr>
                <w:b/>
                <w:bCs/>
                <w:szCs w:val="24"/>
              </w:rPr>
              <w:t>7</w:t>
            </w:r>
          </w:p>
        </w:sdtContent>
      </w:sdt>
    </w:sdtContent>
  </w:sdt>
  <w:p w:rsidR="00895516" w:rsidRDefault="008955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104315"/>
      <w:docPartObj>
        <w:docPartGallery w:val="Page Numbers (Bottom of Page)"/>
        <w:docPartUnique/>
      </w:docPartObj>
    </w:sdtPr>
    <w:sdtEndPr/>
    <w:sdtContent>
      <w:sdt>
        <w:sdtPr>
          <w:id w:val="2068443536"/>
          <w:docPartObj>
            <w:docPartGallery w:val="Page Numbers (Top of Page)"/>
            <w:docPartUnique/>
          </w:docPartObj>
        </w:sdtPr>
        <w:sdtEndPr/>
        <w:sdtContent>
          <w:p w:rsidR="00241EF3" w:rsidRDefault="00241EF3" w:rsidP="0037147A">
            <w:pPr>
              <w:pStyle w:val="Footer"/>
              <w:jc w:val="center"/>
            </w:pPr>
            <w:r>
              <w:t xml:space="preserve">Page </w:t>
            </w:r>
            <w:r w:rsidR="00895516">
              <w:rPr>
                <w:b/>
                <w:bCs/>
                <w:szCs w:val="24"/>
              </w:rPr>
              <w:t>5</w:t>
            </w:r>
            <w:r>
              <w:t xml:space="preserve"> of </w:t>
            </w:r>
            <w:r>
              <w:rPr>
                <w:b/>
                <w:bCs/>
                <w:szCs w:val="24"/>
              </w:rPr>
              <w:t>7</w:t>
            </w:r>
          </w:p>
        </w:sdtContent>
      </w:sdt>
    </w:sdtContent>
  </w:sdt>
  <w:p w:rsidR="00241EF3" w:rsidRDefault="00241EF3" w:rsidP="0037147A">
    <w:pPr>
      <w:pStyle w:val="Footer"/>
    </w:pPr>
  </w:p>
  <w:p w:rsidR="00241EF3" w:rsidRDefault="00241E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061107"/>
      <w:docPartObj>
        <w:docPartGallery w:val="Page Numbers (Bottom of Page)"/>
        <w:docPartUnique/>
      </w:docPartObj>
    </w:sdtPr>
    <w:sdtEndPr/>
    <w:sdtContent>
      <w:sdt>
        <w:sdtPr>
          <w:id w:val="601769603"/>
          <w:docPartObj>
            <w:docPartGallery w:val="Page Numbers (Top of Page)"/>
            <w:docPartUnique/>
          </w:docPartObj>
        </w:sdtPr>
        <w:sdtEndPr/>
        <w:sdtContent>
          <w:p w:rsidR="00991F91" w:rsidRDefault="00991F91">
            <w:pPr>
              <w:pStyle w:val="Footer"/>
              <w:jc w:val="center"/>
            </w:pPr>
          </w:p>
          <w:p w:rsidR="00991F91" w:rsidRDefault="00895516">
            <w:pPr>
              <w:pStyle w:val="Footer"/>
              <w:jc w:val="center"/>
            </w:pPr>
            <w:r>
              <w:rPr>
                <w:b/>
              </w:rPr>
              <w:t>Page 4</w:t>
            </w:r>
            <w:r w:rsidR="00991F91" w:rsidRPr="003514A7">
              <w:rPr>
                <w:b/>
              </w:rPr>
              <w:t xml:space="preserve"> of </w:t>
            </w:r>
            <w:r w:rsidR="00991F91" w:rsidRPr="003514A7">
              <w:rPr>
                <w:b/>
                <w:bCs/>
                <w:szCs w:val="24"/>
              </w:rPr>
              <w:fldChar w:fldCharType="begin"/>
            </w:r>
            <w:r w:rsidR="00991F91" w:rsidRPr="003514A7">
              <w:rPr>
                <w:b/>
                <w:bCs/>
              </w:rPr>
              <w:instrText xml:space="preserve"> NUMPAGES  </w:instrText>
            </w:r>
            <w:r w:rsidR="00991F91" w:rsidRPr="003514A7">
              <w:rPr>
                <w:b/>
                <w:bCs/>
                <w:szCs w:val="24"/>
              </w:rPr>
              <w:fldChar w:fldCharType="separate"/>
            </w:r>
            <w:r w:rsidR="00EB6C84">
              <w:rPr>
                <w:b/>
                <w:bCs/>
                <w:noProof/>
              </w:rPr>
              <w:t>4</w:t>
            </w:r>
            <w:r w:rsidR="00991F91" w:rsidRPr="003514A7">
              <w:rPr>
                <w:b/>
                <w:bCs/>
                <w:szCs w:val="24"/>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6185"/>
      <w:docPartObj>
        <w:docPartGallery w:val="Page Numbers (Bottom of Page)"/>
        <w:docPartUnique/>
      </w:docPartObj>
    </w:sdtPr>
    <w:sdtEndPr/>
    <w:sdtContent>
      <w:sdt>
        <w:sdtPr>
          <w:id w:val="-1940584877"/>
          <w:docPartObj>
            <w:docPartGallery w:val="Page Numbers (Top of Page)"/>
            <w:docPartUnique/>
          </w:docPartObj>
        </w:sdtPr>
        <w:sdtEndPr/>
        <w:sdtContent>
          <w:p w:rsidR="00241EF3" w:rsidRDefault="00241EF3">
            <w:pPr>
              <w:pStyle w:val="Footer"/>
              <w:jc w:val="center"/>
            </w:pPr>
          </w:p>
          <w:p w:rsidR="00241EF3" w:rsidRDefault="00895516">
            <w:pPr>
              <w:pStyle w:val="Footer"/>
              <w:jc w:val="center"/>
            </w:pPr>
            <w:r>
              <w:rPr>
                <w:b/>
              </w:rPr>
              <w:t>Page 6</w:t>
            </w:r>
            <w:r w:rsidR="00241EF3" w:rsidRPr="003514A7">
              <w:rPr>
                <w:b/>
              </w:rPr>
              <w:t xml:space="preserve"> of </w:t>
            </w:r>
            <w:r w:rsidR="00241EF3" w:rsidRPr="003514A7">
              <w:rPr>
                <w:b/>
                <w:bCs/>
                <w:szCs w:val="24"/>
              </w:rPr>
              <w:fldChar w:fldCharType="begin"/>
            </w:r>
            <w:r w:rsidR="00241EF3" w:rsidRPr="003514A7">
              <w:rPr>
                <w:b/>
                <w:bCs/>
              </w:rPr>
              <w:instrText xml:space="preserve"> NUMPAGES  </w:instrText>
            </w:r>
            <w:r w:rsidR="00241EF3" w:rsidRPr="003514A7">
              <w:rPr>
                <w:b/>
                <w:bCs/>
                <w:szCs w:val="24"/>
              </w:rPr>
              <w:fldChar w:fldCharType="separate"/>
            </w:r>
            <w:r w:rsidR="00EB6C84">
              <w:rPr>
                <w:b/>
                <w:bCs/>
                <w:noProof/>
              </w:rPr>
              <w:t>6</w:t>
            </w:r>
            <w:r w:rsidR="00241EF3" w:rsidRPr="003514A7">
              <w:rPr>
                <w:b/>
                <w:bCs/>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46539"/>
      <w:docPartObj>
        <w:docPartGallery w:val="Page Numbers (Bottom of Page)"/>
        <w:docPartUnique/>
      </w:docPartObj>
    </w:sdtPr>
    <w:sdtEndPr/>
    <w:sdtContent>
      <w:sdt>
        <w:sdtPr>
          <w:id w:val="-179429804"/>
          <w:docPartObj>
            <w:docPartGallery w:val="Page Numbers (Top of Page)"/>
            <w:docPartUnique/>
          </w:docPartObj>
        </w:sdtPr>
        <w:sdtEndPr/>
        <w:sdtContent>
          <w:p w:rsidR="00895516" w:rsidRDefault="00895516">
            <w:pPr>
              <w:pStyle w:val="Footer"/>
              <w:jc w:val="center"/>
            </w:pPr>
          </w:p>
          <w:p w:rsidR="00895516" w:rsidRDefault="00895516">
            <w:pPr>
              <w:pStyle w:val="Footer"/>
              <w:jc w:val="center"/>
            </w:pPr>
            <w:r>
              <w:rPr>
                <w:b/>
              </w:rPr>
              <w:t>Page 7</w:t>
            </w:r>
            <w:r w:rsidRPr="003514A7">
              <w:rPr>
                <w:b/>
              </w:rPr>
              <w:t xml:space="preserve"> of </w:t>
            </w:r>
            <w:r w:rsidRPr="003514A7">
              <w:rPr>
                <w:b/>
                <w:bCs/>
                <w:szCs w:val="24"/>
              </w:rPr>
              <w:fldChar w:fldCharType="begin"/>
            </w:r>
            <w:r w:rsidRPr="003514A7">
              <w:rPr>
                <w:b/>
                <w:bCs/>
              </w:rPr>
              <w:instrText xml:space="preserve"> NUMPAGES  </w:instrText>
            </w:r>
            <w:r w:rsidRPr="003514A7">
              <w:rPr>
                <w:b/>
                <w:bCs/>
                <w:szCs w:val="24"/>
              </w:rPr>
              <w:fldChar w:fldCharType="separate"/>
            </w:r>
            <w:r w:rsidR="00EB6C84">
              <w:rPr>
                <w:b/>
                <w:bCs/>
                <w:noProof/>
              </w:rPr>
              <w:t>7</w:t>
            </w:r>
            <w:r w:rsidRPr="003514A7">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11" w:rsidRDefault="00047011">
      <w:r>
        <w:separator/>
      </w:r>
    </w:p>
  </w:footnote>
  <w:footnote w:type="continuationSeparator" w:id="0">
    <w:p w:rsidR="00047011" w:rsidRDefault="0004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4E" w:rsidRDefault="0096374E" w:rsidP="0096374E">
    <w:pPr>
      <w:pStyle w:val="Header"/>
      <w:tabs>
        <w:tab w:val="clear" w:pos="8640"/>
        <w:tab w:val="right" w:pos="9360"/>
      </w:tabs>
      <w:ind w:left="-360"/>
      <w:rPr>
        <w:rStyle w:val="PageNumber"/>
      </w:rPr>
    </w:pPr>
    <w:r>
      <w:t>Genesis Kennebunk Operations, LLC</w:t>
    </w:r>
    <w:r>
      <w:rPr>
        <w:rStyle w:val="PageNumber"/>
      </w:rPr>
      <w:tab/>
      <w:t xml:space="preserve">                                   RiverRidge Bed Complement Change</w:t>
    </w:r>
  </w:p>
  <w:p w:rsidR="0096374E" w:rsidRDefault="0096374E" w:rsidP="0096374E">
    <w:pPr>
      <w:pStyle w:val="Header"/>
      <w:ind w:left="-360"/>
      <w:rPr>
        <w:rStyle w:val="PageNumber"/>
      </w:rPr>
    </w:pPr>
    <w:r>
      <w:rPr>
        <w:rStyle w:val="PageNumber"/>
      </w:rPr>
      <w:t>Preliminary Analysis</w:t>
    </w:r>
    <w:r>
      <w:rPr>
        <w:rStyle w:val="PageNumber"/>
      </w:rPr>
      <w:tab/>
      <w:t xml:space="preserve">                                                             Kennebunk Operations LLC</w:t>
    </w:r>
  </w:p>
  <w:p w:rsidR="0096374E" w:rsidRDefault="00963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970" w:rsidRDefault="00A70970" w:rsidP="00A70970">
    <w:pPr>
      <w:pStyle w:val="Header"/>
      <w:jc w:val="center"/>
      <w:rPr>
        <w:rStyle w:val="PageNumber"/>
        <w:b/>
        <w:sz w:val="32"/>
        <w:szCs w:val="32"/>
        <w:u w:val="single"/>
      </w:rPr>
    </w:pPr>
    <w:r w:rsidRPr="005E2E11">
      <w:rPr>
        <w:rStyle w:val="PageNumber"/>
        <w:b/>
        <w:sz w:val="32"/>
        <w:szCs w:val="32"/>
        <w:u w:val="single"/>
      </w:rPr>
      <w:t>BRIEFING MEMO</w:t>
    </w:r>
  </w:p>
  <w:p w:rsidR="00A70970" w:rsidRPr="002D2B2D" w:rsidRDefault="00454ACA" w:rsidP="00A70970">
    <w:pPr>
      <w:pStyle w:val="Header"/>
      <w:jc w:val="center"/>
      <w:rPr>
        <w:rStyle w:val="PageNumber"/>
        <w:b/>
        <w:sz w:val="32"/>
        <w:szCs w:val="32"/>
      </w:rPr>
    </w:pPr>
    <w:r w:rsidRPr="002D2B2D">
      <w:rPr>
        <w:rStyle w:val="PageNumber"/>
        <w:b/>
        <w:sz w:val="32"/>
        <w:szCs w:val="32"/>
      </w:rPr>
      <w:t>RiverRidge Center</w:t>
    </w:r>
  </w:p>
  <w:p w:rsidR="00454ACA" w:rsidRPr="002D2B2D" w:rsidRDefault="00454ACA" w:rsidP="00A70970">
    <w:pPr>
      <w:pStyle w:val="Header"/>
      <w:jc w:val="center"/>
      <w:rPr>
        <w:rStyle w:val="PageNumber"/>
        <w:b/>
        <w:sz w:val="32"/>
        <w:szCs w:val="32"/>
      </w:rPr>
    </w:pPr>
    <w:r w:rsidRPr="002D2B2D">
      <w:rPr>
        <w:rStyle w:val="PageNumber"/>
        <w:b/>
        <w:sz w:val="32"/>
        <w:szCs w:val="32"/>
      </w:rPr>
      <w:t>Addition of 14 NF/SNF Beds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4E" w:rsidRDefault="0096374E" w:rsidP="00717AE4">
    <w:pPr>
      <w:pStyle w:val="Header"/>
      <w:tabs>
        <w:tab w:val="clear" w:pos="8640"/>
        <w:tab w:val="right" w:pos="9360"/>
      </w:tabs>
      <w:rPr>
        <w:rStyle w:val="PageNumber"/>
      </w:rPr>
    </w:pPr>
    <w:r>
      <w:t>Genesis Kennebunk Operations, LLC</w:t>
    </w:r>
    <w:r>
      <w:rPr>
        <w:rStyle w:val="PageNumber"/>
      </w:rPr>
      <w:tab/>
      <w:t xml:space="preserve">                                   </w:t>
    </w:r>
    <w:r w:rsidR="00241EF3">
      <w:rPr>
        <w:rStyle w:val="PageNumber"/>
      </w:rPr>
      <w:tab/>
    </w:r>
    <w:r w:rsidR="00241EF3" w:rsidRPr="0096374E">
      <w:rPr>
        <w:szCs w:val="24"/>
      </w:rPr>
      <w:t>Addition of 14 NF</w:t>
    </w:r>
    <w:r w:rsidR="00241EF3">
      <w:rPr>
        <w:szCs w:val="24"/>
      </w:rPr>
      <w:t>/SNF Beds</w:t>
    </w:r>
  </w:p>
  <w:p w:rsidR="0096374E" w:rsidRDefault="0096374E" w:rsidP="00717AE4">
    <w:pPr>
      <w:pStyle w:val="Header"/>
      <w:rPr>
        <w:rStyle w:val="PageNumber"/>
      </w:rPr>
    </w:pPr>
    <w:r>
      <w:rPr>
        <w:rStyle w:val="PageNumber"/>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4E" w:rsidRDefault="0096374E" w:rsidP="00717AE4">
    <w:pPr>
      <w:pStyle w:val="Header"/>
      <w:tabs>
        <w:tab w:val="clear" w:pos="8640"/>
        <w:tab w:val="right" w:pos="9360"/>
      </w:tabs>
      <w:rPr>
        <w:rStyle w:val="PageNumber"/>
      </w:rPr>
    </w:pPr>
    <w:r>
      <w:t>Genesis Kennebunk Operations, LLC</w:t>
    </w:r>
    <w:r>
      <w:rPr>
        <w:rStyle w:val="PageNumber"/>
      </w:rPr>
      <w:tab/>
      <w:t xml:space="preserve">                                   </w:t>
    </w:r>
    <w:r w:rsidR="00241EF3">
      <w:rPr>
        <w:rStyle w:val="PageNumber"/>
      </w:rPr>
      <w:tab/>
    </w:r>
    <w:r w:rsidR="00241EF3" w:rsidRPr="0096374E">
      <w:rPr>
        <w:szCs w:val="24"/>
      </w:rPr>
      <w:t>Addition of 14 NF</w:t>
    </w:r>
    <w:r w:rsidR="00241EF3">
      <w:rPr>
        <w:szCs w:val="24"/>
      </w:rPr>
      <w:t>/SNF Beds</w:t>
    </w:r>
  </w:p>
  <w:p w:rsidR="0096374E" w:rsidRDefault="0096374E" w:rsidP="00717AE4">
    <w:pPr>
      <w:pStyle w:val="Header"/>
      <w:rPr>
        <w:rStyle w:val="PageNumber"/>
      </w:rPr>
    </w:pPr>
    <w:r>
      <w:rPr>
        <w:rStyle w:val="PageNumber"/>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F3" w:rsidRDefault="00241EF3" w:rsidP="00241EF3">
    <w:pPr>
      <w:pStyle w:val="Header"/>
      <w:tabs>
        <w:tab w:val="clear" w:pos="8640"/>
        <w:tab w:val="right" w:pos="9360"/>
      </w:tabs>
      <w:rPr>
        <w:rStyle w:val="PageNumber"/>
      </w:rPr>
    </w:pPr>
    <w:r>
      <w:t>Genesis Kennebunk Operations, LLC</w:t>
    </w:r>
    <w:r>
      <w:rPr>
        <w:rStyle w:val="PageNumber"/>
      </w:rPr>
      <w:tab/>
      <w:t xml:space="preserve">                                   </w:t>
    </w:r>
    <w:r>
      <w:rPr>
        <w:rStyle w:val="PageNumber"/>
      </w:rPr>
      <w:tab/>
    </w:r>
    <w:r w:rsidRPr="0096374E">
      <w:rPr>
        <w:szCs w:val="24"/>
      </w:rPr>
      <w:t>Addition of 14 NF</w:t>
    </w:r>
    <w:r>
      <w:rPr>
        <w:szCs w:val="24"/>
      </w:rPr>
      <w:t>/SNF Beds</w:t>
    </w:r>
  </w:p>
  <w:p w:rsidR="005820CE" w:rsidRPr="00895516" w:rsidRDefault="005820CE" w:rsidP="00241EF3">
    <w:pPr>
      <w:pStyle w:val="Header"/>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16" w:rsidRDefault="00895516" w:rsidP="00241EF3">
    <w:pPr>
      <w:pStyle w:val="Header"/>
      <w:tabs>
        <w:tab w:val="clear" w:pos="8640"/>
        <w:tab w:val="right" w:pos="9360"/>
      </w:tabs>
      <w:rPr>
        <w:rStyle w:val="PageNumber"/>
      </w:rPr>
    </w:pPr>
    <w:r>
      <w:t>Genesis Kennebunk Operations, LLC</w:t>
    </w:r>
    <w:r>
      <w:rPr>
        <w:rStyle w:val="PageNumber"/>
      </w:rPr>
      <w:tab/>
      <w:t xml:space="preserve">                                   </w:t>
    </w:r>
    <w:r>
      <w:rPr>
        <w:rStyle w:val="PageNumber"/>
      </w:rPr>
      <w:tab/>
    </w:r>
    <w:r w:rsidRPr="0096374E">
      <w:rPr>
        <w:szCs w:val="24"/>
      </w:rPr>
      <w:t>Addition of 14 NF</w:t>
    </w:r>
    <w:r>
      <w:rPr>
        <w:szCs w:val="24"/>
      </w:rPr>
      <w:t>/SNF Beds</w:t>
    </w:r>
  </w:p>
  <w:p w:rsidR="00895516" w:rsidRPr="00895516" w:rsidRDefault="00895516" w:rsidP="00241EF3">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C2E19"/>
    <w:multiLevelType w:val="hybridMultilevel"/>
    <w:tmpl w:val="F372EA98"/>
    <w:lvl w:ilvl="0" w:tplc="11042FC4">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C0"/>
    <w:rsid w:val="00006FE9"/>
    <w:rsid w:val="00007697"/>
    <w:rsid w:val="00013531"/>
    <w:rsid w:val="00015D35"/>
    <w:rsid w:val="00016199"/>
    <w:rsid w:val="000227D8"/>
    <w:rsid w:val="00022919"/>
    <w:rsid w:val="00023DCB"/>
    <w:rsid w:val="00023F63"/>
    <w:rsid w:val="00033677"/>
    <w:rsid w:val="000347F6"/>
    <w:rsid w:val="00040F40"/>
    <w:rsid w:val="00047011"/>
    <w:rsid w:val="00050092"/>
    <w:rsid w:val="00057C6F"/>
    <w:rsid w:val="00065CDD"/>
    <w:rsid w:val="00071233"/>
    <w:rsid w:val="000765D0"/>
    <w:rsid w:val="000819A7"/>
    <w:rsid w:val="00095AA7"/>
    <w:rsid w:val="000A2C6D"/>
    <w:rsid w:val="000A7B87"/>
    <w:rsid w:val="000B06FB"/>
    <w:rsid w:val="000C33E5"/>
    <w:rsid w:val="000C3783"/>
    <w:rsid w:val="000D2BCF"/>
    <w:rsid w:val="000D4B09"/>
    <w:rsid w:val="000D75CA"/>
    <w:rsid w:val="000F0DE2"/>
    <w:rsid w:val="00103178"/>
    <w:rsid w:val="00106C0B"/>
    <w:rsid w:val="0012149E"/>
    <w:rsid w:val="00135384"/>
    <w:rsid w:val="00136F35"/>
    <w:rsid w:val="00141812"/>
    <w:rsid w:val="00146041"/>
    <w:rsid w:val="00146AF5"/>
    <w:rsid w:val="0015136A"/>
    <w:rsid w:val="00153761"/>
    <w:rsid w:val="00157A51"/>
    <w:rsid w:val="00161EC4"/>
    <w:rsid w:val="001A0038"/>
    <w:rsid w:val="001A6A08"/>
    <w:rsid w:val="001B7391"/>
    <w:rsid w:val="001B7EC9"/>
    <w:rsid w:val="001C6C48"/>
    <w:rsid w:val="001D40D9"/>
    <w:rsid w:val="001D5309"/>
    <w:rsid w:val="001D7499"/>
    <w:rsid w:val="001E61E2"/>
    <w:rsid w:val="001F6C8F"/>
    <w:rsid w:val="001F7E17"/>
    <w:rsid w:val="00202217"/>
    <w:rsid w:val="0020516B"/>
    <w:rsid w:val="00210452"/>
    <w:rsid w:val="00211D80"/>
    <w:rsid w:val="0021530B"/>
    <w:rsid w:val="0024095A"/>
    <w:rsid w:val="00241EF3"/>
    <w:rsid w:val="00247F3A"/>
    <w:rsid w:val="00251624"/>
    <w:rsid w:val="00253AE4"/>
    <w:rsid w:val="00256CD7"/>
    <w:rsid w:val="00257618"/>
    <w:rsid w:val="00263B18"/>
    <w:rsid w:val="00274279"/>
    <w:rsid w:val="00280C22"/>
    <w:rsid w:val="00284C38"/>
    <w:rsid w:val="00297BEF"/>
    <w:rsid w:val="002A2A02"/>
    <w:rsid w:val="002A7DE8"/>
    <w:rsid w:val="002B11BA"/>
    <w:rsid w:val="002B2BC6"/>
    <w:rsid w:val="002D0F18"/>
    <w:rsid w:val="002D2B2D"/>
    <w:rsid w:val="002D32BB"/>
    <w:rsid w:val="002E4C96"/>
    <w:rsid w:val="002F4049"/>
    <w:rsid w:val="003106E4"/>
    <w:rsid w:val="00312B6A"/>
    <w:rsid w:val="003137F6"/>
    <w:rsid w:val="00313E6E"/>
    <w:rsid w:val="003141FB"/>
    <w:rsid w:val="00330D9E"/>
    <w:rsid w:val="00341E03"/>
    <w:rsid w:val="003454B4"/>
    <w:rsid w:val="00345669"/>
    <w:rsid w:val="003514A7"/>
    <w:rsid w:val="00361146"/>
    <w:rsid w:val="00361816"/>
    <w:rsid w:val="0037147A"/>
    <w:rsid w:val="003856CE"/>
    <w:rsid w:val="00386E0A"/>
    <w:rsid w:val="00394384"/>
    <w:rsid w:val="00394D4B"/>
    <w:rsid w:val="003B25C8"/>
    <w:rsid w:val="003B626B"/>
    <w:rsid w:val="003D0EF4"/>
    <w:rsid w:val="003E40C7"/>
    <w:rsid w:val="003E7C27"/>
    <w:rsid w:val="003F18C5"/>
    <w:rsid w:val="003F40D7"/>
    <w:rsid w:val="003F535E"/>
    <w:rsid w:val="003F734F"/>
    <w:rsid w:val="004048D6"/>
    <w:rsid w:val="00404E06"/>
    <w:rsid w:val="004076A4"/>
    <w:rsid w:val="0041134E"/>
    <w:rsid w:val="0042356B"/>
    <w:rsid w:val="00431A36"/>
    <w:rsid w:val="0043577D"/>
    <w:rsid w:val="004466EC"/>
    <w:rsid w:val="00452A39"/>
    <w:rsid w:val="00454ACA"/>
    <w:rsid w:val="00463AA5"/>
    <w:rsid w:val="00467096"/>
    <w:rsid w:val="00467AE2"/>
    <w:rsid w:val="004719DD"/>
    <w:rsid w:val="004776EE"/>
    <w:rsid w:val="00481A0A"/>
    <w:rsid w:val="00484707"/>
    <w:rsid w:val="00485BD1"/>
    <w:rsid w:val="004943E2"/>
    <w:rsid w:val="004951B4"/>
    <w:rsid w:val="004A270F"/>
    <w:rsid w:val="004A3B4A"/>
    <w:rsid w:val="004C03DF"/>
    <w:rsid w:val="004C0BFF"/>
    <w:rsid w:val="004C340D"/>
    <w:rsid w:val="004E2439"/>
    <w:rsid w:val="004E6224"/>
    <w:rsid w:val="004E6FEF"/>
    <w:rsid w:val="004E7309"/>
    <w:rsid w:val="004F30E2"/>
    <w:rsid w:val="004F4EE7"/>
    <w:rsid w:val="004F672E"/>
    <w:rsid w:val="004F78B9"/>
    <w:rsid w:val="005049C5"/>
    <w:rsid w:val="00510649"/>
    <w:rsid w:val="00527FB7"/>
    <w:rsid w:val="0053068D"/>
    <w:rsid w:val="0053096A"/>
    <w:rsid w:val="00531AC0"/>
    <w:rsid w:val="00537367"/>
    <w:rsid w:val="00537590"/>
    <w:rsid w:val="00542C49"/>
    <w:rsid w:val="00544CAB"/>
    <w:rsid w:val="0054589B"/>
    <w:rsid w:val="00561957"/>
    <w:rsid w:val="005660A9"/>
    <w:rsid w:val="005719F5"/>
    <w:rsid w:val="0057515A"/>
    <w:rsid w:val="005820CE"/>
    <w:rsid w:val="00590FAF"/>
    <w:rsid w:val="005A0C4E"/>
    <w:rsid w:val="005A3683"/>
    <w:rsid w:val="005A755D"/>
    <w:rsid w:val="005C1624"/>
    <w:rsid w:val="005D10D2"/>
    <w:rsid w:val="005D6E73"/>
    <w:rsid w:val="005E1F98"/>
    <w:rsid w:val="005E2E11"/>
    <w:rsid w:val="005E5B0A"/>
    <w:rsid w:val="005F6CA6"/>
    <w:rsid w:val="005F7365"/>
    <w:rsid w:val="00605C80"/>
    <w:rsid w:val="006168D7"/>
    <w:rsid w:val="0062601F"/>
    <w:rsid w:val="00633F1A"/>
    <w:rsid w:val="006406F3"/>
    <w:rsid w:val="00645957"/>
    <w:rsid w:val="006478C0"/>
    <w:rsid w:val="006578FD"/>
    <w:rsid w:val="0066751B"/>
    <w:rsid w:val="00676182"/>
    <w:rsid w:val="00687513"/>
    <w:rsid w:val="0069056C"/>
    <w:rsid w:val="0069517E"/>
    <w:rsid w:val="0069646A"/>
    <w:rsid w:val="006A60EA"/>
    <w:rsid w:val="006D101F"/>
    <w:rsid w:val="006D6B69"/>
    <w:rsid w:val="006E4089"/>
    <w:rsid w:val="006F6DB2"/>
    <w:rsid w:val="007066F6"/>
    <w:rsid w:val="007150D5"/>
    <w:rsid w:val="00717AE4"/>
    <w:rsid w:val="0072460E"/>
    <w:rsid w:val="00724773"/>
    <w:rsid w:val="007302FD"/>
    <w:rsid w:val="007329AE"/>
    <w:rsid w:val="00737B40"/>
    <w:rsid w:val="007402E0"/>
    <w:rsid w:val="00743525"/>
    <w:rsid w:val="007437C7"/>
    <w:rsid w:val="00744558"/>
    <w:rsid w:val="007466B5"/>
    <w:rsid w:val="00754874"/>
    <w:rsid w:val="00755FCE"/>
    <w:rsid w:val="00764535"/>
    <w:rsid w:val="007660E9"/>
    <w:rsid w:val="007674E7"/>
    <w:rsid w:val="0076796D"/>
    <w:rsid w:val="00777C32"/>
    <w:rsid w:val="00781A7D"/>
    <w:rsid w:val="00786E02"/>
    <w:rsid w:val="0078779E"/>
    <w:rsid w:val="007878AE"/>
    <w:rsid w:val="00790E0B"/>
    <w:rsid w:val="007A43BF"/>
    <w:rsid w:val="007B340D"/>
    <w:rsid w:val="007B5C38"/>
    <w:rsid w:val="007C4751"/>
    <w:rsid w:val="007C5F44"/>
    <w:rsid w:val="007D116F"/>
    <w:rsid w:val="007D3E1C"/>
    <w:rsid w:val="007D4799"/>
    <w:rsid w:val="007E1349"/>
    <w:rsid w:val="007E14D4"/>
    <w:rsid w:val="007E35F4"/>
    <w:rsid w:val="007E3FFF"/>
    <w:rsid w:val="007E532A"/>
    <w:rsid w:val="007E7BFF"/>
    <w:rsid w:val="007F066E"/>
    <w:rsid w:val="00800ECB"/>
    <w:rsid w:val="00801550"/>
    <w:rsid w:val="008035E8"/>
    <w:rsid w:val="0080566D"/>
    <w:rsid w:val="00821D90"/>
    <w:rsid w:val="00823F6C"/>
    <w:rsid w:val="00824194"/>
    <w:rsid w:val="00826CEA"/>
    <w:rsid w:val="008358DA"/>
    <w:rsid w:val="0083607A"/>
    <w:rsid w:val="0083726D"/>
    <w:rsid w:val="00843E17"/>
    <w:rsid w:val="00847597"/>
    <w:rsid w:val="00847600"/>
    <w:rsid w:val="00856003"/>
    <w:rsid w:val="00875A54"/>
    <w:rsid w:val="00882D98"/>
    <w:rsid w:val="00886E9A"/>
    <w:rsid w:val="0089352A"/>
    <w:rsid w:val="00895516"/>
    <w:rsid w:val="008A5179"/>
    <w:rsid w:val="008A6A5C"/>
    <w:rsid w:val="008B27E5"/>
    <w:rsid w:val="008B3994"/>
    <w:rsid w:val="008B3F91"/>
    <w:rsid w:val="008C20B9"/>
    <w:rsid w:val="008C4753"/>
    <w:rsid w:val="008C5D56"/>
    <w:rsid w:val="008C5DCE"/>
    <w:rsid w:val="008D638B"/>
    <w:rsid w:val="008E13ED"/>
    <w:rsid w:val="008E1774"/>
    <w:rsid w:val="008F1A53"/>
    <w:rsid w:val="009128BC"/>
    <w:rsid w:val="00912A43"/>
    <w:rsid w:val="00924E13"/>
    <w:rsid w:val="00927584"/>
    <w:rsid w:val="009432E7"/>
    <w:rsid w:val="009448E2"/>
    <w:rsid w:val="00951717"/>
    <w:rsid w:val="00953495"/>
    <w:rsid w:val="00954A41"/>
    <w:rsid w:val="00957803"/>
    <w:rsid w:val="00960CC0"/>
    <w:rsid w:val="0096374E"/>
    <w:rsid w:val="00967D01"/>
    <w:rsid w:val="009706F2"/>
    <w:rsid w:val="009823F5"/>
    <w:rsid w:val="009840FC"/>
    <w:rsid w:val="00991F91"/>
    <w:rsid w:val="00992D98"/>
    <w:rsid w:val="00996712"/>
    <w:rsid w:val="009A2CAD"/>
    <w:rsid w:val="009B4088"/>
    <w:rsid w:val="009B7FD8"/>
    <w:rsid w:val="009C0D36"/>
    <w:rsid w:val="009C60A2"/>
    <w:rsid w:val="009D1BFC"/>
    <w:rsid w:val="009D3EBF"/>
    <w:rsid w:val="009D41E4"/>
    <w:rsid w:val="009E0394"/>
    <w:rsid w:val="009F4254"/>
    <w:rsid w:val="009F6384"/>
    <w:rsid w:val="00A104BB"/>
    <w:rsid w:val="00A230C0"/>
    <w:rsid w:val="00A30288"/>
    <w:rsid w:val="00A3301F"/>
    <w:rsid w:val="00A40A99"/>
    <w:rsid w:val="00A44A1A"/>
    <w:rsid w:val="00A51157"/>
    <w:rsid w:val="00A56B6E"/>
    <w:rsid w:val="00A70970"/>
    <w:rsid w:val="00A718F9"/>
    <w:rsid w:val="00A71E30"/>
    <w:rsid w:val="00A7404F"/>
    <w:rsid w:val="00A771AE"/>
    <w:rsid w:val="00A81E0E"/>
    <w:rsid w:val="00A860CC"/>
    <w:rsid w:val="00A86CCA"/>
    <w:rsid w:val="00AA11CD"/>
    <w:rsid w:val="00AA32B3"/>
    <w:rsid w:val="00AA3CE2"/>
    <w:rsid w:val="00AB0FB8"/>
    <w:rsid w:val="00AB6D59"/>
    <w:rsid w:val="00AB73A9"/>
    <w:rsid w:val="00AB769E"/>
    <w:rsid w:val="00AC2985"/>
    <w:rsid w:val="00AC4ED0"/>
    <w:rsid w:val="00AC70D0"/>
    <w:rsid w:val="00AC7E49"/>
    <w:rsid w:val="00AD1EAA"/>
    <w:rsid w:val="00AF1315"/>
    <w:rsid w:val="00AF28BB"/>
    <w:rsid w:val="00B23758"/>
    <w:rsid w:val="00B2404F"/>
    <w:rsid w:val="00B308C5"/>
    <w:rsid w:val="00B42E24"/>
    <w:rsid w:val="00B43A05"/>
    <w:rsid w:val="00B4467F"/>
    <w:rsid w:val="00B44988"/>
    <w:rsid w:val="00B464A3"/>
    <w:rsid w:val="00B6167A"/>
    <w:rsid w:val="00B70B2F"/>
    <w:rsid w:val="00B81951"/>
    <w:rsid w:val="00B848B4"/>
    <w:rsid w:val="00B875F7"/>
    <w:rsid w:val="00B92D52"/>
    <w:rsid w:val="00B95A86"/>
    <w:rsid w:val="00BA2C2D"/>
    <w:rsid w:val="00BA3538"/>
    <w:rsid w:val="00BC357F"/>
    <w:rsid w:val="00BD2124"/>
    <w:rsid w:val="00BE29B7"/>
    <w:rsid w:val="00C018F8"/>
    <w:rsid w:val="00C168B0"/>
    <w:rsid w:val="00C27235"/>
    <w:rsid w:val="00C33469"/>
    <w:rsid w:val="00C4539A"/>
    <w:rsid w:val="00C4641A"/>
    <w:rsid w:val="00C47E86"/>
    <w:rsid w:val="00C5355C"/>
    <w:rsid w:val="00C608F9"/>
    <w:rsid w:val="00C612BF"/>
    <w:rsid w:val="00C75673"/>
    <w:rsid w:val="00C76457"/>
    <w:rsid w:val="00C80C18"/>
    <w:rsid w:val="00C8339A"/>
    <w:rsid w:val="00C84991"/>
    <w:rsid w:val="00C9538F"/>
    <w:rsid w:val="00CB3A8F"/>
    <w:rsid w:val="00CB6DC4"/>
    <w:rsid w:val="00CC0AF8"/>
    <w:rsid w:val="00CE4612"/>
    <w:rsid w:val="00D064E7"/>
    <w:rsid w:val="00D1168F"/>
    <w:rsid w:val="00D1241F"/>
    <w:rsid w:val="00D15F8D"/>
    <w:rsid w:val="00D26346"/>
    <w:rsid w:val="00D33BB3"/>
    <w:rsid w:val="00D40B13"/>
    <w:rsid w:val="00D41361"/>
    <w:rsid w:val="00D42F7D"/>
    <w:rsid w:val="00D519BB"/>
    <w:rsid w:val="00D52DF0"/>
    <w:rsid w:val="00D56785"/>
    <w:rsid w:val="00D57970"/>
    <w:rsid w:val="00D61161"/>
    <w:rsid w:val="00D67662"/>
    <w:rsid w:val="00D716D5"/>
    <w:rsid w:val="00D72961"/>
    <w:rsid w:val="00D946A3"/>
    <w:rsid w:val="00D958AF"/>
    <w:rsid w:val="00D95901"/>
    <w:rsid w:val="00D9752F"/>
    <w:rsid w:val="00DA6012"/>
    <w:rsid w:val="00DB1A2B"/>
    <w:rsid w:val="00DC6D2B"/>
    <w:rsid w:val="00DD0BBC"/>
    <w:rsid w:val="00DD14A4"/>
    <w:rsid w:val="00DD2A78"/>
    <w:rsid w:val="00DD4091"/>
    <w:rsid w:val="00DD5910"/>
    <w:rsid w:val="00DD6696"/>
    <w:rsid w:val="00DE16F6"/>
    <w:rsid w:val="00DE280D"/>
    <w:rsid w:val="00DE68E5"/>
    <w:rsid w:val="00DE6AEA"/>
    <w:rsid w:val="00DF631D"/>
    <w:rsid w:val="00E06F70"/>
    <w:rsid w:val="00E148E6"/>
    <w:rsid w:val="00E2087D"/>
    <w:rsid w:val="00E27373"/>
    <w:rsid w:val="00E35B5A"/>
    <w:rsid w:val="00E42931"/>
    <w:rsid w:val="00E53BD1"/>
    <w:rsid w:val="00E57232"/>
    <w:rsid w:val="00E66363"/>
    <w:rsid w:val="00E75C5F"/>
    <w:rsid w:val="00E84853"/>
    <w:rsid w:val="00E851FB"/>
    <w:rsid w:val="00EB1516"/>
    <w:rsid w:val="00EB6C84"/>
    <w:rsid w:val="00EC5B1E"/>
    <w:rsid w:val="00ED53EC"/>
    <w:rsid w:val="00ED6760"/>
    <w:rsid w:val="00ED7B7F"/>
    <w:rsid w:val="00EE28FB"/>
    <w:rsid w:val="00EE47F6"/>
    <w:rsid w:val="00EF0D61"/>
    <w:rsid w:val="00EF1A98"/>
    <w:rsid w:val="00EF4661"/>
    <w:rsid w:val="00F00510"/>
    <w:rsid w:val="00F007C4"/>
    <w:rsid w:val="00F040E2"/>
    <w:rsid w:val="00F05333"/>
    <w:rsid w:val="00F0734B"/>
    <w:rsid w:val="00F116CB"/>
    <w:rsid w:val="00F27DCE"/>
    <w:rsid w:val="00F3439E"/>
    <w:rsid w:val="00F36423"/>
    <w:rsid w:val="00F5211E"/>
    <w:rsid w:val="00F56735"/>
    <w:rsid w:val="00F576BB"/>
    <w:rsid w:val="00F62932"/>
    <w:rsid w:val="00F63146"/>
    <w:rsid w:val="00F67537"/>
    <w:rsid w:val="00F77541"/>
    <w:rsid w:val="00F94358"/>
    <w:rsid w:val="00FA5F07"/>
    <w:rsid w:val="00FC287F"/>
    <w:rsid w:val="00FE0459"/>
    <w:rsid w:val="00FE7A24"/>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link w:val="HeaderChar"/>
    <w:uiPriority w:val="99"/>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uiPriority w:val="59"/>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 w:type="character" w:customStyle="1" w:styleId="HeaderChar">
    <w:name w:val="Header Char"/>
    <w:basedOn w:val="DefaultParagraphFont"/>
    <w:link w:val="Header"/>
    <w:uiPriority w:val="99"/>
    <w:rsid w:val="007F066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E17"/>
    <w:rPr>
      <w:sz w:val="24"/>
    </w:rPr>
  </w:style>
  <w:style w:type="paragraph" w:styleId="Heading1">
    <w:name w:val="heading 1"/>
    <w:basedOn w:val="Normal"/>
    <w:next w:val="Normal"/>
    <w:qFormat/>
    <w:rsid w:val="008B3F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CC0"/>
    <w:pPr>
      <w:tabs>
        <w:tab w:val="center" w:pos="4320"/>
        <w:tab w:val="right" w:pos="8640"/>
      </w:tabs>
    </w:pPr>
  </w:style>
  <w:style w:type="paragraph" w:styleId="Header">
    <w:name w:val="header"/>
    <w:basedOn w:val="Normal"/>
    <w:link w:val="HeaderChar"/>
    <w:uiPriority w:val="99"/>
    <w:rsid w:val="00960CC0"/>
    <w:pPr>
      <w:tabs>
        <w:tab w:val="center" w:pos="4320"/>
        <w:tab w:val="right" w:pos="8640"/>
      </w:tabs>
    </w:pPr>
  </w:style>
  <w:style w:type="paragraph" w:customStyle="1" w:styleId="Intro">
    <w:name w:val="Intro"/>
    <w:basedOn w:val="Normal"/>
    <w:rsid w:val="00960CC0"/>
    <w:pPr>
      <w:spacing w:before="240" w:line="240" w:lineRule="exact"/>
      <w:ind w:left="1440" w:hanging="1440"/>
    </w:pPr>
  </w:style>
  <w:style w:type="paragraph" w:customStyle="1" w:styleId="Cover">
    <w:name w:val="Cover"/>
    <w:basedOn w:val="Normal"/>
    <w:rsid w:val="00960CC0"/>
    <w:pPr>
      <w:tabs>
        <w:tab w:val="left" w:pos="720"/>
        <w:tab w:val="left" w:pos="1440"/>
        <w:tab w:val="left" w:pos="2160"/>
        <w:tab w:val="left" w:pos="4464"/>
        <w:tab w:val="left" w:pos="8496"/>
      </w:tabs>
      <w:spacing w:line="240" w:lineRule="exact"/>
      <w:ind w:left="720" w:hanging="720"/>
    </w:pPr>
  </w:style>
  <w:style w:type="paragraph" w:styleId="List4">
    <w:name w:val="List 4"/>
    <w:basedOn w:val="Normal"/>
    <w:rsid w:val="00960CC0"/>
    <w:pPr>
      <w:ind w:left="1440" w:hanging="360"/>
    </w:pPr>
  </w:style>
  <w:style w:type="paragraph" w:styleId="Title">
    <w:name w:val="Title"/>
    <w:basedOn w:val="Normal"/>
    <w:qFormat/>
    <w:rsid w:val="00960CC0"/>
    <w:pPr>
      <w:spacing w:line="360" w:lineRule="exact"/>
      <w:jc w:val="center"/>
    </w:pPr>
    <w:rPr>
      <w:b/>
      <w:sz w:val="32"/>
      <w:u w:val="single"/>
    </w:rPr>
  </w:style>
  <w:style w:type="paragraph" w:styleId="Subtitle">
    <w:name w:val="Subtitle"/>
    <w:basedOn w:val="Normal"/>
    <w:qFormat/>
    <w:rsid w:val="00960CC0"/>
    <w:pPr>
      <w:spacing w:before="120" w:line="240" w:lineRule="exact"/>
      <w:jc w:val="center"/>
    </w:pPr>
    <w:rPr>
      <w:b/>
      <w:sz w:val="28"/>
      <w:u w:val="single"/>
    </w:rPr>
  </w:style>
  <w:style w:type="table" w:styleId="TableGrid">
    <w:name w:val="Table Grid"/>
    <w:basedOn w:val="TableNormal"/>
    <w:uiPriority w:val="59"/>
    <w:rsid w:val="00960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3096A"/>
    <w:rPr>
      <w:b/>
      <w:bCs/>
    </w:rPr>
  </w:style>
  <w:style w:type="paragraph" w:styleId="BalloonText">
    <w:name w:val="Balloon Text"/>
    <w:basedOn w:val="Normal"/>
    <w:semiHidden/>
    <w:rsid w:val="00AB0FB8"/>
    <w:rPr>
      <w:rFonts w:ascii="Tahoma" w:hAnsi="Tahoma" w:cs="Tahoma"/>
      <w:sz w:val="16"/>
      <w:szCs w:val="16"/>
    </w:rPr>
  </w:style>
  <w:style w:type="character" w:styleId="PageNumber">
    <w:name w:val="page number"/>
    <w:basedOn w:val="DefaultParagraphFont"/>
    <w:rsid w:val="00F007C4"/>
  </w:style>
  <w:style w:type="character" w:customStyle="1" w:styleId="DeltaViewInsertion">
    <w:name w:val="DeltaView Insertion"/>
    <w:rsid w:val="00297BEF"/>
    <w:rPr>
      <w:color w:val="0000FF"/>
      <w:u w:val="double"/>
    </w:rPr>
  </w:style>
  <w:style w:type="character" w:customStyle="1" w:styleId="DeltaViewMoveDestination">
    <w:name w:val="DeltaView Move Destination"/>
    <w:rsid w:val="00297BEF"/>
    <w:rPr>
      <w:color w:val="00C000"/>
      <w:u w:val="double"/>
    </w:rPr>
  </w:style>
  <w:style w:type="character" w:styleId="Hyperlink">
    <w:name w:val="Hyperlink"/>
    <w:basedOn w:val="DefaultParagraphFont"/>
    <w:unhideWhenUsed/>
    <w:rsid w:val="00676182"/>
    <w:rPr>
      <w:color w:val="0000FF"/>
      <w:u w:val="single"/>
    </w:rPr>
  </w:style>
  <w:style w:type="paragraph" w:styleId="ListParagraph">
    <w:name w:val="List Paragraph"/>
    <w:basedOn w:val="Normal"/>
    <w:uiPriority w:val="34"/>
    <w:qFormat/>
    <w:rsid w:val="00676182"/>
    <w:pPr>
      <w:ind w:left="720"/>
      <w:contextualSpacing/>
    </w:pPr>
  </w:style>
  <w:style w:type="table" w:styleId="LightShading">
    <w:name w:val="Light Shading"/>
    <w:basedOn w:val="TableNormal"/>
    <w:uiPriority w:val="60"/>
    <w:rsid w:val="004C03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List1">
    <w:name w:val="Table List 1"/>
    <w:basedOn w:val="TableNormal"/>
    <w:rsid w:val="001C6C4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8C20B9"/>
    <w:rPr>
      <w:sz w:val="24"/>
    </w:rPr>
  </w:style>
  <w:style w:type="character" w:customStyle="1" w:styleId="HeaderChar">
    <w:name w:val="Header Char"/>
    <w:basedOn w:val="DefaultParagraphFont"/>
    <w:link w:val="Header"/>
    <w:uiPriority w:val="99"/>
    <w:rsid w:val="007F06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59728">
      <w:bodyDiv w:val="1"/>
      <w:marLeft w:val="0"/>
      <w:marRight w:val="0"/>
      <w:marTop w:val="0"/>
      <w:marBottom w:val="0"/>
      <w:divBdr>
        <w:top w:val="none" w:sz="0" w:space="0" w:color="auto"/>
        <w:left w:val="none" w:sz="0" w:space="0" w:color="auto"/>
        <w:bottom w:val="none" w:sz="0" w:space="0" w:color="auto"/>
        <w:right w:val="none" w:sz="0" w:space="0" w:color="auto"/>
      </w:divBdr>
    </w:div>
    <w:div w:id="849418955">
      <w:bodyDiv w:val="1"/>
      <w:marLeft w:val="0"/>
      <w:marRight w:val="0"/>
      <w:marTop w:val="0"/>
      <w:marBottom w:val="0"/>
      <w:divBdr>
        <w:top w:val="none" w:sz="0" w:space="0" w:color="auto"/>
        <w:left w:val="none" w:sz="0" w:space="0" w:color="auto"/>
        <w:bottom w:val="none" w:sz="0" w:space="0" w:color="auto"/>
        <w:right w:val="none" w:sz="0" w:space="0" w:color="auto"/>
      </w:divBdr>
    </w:div>
    <w:div w:id="989556873">
      <w:bodyDiv w:val="1"/>
      <w:marLeft w:val="0"/>
      <w:marRight w:val="0"/>
      <w:marTop w:val="0"/>
      <w:marBottom w:val="0"/>
      <w:divBdr>
        <w:top w:val="none" w:sz="0" w:space="0" w:color="auto"/>
        <w:left w:val="none" w:sz="0" w:space="0" w:color="auto"/>
        <w:bottom w:val="none" w:sz="0" w:space="0" w:color="auto"/>
        <w:right w:val="none" w:sz="0" w:space="0" w:color="auto"/>
      </w:divBdr>
      <w:divsChild>
        <w:div w:id="220598457">
          <w:marLeft w:val="0"/>
          <w:marRight w:val="0"/>
          <w:marTop w:val="0"/>
          <w:marBottom w:val="0"/>
          <w:divBdr>
            <w:top w:val="none" w:sz="0" w:space="0" w:color="auto"/>
            <w:left w:val="none" w:sz="0" w:space="0" w:color="auto"/>
            <w:bottom w:val="none" w:sz="0" w:space="0" w:color="auto"/>
            <w:right w:val="none" w:sz="0" w:space="0" w:color="auto"/>
          </w:divBdr>
        </w:div>
        <w:div w:id="243154114">
          <w:marLeft w:val="0"/>
          <w:marRight w:val="0"/>
          <w:marTop w:val="0"/>
          <w:marBottom w:val="0"/>
          <w:divBdr>
            <w:top w:val="none" w:sz="0" w:space="0" w:color="auto"/>
            <w:left w:val="none" w:sz="0" w:space="0" w:color="auto"/>
            <w:bottom w:val="none" w:sz="0" w:space="0" w:color="auto"/>
            <w:right w:val="none" w:sz="0" w:space="0" w:color="auto"/>
          </w:divBdr>
        </w:div>
        <w:div w:id="363211120">
          <w:marLeft w:val="0"/>
          <w:marRight w:val="0"/>
          <w:marTop w:val="0"/>
          <w:marBottom w:val="0"/>
          <w:divBdr>
            <w:top w:val="none" w:sz="0" w:space="0" w:color="auto"/>
            <w:left w:val="none" w:sz="0" w:space="0" w:color="auto"/>
            <w:bottom w:val="none" w:sz="0" w:space="0" w:color="auto"/>
            <w:right w:val="none" w:sz="0" w:space="0" w:color="auto"/>
          </w:divBdr>
        </w:div>
        <w:div w:id="487016148">
          <w:marLeft w:val="0"/>
          <w:marRight w:val="0"/>
          <w:marTop w:val="0"/>
          <w:marBottom w:val="0"/>
          <w:divBdr>
            <w:top w:val="none" w:sz="0" w:space="0" w:color="auto"/>
            <w:left w:val="none" w:sz="0" w:space="0" w:color="auto"/>
            <w:bottom w:val="none" w:sz="0" w:space="0" w:color="auto"/>
            <w:right w:val="none" w:sz="0" w:space="0" w:color="auto"/>
          </w:divBdr>
        </w:div>
        <w:div w:id="632564704">
          <w:marLeft w:val="0"/>
          <w:marRight w:val="0"/>
          <w:marTop w:val="0"/>
          <w:marBottom w:val="0"/>
          <w:divBdr>
            <w:top w:val="none" w:sz="0" w:space="0" w:color="auto"/>
            <w:left w:val="none" w:sz="0" w:space="0" w:color="auto"/>
            <w:bottom w:val="none" w:sz="0" w:space="0" w:color="auto"/>
            <w:right w:val="none" w:sz="0" w:space="0" w:color="auto"/>
          </w:divBdr>
        </w:div>
        <w:div w:id="670719369">
          <w:marLeft w:val="0"/>
          <w:marRight w:val="0"/>
          <w:marTop w:val="0"/>
          <w:marBottom w:val="0"/>
          <w:divBdr>
            <w:top w:val="none" w:sz="0" w:space="0" w:color="auto"/>
            <w:left w:val="none" w:sz="0" w:space="0" w:color="auto"/>
            <w:bottom w:val="none" w:sz="0" w:space="0" w:color="auto"/>
            <w:right w:val="none" w:sz="0" w:space="0" w:color="auto"/>
          </w:divBdr>
        </w:div>
        <w:div w:id="1338926754">
          <w:marLeft w:val="0"/>
          <w:marRight w:val="0"/>
          <w:marTop w:val="0"/>
          <w:marBottom w:val="0"/>
          <w:divBdr>
            <w:top w:val="none" w:sz="0" w:space="0" w:color="auto"/>
            <w:left w:val="none" w:sz="0" w:space="0" w:color="auto"/>
            <w:bottom w:val="none" w:sz="0" w:space="0" w:color="auto"/>
            <w:right w:val="none" w:sz="0" w:space="0" w:color="auto"/>
          </w:divBdr>
        </w:div>
        <w:div w:id="1434321644">
          <w:marLeft w:val="0"/>
          <w:marRight w:val="0"/>
          <w:marTop w:val="0"/>
          <w:marBottom w:val="0"/>
          <w:divBdr>
            <w:top w:val="none" w:sz="0" w:space="0" w:color="auto"/>
            <w:left w:val="none" w:sz="0" w:space="0" w:color="auto"/>
            <w:bottom w:val="none" w:sz="0" w:space="0" w:color="auto"/>
            <w:right w:val="none" w:sz="0" w:space="0" w:color="auto"/>
          </w:divBdr>
        </w:div>
        <w:div w:id="1510213256">
          <w:marLeft w:val="0"/>
          <w:marRight w:val="0"/>
          <w:marTop w:val="0"/>
          <w:marBottom w:val="0"/>
          <w:divBdr>
            <w:top w:val="none" w:sz="0" w:space="0" w:color="auto"/>
            <w:left w:val="none" w:sz="0" w:space="0" w:color="auto"/>
            <w:bottom w:val="none" w:sz="0" w:space="0" w:color="auto"/>
            <w:right w:val="none" w:sz="0" w:space="0" w:color="auto"/>
          </w:divBdr>
        </w:div>
        <w:div w:id="1844970999">
          <w:marLeft w:val="0"/>
          <w:marRight w:val="0"/>
          <w:marTop w:val="0"/>
          <w:marBottom w:val="0"/>
          <w:divBdr>
            <w:top w:val="none" w:sz="0" w:space="0" w:color="auto"/>
            <w:left w:val="none" w:sz="0" w:space="0" w:color="auto"/>
            <w:bottom w:val="none" w:sz="0" w:space="0" w:color="auto"/>
            <w:right w:val="none" w:sz="0" w:space="0" w:color="auto"/>
          </w:divBdr>
        </w:div>
        <w:div w:id="1967003674">
          <w:marLeft w:val="0"/>
          <w:marRight w:val="0"/>
          <w:marTop w:val="0"/>
          <w:marBottom w:val="0"/>
          <w:divBdr>
            <w:top w:val="none" w:sz="0" w:space="0" w:color="auto"/>
            <w:left w:val="none" w:sz="0" w:space="0" w:color="auto"/>
            <w:bottom w:val="none" w:sz="0" w:space="0" w:color="auto"/>
            <w:right w:val="none" w:sz="0" w:space="0" w:color="auto"/>
          </w:divBdr>
        </w:div>
      </w:divsChild>
    </w:div>
    <w:div w:id="1051080329">
      <w:bodyDiv w:val="1"/>
      <w:marLeft w:val="0"/>
      <w:marRight w:val="0"/>
      <w:marTop w:val="0"/>
      <w:marBottom w:val="0"/>
      <w:divBdr>
        <w:top w:val="none" w:sz="0" w:space="0" w:color="auto"/>
        <w:left w:val="none" w:sz="0" w:space="0" w:color="auto"/>
        <w:bottom w:val="none" w:sz="0" w:space="0" w:color="auto"/>
        <w:right w:val="none" w:sz="0" w:space="0" w:color="auto"/>
      </w:divBdr>
    </w:div>
    <w:div w:id="1484081683">
      <w:bodyDiv w:val="1"/>
      <w:marLeft w:val="0"/>
      <w:marRight w:val="0"/>
      <w:marTop w:val="0"/>
      <w:marBottom w:val="0"/>
      <w:divBdr>
        <w:top w:val="none" w:sz="0" w:space="0" w:color="auto"/>
        <w:left w:val="none" w:sz="0" w:space="0" w:color="auto"/>
        <w:bottom w:val="none" w:sz="0" w:space="0" w:color="auto"/>
        <w:right w:val="none" w:sz="0" w:space="0" w:color="auto"/>
      </w:divBdr>
    </w:div>
    <w:div w:id="182963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maine.gov/sos/cec/rules/10/144/ch101/c3s097f.doc"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76DCD-3471-4B87-BB6D-7736E38C7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2625</Words>
  <Characters>14967</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dc:description/>
  <cp:lastModifiedBy>michael.morin</cp:lastModifiedBy>
  <cp:revision>2</cp:revision>
  <cp:lastPrinted>2014-06-12T17:52:00Z</cp:lastPrinted>
  <dcterms:created xsi:type="dcterms:W3CDTF">2014-06-30T11:44:00Z</dcterms:created>
  <dcterms:modified xsi:type="dcterms:W3CDTF">2014-06-30T11:44:00Z</dcterms:modified>
</cp:coreProperties>
</file>