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6F" w:rsidRPr="005F7C09" w:rsidRDefault="00917F6F" w:rsidP="005F7C09">
      <w:pPr>
        <w:jc w:val="both"/>
      </w:pPr>
      <w:bookmarkStart w:id="0" w:name="_GoBack"/>
      <w:bookmarkEnd w:id="0"/>
    </w:p>
    <w:p w:rsidR="00A461C0" w:rsidRPr="005F7C09" w:rsidRDefault="00A461C0" w:rsidP="005F7C09">
      <w:pPr>
        <w:pStyle w:val="Heading4"/>
        <w:spacing w:before="0" w:after="0"/>
        <w:jc w:val="both"/>
        <w:rPr>
          <w:rFonts w:ascii="Times New Roman" w:hAnsi="Times New Roman"/>
          <w:sz w:val="24"/>
          <w:szCs w:val="24"/>
        </w:rPr>
      </w:pPr>
      <w:r w:rsidRPr="005F7C09">
        <w:rPr>
          <w:rFonts w:ascii="Times New Roman" w:hAnsi="Times New Roman"/>
          <w:sz w:val="24"/>
          <w:szCs w:val="24"/>
        </w:rPr>
        <w:t xml:space="preserve">Date: </w:t>
      </w:r>
      <w:r w:rsidR="00D87A67" w:rsidRPr="005F7C09">
        <w:rPr>
          <w:rFonts w:ascii="Times New Roman" w:hAnsi="Times New Roman"/>
          <w:sz w:val="24"/>
          <w:szCs w:val="24"/>
        </w:rPr>
        <w:tab/>
      </w:r>
      <w:r w:rsidRPr="005F7C09">
        <w:rPr>
          <w:rFonts w:ascii="Times New Roman" w:hAnsi="Times New Roman"/>
          <w:sz w:val="24"/>
          <w:szCs w:val="24"/>
        </w:rPr>
        <w:t xml:space="preserve"> </w:t>
      </w:r>
      <w:r w:rsidRPr="005F7C09">
        <w:rPr>
          <w:rFonts w:ascii="Times New Roman" w:hAnsi="Times New Roman"/>
          <w:sz w:val="24"/>
          <w:szCs w:val="24"/>
        </w:rPr>
        <w:tab/>
      </w:r>
      <w:r w:rsidR="007A659C" w:rsidRPr="005F7C09">
        <w:rPr>
          <w:rFonts w:ascii="Times New Roman" w:hAnsi="Times New Roman"/>
          <w:sz w:val="24"/>
          <w:szCs w:val="24"/>
        </w:rPr>
        <w:tab/>
      </w:r>
      <w:r w:rsidR="0044132D">
        <w:rPr>
          <w:rFonts w:ascii="Times New Roman" w:hAnsi="Times New Roman"/>
          <w:sz w:val="24"/>
          <w:szCs w:val="24"/>
        </w:rPr>
        <w:t>July 10</w:t>
      </w:r>
      <w:r w:rsidR="00836A0E">
        <w:rPr>
          <w:rFonts w:ascii="Times New Roman" w:hAnsi="Times New Roman"/>
          <w:sz w:val="24"/>
          <w:szCs w:val="24"/>
        </w:rPr>
        <w:t>, 2015</w:t>
      </w:r>
    </w:p>
    <w:p w:rsidR="00917F6F" w:rsidRPr="005F7C09" w:rsidRDefault="00917F6F" w:rsidP="005F7C09">
      <w:pPr>
        <w:jc w:val="both"/>
      </w:pPr>
    </w:p>
    <w:p w:rsidR="005B4607" w:rsidRPr="005F7C09" w:rsidRDefault="00A461C0" w:rsidP="005F7C09">
      <w:pPr>
        <w:ind w:left="1725" w:hanging="1725"/>
        <w:jc w:val="both"/>
        <w:rPr>
          <w:b/>
        </w:rPr>
      </w:pPr>
      <w:r w:rsidRPr="005F7C09">
        <w:rPr>
          <w:b/>
        </w:rPr>
        <w:t>Project</w:t>
      </w:r>
      <w:r w:rsidRPr="005F7C09">
        <w:t>:</w:t>
      </w:r>
      <w:r w:rsidRPr="005F7C09">
        <w:tab/>
      </w:r>
      <w:r w:rsidR="001F23C4" w:rsidRPr="005F7C09">
        <w:tab/>
      </w:r>
      <w:r w:rsidR="0062624E" w:rsidRPr="005F7C09">
        <w:rPr>
          <w:b/>
        </w:rPr>
        <w:t xml:space="preserve">Acquisition of Control of </w:t>
      </w:r>
      <w:r w:rsidR="00836A0E">
        <w:rPr>
          <w:b/>
        </w:rPr>
        <w:t>Durgin Pines</w:t>
      </w:r>
      <w:r w:rsidR="001F23C4" w:rsidRPr="005F7C09">
        <w:rPr>
          <w:b/>
        </w:rPr>
        <w:t xml:space="preserve"> </w:t>
      </w:r>
    </w:p>
    <w:p w:rsidR="00917F6F" w:rsidRPr="005F7C09" w:rsidRDefault="00917F6F" w:rsidP="005F7C09">
      <w:pPr>
        <w:ind w:left="1080" w:hanging="1080"/>
        <w:jc w:val="both"/>
        <w:rPr>
          <w:b/>
        </w:rPr>
      </w:pPr>
    </w:p>
    <w:p w:rsidR="00A461C0" w:rsidRPr="005F7C09" w:rsidRDefault="00A461C0" w:rsidP="005F7C09">
      <w:pPr>
        <w:ind w:left="1710" w:hanging="1710"/>
        <w:rPr>
          <w:b/>
        </w:rPr>
      </w:pPr>
      <w:r w:rsidRPr="005F7C09">
        <w:rPr>
          <w:b/>
        </w:rPr>
        <w:t xml:space="preserve">Proposal by: </w:t>
      </w:r>
      <w:r w:rsidRPr="005F7C09">
        <w:rPr>
          <w:b/>
        </w:rPr>
        <w:tab/>
      </w:r>
      <w:r w:rsidR="00836A0E">
        <w:rPr>
          <w:b/>
        </w:rPr>
        <w:t>Continuum Health Services for Durgin Pines</w:t>
      </w:r>
    </w:p>
    <w:p w:rsidR="002843F4" w:rsidRPr="005F7C09" w:rsidRDefault="002843F4" w:rsidP="005F7C09">
      <w:pPr>
        <w:ind w:left="1080" w:hanging="1080"/>
        <w:jc w:val="both"/>
      </w:pPr>
    </w:p>
    <w:p w:rsidR="00B8242F" w:rsidRPr="005F7C09" w:rsidRDefault="00A461C0" w:rsidP="005F7C09">
      <w:pPr>
        <w:jc w:val="both"/>
        <w:rPr>
          <w:b/>
        </w:rPr>
      </w:pPr>
      <w:r w:rsidRPr="005F7C09">
        <w:rPr>
          <w:b/>
        </w:rPr>
        <w:t>Prepared by:</w:t>
      </w:r>
      <w:r w:rsidRPr="005F7C09">
        <w:rPr>
          <w:b/>
        </w:rPr>
        <w:tab/>
        <w:t>Larry Carbonne</w:t>
      </w:r>
      <w:r w:rsidR="001804AF" w:rsidRPr="005F7C09">
        <w:rPr>
          <w:b/>
        </w:rPr>
        <w:t xml:space="preserve">au, </w:t>
      </w:r>
      <w:r w:rsidR="00A624BF" w:rsidRPr="005F7C09">
        <w:rPr>
          <w:b/>
        </w:rPr>
        <w:t>Manager</w:t>
      </w:r>
      <w:r w:rsidR="00411AD9" w:rsidRPr="005F7C09">
        <w:rPr>
          <w:b/>
        </w:rPr>
        <w:t xml:space="preserve"> </w:t>
      </w:r>
      <w:r w:rsidR="001804AF" w:rsidRPr="005F7C09">
        <w:rPr>
          <w:b/>
        </w:rPr>
        <w:t>Health</w:t>
      </w:r>
      <w:r w:rsidR="00A624BF" w:rsidRPr="005F7C09">
        <w:rPr>
          <w:b/>
        </w:rPr>
        <w:t xml:space="preserve"> C</w:t>
      </w:r>
      <w:r w:rsidR="001804AF" w:rsidRPr="005F7C09">
        <w:rPr>
          <w:b/>
        </w:rPr>
        <w:t xml:space="preserve">are </w:t>
      </w:r>
      <w:r w:rsidR="00A624BF" w:rsidRPr="005F7C09">
        <w:rPr>
          <w:b/>
        </w:rPr>
        <w:t>Oversight</w:t>
      </w:r>
    </w:p>
    <w:p w:rsidR="001804AF" w:rsidRPr="005F7C09" w:rsidRDefault="00B8242F" w:rsidP="005F7C09">
      <w:pPr>
        <w:ind w:left="1440" w:firstLine="288"/>
        <w:jc w:val="both"/>
        <w:rPr>
          <w:b/>
        </w:rPr>
      </w:pPr>
      <w:r w:rsidRPr="005F7C09">
        <w:rPr>
          <w:b/>
        </w:rPr>
        <w:t>Richard Lawrence, Senior Health</w:t>
      </w:r>
      <w:r w:rsidR="00A624BF" w:rsidRPr="005F7C09">
        <w:rPr>
          <w:b/>
        </w:rPr>
        <w:t xml:space="preserve"> C</w:t>
      </w:r>
      <w:r w:rsidRPr="005F7C09">
        <w:rPr>
          <w:b/>
        </w:rPr>
        <w:t>are Financial Analyst</w:t>
      </w:r>
    </w:p>
    <w:p w:rsidR="007A659C" w:rsidRPr="005F7C09" w:rsidRDefault="007A659C" w:rsidP="005F7C09">
      <w:pPr>
        <w:ind w:left="1440"/>
        <w:jc w:val="both"/>
        <w:rPr>
          <w:b/>
        </w:rPr>
      </w:pPr>
    </w:p>
    <w:p w:rsidR="00BF0D2E" w:rsidRPr="005F7C09" w:rsidRDefault="00A461C0" w:rsidP="005F7C09">
      <w:pPr>
        <w:jc w:val="both"/>
        <w:rPr>
          <w:b/>
        </w:rPr>
      </w:pPr>
      <w:r w:rsidRPr="005F7C09">
        <w:rPr>
          <w:b/>
        </w:rPr>
        <w:t>Directly Affected Party:</w:t>
      </w:r>
      <w:r w:rsidR="00D76F46" w:rsidRPr="005F7C09">
        <w:rPr>
          <w:b/>
        </w:rPr>
        <w:t xml:space="preserve">  None</w:t>
      </w:r>
    </w:p>
    <w:p w:rsidR="00BF0D2E" w:rsidRPr="005F7C09" w:rsidRDefault="00BF0D2E" w:rsidP="005F7C09">
      <w:pPr>
        <w:jc w:val="both"/>
        <w:rPr>
          <w:b/>
        </w:rPr>
      </w:pPr>
    </w:p>
    <w:p w:rsidR="00A461C0" w:rsidRPr="005F7C09" w:rsidRDefault="006A7CB7" w:rsidP="005F7C09">
      <w:pPr>
        <w:jc w:val="both"/>
        <w:rPr>
          <w:b/>
        </w:rPr>
      </w:pPr>
      <w:r w:rsidRPr="005F7C09">
        <w:rPr>
          <w:b/>
        </w:rPr>
        <w:t xml:space="preserve">Certificate of Need Unit </w:t>
      </w:r>
      <w:r w:rsidR="008F244E" w:rsidRPr="005F7C09">
        <w:rPr>
          <w:b/>
        </w:rPr>
        <w:t>Recommendation</w:t>
      </w:r>
      <w:r w:rsidR="00A461C0" w:rsidRPr="005F7C09">
        <w:rPr>
          <w:b/>
        </w:rPr>
        <w:t xml:space="preserve">: </w:t>
      </w:r>
      <w:r w:rsidR="006908B4" w:rsidRPr="005F7C09">
        <w:rPr>
          <w:b/>
        </w:rPr>
        <w:t>Approval</w:t>
      </w:r>
    </w:p>
    <w:p w:rsidR="00A461C0" w:rsidRPr="005F7C09" w:rsidRDefault="00A461C0" w:rsidP="005F7C09">
      <w:pPr>
        <w:jc w:val="both"/>
        <w:rPr>
          <w:b/>
        </w:rPr>
      </w:pPr>
    </w:p>
    <w:p w:rsidR="007A659C" w:rsidRPr="005F7C09" w:rsidRDefault="007A659C" w:rsidP="005F7C09">
      <w:pPr>
        <w:jc w:val="both"/>
        <w:rPr>
          <w:b/>
        </w:rPr>
      </w:pPr>
    </w:p>
    <w:p w:rsidR="00A461C0" w:rsidRPr="005F7C09" w:rsidRDefault="00A461C0" w:rsidP="005F7C09">
      <w:pPr>
        <w:pBdr>
          <w:bottom w:val="single" w:sz="12" w:space="1" w:color="auto"/>
        </w:pBdr>
        <w:jc w:val="both"/>
        <w:rPr>
          <w:b/>
        </w:rPr>
      </w:pPr>
      <w:r w:rsidRPr="005F7C09">
        <w:tab/>
      </w:r>
      <w:r w:rsidRPr="005F7C09">
        <w:tab/>
      </w:r>
      <w:r w:rsidRPr="005F7C09">
        <w:tab/>
      </w:r>
      <w:r w:rsidRPr="005F7C09">
        <w:tab/>
      </w:r>
      <w:r w:rsidRPr="005F7C09">
        <w:tab/>
      </w:r>
      <w:r w:rsidRPr="005F7C09">
        <w:tab/>
      </w:r>
      <w:r w:rsidR="001950B6" w:rsidRPr="005F7C09">
        <w:tab/>
      </w:r>
      <w:r w:rsidR="001950B6" w:rsidRPr="005F7C09">
        <w:tab/>
      </w:r>
      <w:r w:rsidR="001950B6" w:rsidRPr="005F7C09">
        <w:tab/>
      </w:r>
      <w:r w:rsidR="001950B6" w:rsidRPr="005F7C09">
        <w:tab/>
      </w:r>
      <w:r w:rsidR="001950B6" w:rsidRPr="005F7C09">
        <w:tab/>
      </w:r>
      <w:r w:rsidR="001950B6" w:rsidRPr="005F7C09">
        <w:tab/>
      </w:r>
      <w:r w:rsidRPr="005F7C09">
        <w:rPr>
          <w:b/>
        </w:rPr>
        <w:t>Proposed</w:t>
      </w:r>
      <w:r w:rsidRPr="005F7C09">
        <w:rPr>
          <w:b/>
        </w:rPr>
        <w:tab/>
      </w:r>
      <w:r w:rsidR="007A659C" w:rsidRPr="005F7C09">
        <w:rPr>
          <w:b/>
        </w:rPr>
        <w:tab/>
      </w:r>
      <w:r w:rsidRPr="005F7C09">
        <w:rPr>
          <w:b/>
        </w:rPr>
        <w:tab/>
        <w:t>Approved</w:t>
      </w:r>
    </w:p>
    <w:p w:rsidR="00A461C0" w:rsidRPr="005F7C09" w:rsidRDefault="00A461C0" w:rsidP="005F7C09">
      <w:pPr>
        <w:pBdr>
          <w:bottom w:val="single" w:sz="12" w:space="1" w:color="auto"/>
        </w:pBdr>
        <w:jc w:val="both"/>
      </w:pPr>
      <w:r w:rsidRPr="005F7C09">
        <w:rPr>
          <w:b/>
        </w:rPr>
        <w:tab/>
      </w:r>
      <w:r w:rsidRPr="005F7C09">
        <w:rPr>
          <w:b/>
        </w:rPr>
        <w:tab/>
      </w:r>
      <w:r w:rsidRPr="005F7C09">
        <w:rPr>
          <w:b/>
        </w:rPr>
        <w:tab/>
      </w:r>
      <w:r w:rsidRPr="005F7C09">
        <w:rPr>
          <w:b/>
        </w:rPr>
        <w:tab/>
      </w:r>
      <w:r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Pr="005F7C09">
        <w:rPr>
          <w:b/>
        </w:rPr>
        <w:tab/>
        <w:t>Per Applicant</w:t>
      </w:r>
      <w:r w:rsidRPr="005F7C09">
        <w:tab/>
      </w:r>
      <w:r w:rsidRPr="005F7C09">
        <w:tab/>
      </w:r>
      <w:r w:rsidRPr="005F7C09">
        <w:rPr>
          <w:b/>
        </w:rPr>
        <w:t>CON</w:t>
      </w:r>
    </w:p>
    <w:p w:rsidR="00A461C0" w:rsidRPr="005F7C09" w:rsidRDefault="00A461C0" w:rsidP="005F7C09">
      <w:pPr>
        <w:jc w:val="both"/>
      </w:pPr>
    </w:p>
    <w:p w:rsidR="00C634AE" w:rsidRPr="005F7C09" w:rsidRDefault="00A461C0" w:rsidP="005F7C09">
      <w:pPr>
        <w:jc w:val="both"/>
      </w:pPr>
      <w:r w:rsidRPr="005F7C09">
        <w:t xml:space="preserve">Estimated Capital Expenditure </w:t>
      </w:r>
      <w:r w:rsidRPr="005F7C09">
        <w:tab/>
      </w:r>
      <w:r w:rsidRPr="005F7C09">
        <w:tab/>
      </w:r>
      <w:r w:rsidR="001950B6" w:rsidRPr="005F7C09">
        <w:tab/>
      </w:r>
      <w:r w:rsidR="001950B6" w:rsidRPr="005F7C09">
        <w:tab/>
      </w:r>
      <w:r w:rsidR="001950B6" w:rsidRPr="005F7C09">
        <w:tab/>
      </w:r>
      <w:r w:rsidRPr="005F7C09">
        <w:tab/>
        <w:t>$</w:t>
      </w:r>
      <w:r w:rsidR="00FB05A5">
        <w:t>2,995,000</w:t>
      </w:r>
      <w:r w:rsidR="00C50049">
        <w:tab/>
      </w:r>
      <w:r w:rsidR="002843F4" w:rsidRPr="005F7C09">
        <w:tab/>
      </w:r>
      <w:r w:rsidR="00D844D5" w:rsidRPr="005F7C09">
        <w:t xml:space="preserve">       </w:t>
      </w:r>
      <w:r w:rsidRPr="005F7C09">
        <w:t>$</w:t>
      </w:r>
      <w:r w:rsidR="00C50049">
        <w:t>2,995,000</w:t>
      </w:r>
    </w:p>
    <w:p w:rsidR="00C50049" w:rsidRDefault="005B4607" w:rsidP="005F7C09">
      <w:pPr>
        <w:jc w:val="both"/>
      </w:pPr>
      <w:r w:rsidRPr="005F7C09">
        <w:t xml:space="preserve">Maximum Contingency </w:t>
      </w:r>
      <w:r w:rsidRPr="005F7C09">
        <w:tab/>
      </w:r>
      <w:r w:rsidRPr="005F7C09">
        <w:tab/>
      </w:r>
      <w:r w:rsidRPr="005F7C09">
        <w:tab/>
      </w:r>
      <w:r w:rsidR="001950B6" w:rsidRPr="005F7C09">
        <w:tab/>
      </w:r>
      <w:r w:rsidR="001950B6" w:rsidRPr="005F7C09">
        <w:tab/>
      </w:r>
      <w:r w:rsidR="001950B6" w:rsidRPr="005F7C09">
        <w:tab/>
      </w:r>
      <w:r w:rsidRPr="005F7C09">
        <w:tab/>
        <w:t>$</w:t>
      </w:r>
      <w:r w:rsidR="00C50049">
        <w:t>0</w:t>
      </w:r>
      <w:r w:rsidR="00C50049">
        <w:tab/>
      </w:r>
      <w:r w:rsidR="00C50049">
        <w:tab/>
      </w:r>
      <w:r w:rsidR="00C50049">
        <w:tab/>
      </w:r>
      <w:r w:rsidRPr="005F7C09">
        <w:t xml:space="preserve">       </w:t>
      </w:r>
      <w:r w:rsidR="00D844D5" w:rsidRPr="005F7C09">
        <w:t xml:space="preserve"> </w:t>
      </w:r>
      <w:r w:rsidRPr="005F7C09">
        <w:t xml:space="preserve"> </w:t>
      </w:r>
      <w:r w:rsidR="00D844D5" w:rsidRPr="005F7C09">
        <w:t xml:space="preserve">  </w:t>
      </w:r>
      <w:r w:rsidR="004B0A6B" w:rsidRPr="005F7C09">
        <w:tab/>
        <w:t>$</w:t>
      </w:r>
      <w:r w:rsidR="00C50049">
        <w:t>0</w:t>
      </w:r>
    </w:p>
    <w:p w:rsidR="00A461C0" w:rsidRPr="005F7C09" w:rsidRDefault="00A461C0" w:rsidP="005F7C09">
      <w:pPr>
        <w:jc w:val="both"/>
      </w:pPr>
      <w:r w:rsidRPr="005F7C09">
        <w:t>Total Capital Expenditure with Contingency</w:t>
      </w:r>
      <w:r w:rsidRPr="005F7C09">
        <w:tab/>
      </w:r>
      <w:r w:rsidR="001950B6" w:rsidRPr="005F7C09">
        <w:tab/>
      </w:r>
      <w:r w:rsidRPr="005F7C09">
        <w:tab/>
        <w:t>$</w:t>
      </w:r>
      <w:r w:rsidR="00C50049">
        <w:t>2,995,000</w:t>
      </w:r>
      <w:r w:rsidR="00E678EE">
        <w:tab/>
        <w:t xml:space="preserve">       </w:t>
      </w:r>
      <w:r w:rsidR="006D5A0F" w:rsidRPr="005F7C09">
        <w:tab/>
      </w:r>
      <w:r w:rsidR="00D844D5" w:rsidRPr="005F7C09">
        <w:tab/>
      </w:r>
      <w:r w:rsidRPr="005F7C09">
        <w:t>$</w:t>
      </w:r>
      <w:r w:rsidR="00C50049">
        <w:t>2,995,000</w:t>
      </w:r>
    </w:p>
    <w:p w:rsidR="00F803AB" w:rsidRPr="005F7C09" w:rsidRDefault="00B92A34" w:rsidP="005F7C09">
      <w:pPr>
        <w:pBdr>
          <w:bottom w:val="single" w:sz="12" w:space="1" w:color="auto"/>
        </w:pBdr>
        <w:jc w:val="both"/>
      </w:pPr>
      <w:r w:rsidRPr="005F7C09">
        <w:t>Pro-Forma Marginal Operating Costs</w:t>
      </w:r>
      <w:r w:rsidRPr="005F7C09">
        <w:tab/>
      </w:r>
      <w:r w:rsidR="001950B6" w:rsidRPr="005F7C09">
        <w:tab/>
      </w:r>
      <w:r w:rsidRPr="005F7C09">
        <w:tab/>
      </w:r>
      <w:r w:rsidR="008B0356" w:rsidRPr="005F7C09">
        <w:tab/>
        <w:t>$</w:t>
      </w:r>
      <w:r w:rsidR="00D844D5" w:rsidRPr="005F7C09">
        <w:t xml:space="preserve"> </w:t>
      </w:r>
      <w:r w:rsidR="00C50049">
        <w:t>0</w:t>
      </w:r>
      <w:r w:rsidR="00E678EE">
        <w:tab/>
      </w:r>
      <w:r w:rsidR="00E678EE">
        <w:tab/>
      </w:r>
      <w:r w:rsidR="008660FA" w:rsidRPr="005F7C09">
        <w:tab/>
      </w:r>
      <w:r w:rsidR="004B0A6B" w:rsidRPr="005F7C09">
        <w:tab/>
      </w:r>
      <w:r w:rsidR="00D844D5" w:rsidRPr="005F7C09">
        <w:tab/>
      </w:r>
      <w:r w:rsidR="00B8242F" w:rsidRPr="005F7C09">
        <w:t>$</w:t>
      </w:r>
      <w:r w:rsidR="00C50049">
        <w:t>0</w:t>
      </w:r>
    </w:p>
    <w:p w:rsidR="00A461C0" w:rsidRPr="005F7C09" w:rsidRDefault="00F803AB" w:rsidP="005F7C09">
      <w:pPr>
        <w:pBdr>
          <w:bottom w:val="single" w:sz="12" w:space="1" w:color="auto"/>
        </w:pBdr>
        <w:jc w:val="both"/>
      </w:pPr>
      <w:r w:rsidRPr="005F7C09">
        <w:t>MaineCare Neutrality Established</w:t>
      </w:r>
      <w:r w:rsidR="00062BF0" w:rsidRPr="005F7C09">
        <w:t xml:space="preserve">        </w:t>
      </w:r>
      <w:r w:rsidR="00CF25AD" w:rsidRPr="005F7C09">
        <w:tab/>
      </w:r>
      <w:r w:rsidR="001950B6" w:rsidRPr="005F7C09">
        <w:tab/>
      </w:r>
      <w:r w:rsidR="001950B6" w:rsidRPr="005F7C09">
        <w:tab/>
      </w:r>
      <w:r w:rsidR="001950B6" w:rsidRPr="005F7C09">
        <w:tab/>
      </w:r>
      <w:r w:rsidR="00CF25AD" w:rsidRPr="005F7C09">
        <w:tab/>
      </w:r>
      <w:r w:rsidR="00CF25AD" w:rsidRPr="005F7C09">
        <w:tab/>
      </w:r>
      <w:r w:rsidR="00CF25AD" w:rsidRPr="005F7C09">
        <w:tab/>
      </w:r>
      <w:r w:rsidR="00CF25AD" w:rsidRPr="005F7C09">
        <w:tab/>
      </w:r>
      <w:r w:rsidR="00D844D5" w:rsidRPr="005F7C09">
        <w:tab/>
      </w:r>
      <w:r w:rsidR="00CF25AD" w:rsidRPr="005F7C09">
        <w:t xml:space="preserve">    </w:t>
      </w:r>
      <w:r w:rsidR="00835A63" w:rsidRPr="005F7C09">
        <w:t xml:space="preserve"> </w:t>
      </w:r>
      <w:r w:rsidR="004B0A6B" w:rsidRPr="005F7C09">
        <w:tab/>
      </w:r>
      <w:r w:rsidR="00D116EA">
        <w:t xml:space="preserve">      </w:t>
      </w:r>
      <w:r w:rsidR="004B0A6B" w:rsidRPr="005F7C09">
        <w:t xml:space="preserve">   </w:t>
      </w:r>
      <w:r w:rsidR="00FE23DB" w:rsidRPr="005F7C09">
        <w:t xml:space="preserve">  </w:t>
      </w:r>
      <w:r w:rsidR="004B0A6B" w:rsidRPr="005F7C09">
        <w:t xml:space="preserve"> </w:t>
      </w:r>
      <w:r w:rsidR="00E678EE">
        <w:t>N/A</w:t>
      </w:r>
    </w:p>
    <w:p w:rsidR="00A461C0" w:rsidRPr="005F7C09" w:rsidRDefault="00A461C0" w:rsidP="005F7C09">
      <w:pPr>
        <w:pBdr>
          <w:bottom w:val="single" w:sz="12" w:space="1" w:color="auto"/>
        </w:pBdr>
        <w:jc w:val="both"/>
      </w:pPr>
    </w:p>
    <w:p w:rsidR="00A461C0" w:rsidRPr="005F7C09" w:rsidRDefault="00A461C0" w:rsidP="005F7C09">
      <w:pPr>
        <w:pStyle w:val="Heading1"/>
        <w:jc w:val="both"/>
        <w:rPr>
          <w:rFonts w:ascii="Times New Roman" w:hAnsi="Times New Roman" w:cs="Times New Roman"/>
        </w:rPr>
        <w:sectPr w:rsidR="00A461C0" w:rsidRPr="005F7C09" w:rsidSect="005D5C46">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F62A4F" w:rsidRPr="005F7C09" w:rsidRDefault="00F62A4F" w:rsidP="005F7C09">
      <w:pPr>
        <w:pStyle w:val="Heading1"/>
        <w:jc w:val="both"/>
        <w:rPr>
          <w:rFonts w:ascii="Times New Roman" w:hAnsi="Times New Roman" w:cs="Times New Roman"/>
        </w:rPr>
        <w:sectPr w:rsidR="00F62A4F" w:rsidRPr="005F7C09" w:rsidSect="00552817">
          <w:headerReference w:type="default" r:id="rId12"/>
          <w:type w:val="continuous"/>
          <w:pgSz w:w="12240" w:h="15840"/>
          <w:pgMar w:top="1440" w:right="1080" w:bottom="1440" w:left="1620" w:header="360" w:footer="720" w:gutter="0"/>
          <w:cols w:space="720"/>
          <w:docGrid w:linePitch="360"/>
        </w:sectPr>
      </w:pPr>
    </w:p>
    <w:p w:rsidR="00AE764D" w:rsidRPr="006D7098" w:rsidRDefault="00434034" w:rsidP="006D7098">
      <w:pPr>
        <w:pStyle w:val="Heading1"/>
        <w:spacing w:before="100" w:beforeAutospacing="1" w:after="0"/>
        <w:jc w:val="both"/>
        <w:rPr>
          <w:rFonts w:ascii="Times New Roman" w:hAnsi="Times New Roman" w:cs="Times New Roman"/>
        </w:rPr>
      </w:pPr>
      <w:r w:rsidRPr="006D7098">
        <w:rPr>
          <w:rFonts w:ascii="Times New Roman" w:hAnsi="Times New Roman" w:cs="Times New Roman"/>
        </w:rPr>
        <w:lastRenderedPageBreak/>
        <w:fldChar w:fldCharType="begin">
          <w:ffData>
            <w:name w:val="Text77"/>
            <w:enabled/>
            <w:calcOnExit w:val="0"/>
            <w:textInput/>
          </w:ffData>
        </w:fldChar>
      </w:r>
      <w:bookmarkStart w:id="1" w:name="Text77"/>
      <w:r w:rsidR="00BB1625" w:rsidRPr="006D7098">
        <w:rPr>
          <w:rFonts w:ascii="Times New Roman" w:hAnsi="Times New Roman" w:cs="Times New Roman"/>
        </w:rPr>
        <w:instrText xml:space="preserve"> FORMTEXT </w:instrText>
      </w:r>
      <w:r w:rsidRPr="006D7098">
        <w:rPr>
          <w:rFonts w:ascii="Times New Roman" w:hAnsi="Times New Roman" w:cs="Times New Roman"/>
        </w:rPr>
      </w:r>
      <w:r w:rsidRPr="006D7098">
        <w:rPr>
          <w:rFonts w:ascii="Times New Roman" w:hAnsi="Times New Roman" w:cs="Times New Roman"/>
        </w:rPr>
        <w:fldChar w:fldCharType="separate"/>
      </w:r>
      <w:r w:rsidR="00BB1625" w:rsidRPr="006D7098">
        <w:rPr>
          <w:rFonts w:ascii="Times New Roman" w:hAnsi="Times New Roman" w:cs="Times New Roman"/>
        </w:rPr>
        <w:t>I. Abstract</w:t>
      </w:r>
      <w:r w:rsidRPr="006D7098">
        <w:rPr>
          <w:rFonts w:ascii="Times New Roman" w:hAnsi="Times New Roman" w:cs="Times New Roman"/>
        </w:rPr>
        <w:fldChar w:fldCharType="end"/>
      </w:r>
      <w:bookmarkEnd w:id="1"/>
    </w:p>
    <w:p w:rsidR="00AE764D" w:rsidRPr="005F7C09" w:rsidRDefault="00AE764D" w:rsidP="005F7C09">
      <w:pPr>
        <w:jc w:val="both"/>
      </w:pPr>
    </w:p>
    <w:p w:rsidR="00F16789" w:rsidRPr="005F7C09" w:rsidRDefault="00C96CA2" w:rsidP="006D7098">
      <w:pPr>
        <w:jc w:val="both"/>
        <w:rPr>
          <w:b/>
        </w:rPr>
      </w:pPr>
      <w:r>
        <w:rPr>
          <w:b/>
        </w:rPr>
        <w:t>A.</w:t>
      </w:r>
      <w:r>
        <w:rPr>
          <w:b/>
        </w:rPr>
        <w:tab/>
      </w:r>
      <w:bookmarkStart w:id="2" w:name="_DV_C33"/>
      <w:r w:rsidR="000B726F">
        <w:rPr>
          <w:b/>
        </w:rPr>
        <w:t>From Applicant</w:t>
      </w:r>
    </w:p>
    <w:p w:rsidR="008500D6" w:rsidRPr="005F7C09" w:rsidRDefault="008500D6" w:rsidP="005F7C09">
      <w:pPr>
        <w:autoSpaceDE w:val="0"/>
        <w:autoSpaceDN w:val="0"/>
        <w:adjustRightInd w:val="0"/>
        <w:jc w:val="both"/>
        <w:rPr>
          <w:sz w:val="16"/>
          <w:szCs w:val="16"/>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p>
    <w:p w:rsidR="004E3398" w:rsidRPr="006D7098" w:rsidRDefault="00475E8E" w:rsidP="004E3398">
      <w:pPr>
        <w:jc w:val="both"/>
        <w:rPr>
          <w:sz w:val="22"/>
          <w:szCs w:val="22"/>
        </w:rPr>
      </w:pPr>
      <w:bookmarkStart w:id="12" w:name="_DV_M72"/>
      <w:bookmarkStart w:id="13" w:name="_Ref195319930"/>
      <w:bookmarkEnd w:id="2"/>
      <w:bookmarkEnd w:id="12"/>
      <w:r>
        <w:rPr>
          <w:sz w:val="22"/>
          <w:szCs w:val="22"/>
        </w:rPr>
        <w:t>“</w:t>
      </w:r>
      <w:r w:rsidR="004E3398" w:rsidRPr="006D7098">
        <w:rPr>
          <w:sz w:val="22"/>
          <w:szCs w:val="22"/>
        </w:rPr>
        <w:t>Sentry Commons, LLC (Sentry Commons) operates an 81-bed nursing facility leased from Kittery Commons, LLC (Kittery Commons) in Kittery, Maine, and operates under the d/b/a Durgin Pines.</w:t>
      </w:r>
      <w:r>
        <w:rPr>
          <w:sz w:val="22"/>
          <w:szCs w:val="22"/>
        </w:rPr>
        <w:t>”</w:t>
      </w:r>
      <w:r w:rsidR="004E3398" w:rsidRPr="006D7098">
        <w:rPr>
          <w:sz w:val="22"/>
          <w:szCs w:val="22"/>
        </w:rPr>
        <w:t xml:space="preserve"> </w:t>
      </w:r>
    </w:p>
    <w:p w:rsidR="004E3398" w:rsidRPr="006D7098" w:rsidRDefault="004E3398" w:rsidP="004E3398">
      <w:pPr>
        <w:jc w:val="both"/>
        <w:rPr>
          <w:sz w:val="22"/>
          <w:szCs w:val="22"/>
        </w:rPr>
      </w:pPr>
    </w:p>
    <w:p w:rsidR="004E3398" w:rsidRPr="006D7098" w:rsidRDefault="00475E8E" w:rsidP="004E3398">
      <w:pPr>
        <w:jc w:val="both"/>
        <w:rPr>
          <w:sz w:val="22"/>
          <w:szCs w:val="22"/>
        </w:rPr>
      </w:pPr>
      <w:r>
        <w:rPr>
          <w:sz w:val="22"/>
          <w:szCs w:val="22"/>
        </w:rPr>
        <w:t>“</w:t>
      </w:r>
      <w:r w:rsidR="004E3398" w:rsidRPr="006D7098">
        <w:rPr>
          <w:sz w:val="22"/>
          <w:szCs w:val="22"/>
        </w:rPr>
        <w:t>Durgin Pines opened in May 2008 as a replacement facility for Harbor Home and Homestead. Harbor Home and Homestead were antiquated facilities owned and operated by David Sowerby. Kittery Commons purchased the licensed beds in 1999 and a Certificate of Need was approved in December 2005 to build the replacement facility. Durgin Pines has operated in good standing since 2008. There have been no quality of life and no quality of care issues cited.</w:t>
      </w:r>
      <w:r>
        <w:rPr>
          <w:sz w:val="22"/>
          <w:szCs w:val="22"/>
        </w:rPr>
        <w:t>”</w:t>
      </w:r>
      <w:r w:rsidR="004E3398" w:rsidRPr="006D7098">
        <w:rPr>
          <w:sz w:val="22"/>
          <w:szCs w:val="22"/>
        </w:rPr>
        <w:t xml:space="preserve"> </w:t>
      </w:r>
    </w:p>
    <w:p w:rsidR="004E3398" w:rsidRPr="006D7098" w:rsidRDefault="004E3398" w:rsidP="004E3398">
      <w:pPr>
        <w:jc w:val="both"/>
        <w:rPr>
          <w:sz w:val="22"/>
          <w:szCs w:val="22"/>
        </w:rPr>
      </w:pPr>
    </w:p>
    <w:p w:rsidR="004E3398" w:rsidRPr="006D7098" w:rsidRDefault="00475E8E" w:rsidP="004E3398">
      <w:pPr>
        <w:jc w:val="both"/>
        <w:rPr>
          <w:sz w:val="22"/>
          <w:szCs w:val="22"/>
        </w:rPr>
      </w:pPr>
      <w:r>
        <w:rPr>
          <w:sz w:val="22"/>
          <w:szCs w:val="22"/>
        </w:rPr>
        <w:t>“</w:t>
      </w:r>
      <w:r w:rsidR="004E3398" w:rsidRPr="006D7098">
        <w:rPr>
          <w:sz w:val="22"/>
          <w:szCs w:val="22"/>
        </w:rPr>
        <w:t>Both Sentry Commons’ and Kittery Commons’ membership interests are currently owned 50% by Joseph Hogan and 50% by William Gillis. William Gillis wishes to retire. The proposed project involves Joseph Hogan purchasing William Gillis’ membership interests in each entity upon which he would be the sole owner of both entities.</w:t>
      </w:r>
      <w:r>
        <w:rPr>
          <w:sz w:val="22"/>
          <w:szCs w:val="22"/>
        </w:rPr>
        <w:t>”</w:t>
      </w:r>
      <w:r w:rsidR="004E3398" w:rsidRPr="006D7098">
        <w:rPr>
          <w:sz w:val="22"/>
          <w:szCs w:val="22"/>
        </w:rPr>
        <w:t xml:space="preserve"> </w:t>
      </w:r>
    </w:p>
    <w:p w:rsidR="004E3398" w:rsidRPr="006D7098" w:rsidRDefault="004E3398" w:rsidP="004E3398">
      <w:pPr>
        <w:jc w:val="both"/>
        <w:rPr>
          <w:sz w:val="22"/>
          <w:szCs w:val="22"/>
        </w:rPr>
      </w:pPr>
    </w:p>
    <w:p w:rsidR="004E3398" w:rsidRPr="006D7098" w:rsidRDefault="00475E8E" w:rsidP="004E3398">
      <w:pPr>
        <w:jc w:val="both"/>
        <w:rPr>
          <w:sz w:val="22"/>
          <w:szCs w:val="22"/>
        </w:rPr>
      </w:pPr>
      <w:r>
        <w:rPr>
          <w:sz w:val="22"/>
          <w:szCs w:val="22"/>
        </w:rPr>
        <w:t>“</w:t>
      </w:r>
      <w:r w:rsidR="004E3398" w:rsidRPr="006D7098">
        <w:rPr>
          <w:sz w:val="22"/>
          <w:szCs w:val="22"/>
        </w:rPr>
        <w:t>The following table summarizes ownership of the membership interests of both Kittery Commons and Sentry Commons before and after the proposed transaction:</w:t>
      </w:r>
    </w:p>
    <w:p w:rsidR="004E3398" w:rsidRPr="006D7098" w:rsidRDefault="004E3398" w:rsidP="004E3398">
      <w:pPr>
        <w:jc w:val="both"/>
        <w:rPr>
          <w:sz w:val="22"/>
          <w:szCs w:val="22"/>
        </w:rPr>
      </w:pPr>
    </w:p>
    <w:tbl>
      <w:tblPr>
        <w:tblW w:w="0" w:type="auto"/>
        <w:tblInd w:w="1170" w:type="dxa"/>
        <w:tblLayout w:type="fixed"/>
        <w:tblLook w:val="04A0" w:firstRow="1" w:lastRow="0" w:firstColumn="1" w:lastColumn="0" w:noHBand="0" w:noVBand="1"/>
      </w:tblPr>
      <w:tblGrid>
        <w:gridCol w:w="3168"/>
        <w:gridCol w:w="1530"/>
        <w:gridCol w:w="1620"/>
      </w:tblGrid>
      <w:tr w:rsidR="004E3398" w:rsidRPr="006D7098" w:rsidTr="008E14CD">
        <w:tc>
          <w:tcPr>
            <w:tcW w:w="3168" w:type="dxa"/>
          </w:tcPr>
          <w:p w:rsidR="004E3398" w:rsidRPr="006D7098" w:rsidRDefault="004E3398" w:rsidP="004E3398">
            <w:pPr>
              <w:spacing w:after="200" w:line="276" w:lineRule="auto"/>
              <w:jc w:val="both"/>
              <w:rPr>
                <w:b/>
                <w:sz w:val="22"/>
                <w:szCs w:val="22"/>
              </w:rPr>
            </w:pPr>
            <w:r w:rsidRPr="006D7098">
              <w:rPr>
                <w:b/>
                <w:sz w:val="22"/>
                <w:szCs w:val="22"/>
              </w:rPr>
              <w:t>Sentry Commons</w:t>
            </w:r>
          </w:p>
        </w:tc>
        <w:tc>
          <w:tcPr>
            <w:tcW w:w="1530" w:type="dxa"/>
          </w:tcPr>
          <w:p w:rsidR="004E3398" w:rsidRPr="006D7098" w:rsidRDefault="004E3398" w:rsidP="004E3398">
            <w:pPr>
              <w:spacing w:after="200" w:line="276" w:lineRule="auto"/>
              <w:jc w:val="center"/>
              <w:rPr>
                <w:sz w:val="22"/>
                <w:szCs w:val="22"/>
                <w:u w:val="single"/>
              </w:rPr>
            </w:pPr>
            <w:r w:rsidRPr="006D7098">
              <w:rPr>
                <w:sz w:val="22"/>
                <w:szCs w:val="22"/>
              </w:rPr>
              <w:t xml:space="preserve">Current </w:t>
            </w:r>
            <w:r w:rsidRPr="006D7098">
              <w:rPr>
                <w:sz w:val="22"/>
                <w:szCs w:val="22"/>
                <w:u w:val="single"/>
              </w:rPr>
              <w:t>Ownership</w:t>
            </w:r>
          </w:p>
        </w:tc>
        <w:tc>
          <w:tcPr>
            <w:tcW w:w="1620" w:type="dxa"/>
          </w:tcPr>
          <w:p w:rsidR="004E3398" w:rsidRPr="006D7098" w:rsidRDefault="004E3398" w:rsidP="004E3398">
            <w:pPr>
              <w:spacing w:after="200" w:line="276" w:lineRule="auto"/>
              <w:jc w:val="center"/>
              <w:rPr>
                <w:sz w:val="22"/>
                <w:szCs w:val="22"/>
                <w:u w:val="single"/>
              </w:rPr>
            </w:pPr>
            <w:r w:rsidRPr="006D7098">
              <w:rPr>
                <w:sz w:val="22"/>
                <w:szCs w:val="22"/>
              </w:rPr>
              <w:t xml:space="preserve">Proposed </w:t>
            </w:r>
            <w:r w:rsidRPr="006D7098">
              <w:rPr>
                <w:sz w:val="22"/>
                <w:szCs w:val="22"/>
                <w:u w:val="single"/>
              </w:rPr>
              <w:t>Ownership</w:t>
            </w:r>
          </w:p>
        </w:tc>
      </w:tr>
      <w:tr w:rsidR="004E3398" w:rsidRPr="006D7098" w:rsidTr="008E14CD">
        <w:tc>
          <w:tcPr>
            <w:tcW w:w="3168" w:type="dxa"/>
          </w:tcPr>
          <w:p w:rsidR="004E3398" w:rsidRPr="006D7098" w:rsidRDefault="004E3398" w:rsidP="004E3398">
            <w:pPr>
              <w:tabs>
                <w:tab w:val="left" w:pos="270"/>
              </w:tabs>
              <w:spacing w:after="200" w:line="276" w:lineRule="auto"/>
              <w:jc w:val="both"/>
              <w:rPr>
                <w:sz w:val="22"/>
                <w:szCs w:val="22"/>
              </w:rPr>
            </w:pPr>
            <w:r w:rsidRPr="006D7098">
              <w:rPr>
                <w:sz w:val="22"/>
                <w:szCs w:val="22"/>
              </w:rPr>
              <w:t xml:space="preserve"> Joseph Hogan</w:t>
            </w:r>
          </w:p>
        </w:tc>
        <w:tc>
          <w:tcPr>
            <w:tcW w:w="1530" w:type="dxa"/>
          </w:tcPr>
          <w:p w:rsidR="004E3398" w:rsidRPr="006D7098" w:rsidRDefault="004E3398" w:rsidP="004E3398">
            <w:pPr>
              <w:tabs>
                <w:tab w:val="decimal" w:pos="972"/>
                <w:tab w:val="decimal" w:pos="2268"/>
              </w:tabs>
              <w:spacing w:after="200" w:line="276" w:lineRule="auto"/>
              <w:rPr>
                <w:sz w:val="22"/>
                <w:szCs w:val="22"/>
              </w:rPr>
            </w:pPr>
            <w:r w:rsidRPr="006D7098">
              <w:rPr>
                <w:sz w:val="22"/>
                <w:szCs w:val="22"/>
              </w:rPr>
              <w:tab/>
              <w:t>50%</w:t>
            </w:r>
          </w:p>
        </w:tc>
        <w:tc>
          <w:tcPr>
            <w:tcW w:w="1620" w:type="dxa"/>
          </w:tcPr>
          <w:p w:rsidR="004E3398" w:rsidRPr="006D7098" w:rsidRDefault="004E3398" w:rsidP="004E3398">
            <w:pPr>
              <w:tabs>
                <w:tab w:val="right" w:pos="522"/>
                <w:tab w:val="decimal" w:pos="1062"/>
                <w:tab w:val="decimal" w:pos="2376"/>
              </w:tabs>
              <w:spacing w:after="200" w:line="276" w:lineRule="auto"/>
              <w:rPr>
                <w:sz w:val="22"/>
                <w:szCs w:val="22"/>
              </w:rPr>
            </w:pPr>
            <w:r w:rsidRPr="006D7098">
              <w:rPr>
                <w:sz w:val="22"/>
                <w:szCs w:val="22"/>
              </w:rPr>
              <w:tab/>
            </w:r>
            <w:r w:rsidRPr="006D7098">
              <w:rPr>
                <w:sz w:val="22"/>
                <w:szCs w:val="22"/>
              </w:rPr>
              <w:tab/>
              <w:t>100%</w:t>
            </w:r>
          </w:p>
        </w:tc>
      </w:tr>
      <w:tr w:rsidR="004E3398" w:rsidRPr="006D7098" w:rsidTr="008E14CD">
        <w:tc>
          <w:tcPr>
            <w:tcW w:w="3168" w:type="dxa"/>
          </w:tcPr>
          <w:p w:rsidR="004E3398" w:rsidRPr="006D7098" w:rsidRDefault="004E3398" w:rsidP="004E3398">
            <w:pPr>
              <w:tabs>
                <w:tab w:val="left" w:pos="270"/>
              </w:tabs>
              <w:spacing w:after="200" w:line="276" w:lineRule="auto"/>
              <w:jc w:val="both"/>
              <w:rPr>
                <w:sz w:val="22"/>
                <w:szCs w:val="22"/>
              </w:rPr>
            </w:pPr>
            <w:r w:rsidRPr="006D7098">
              <w:rPr>
                <w:sz w:val="22"/>
                <w:szCs w:val="22"/>
              </w:rPr>
              <w:t xml:space="preserve"> William Gillis</w:t>
            </w:r>
          </w:p>
        </w:tc>
        <w:tc>
          <w:tcPr>
            <w:tcW w:w="1530" w:type="dxa"/>
          </w:tcPr>
          <w:p w:rsidR="004E3398" w:rsidRPr="006D7098" w:rsidRDefault="004E3398" w:rsidP="004E3398">
            <w:pPr>
              <w:tabs>
                <w:tab w:val="decimal" w:pos="972"/>
                <w:tab w:val="decimal" w:pos="2268"/>
              </w:tabs>
              <w:spacing w:after="200" w:line="276" w:lineRule="auto"/>
              <w:rPr>
                <w:sz w:val="22"/>
                <w:szCs w:val="22"/>
                <w:u w:val="single"/>
              </w:rPr>
            </w:pPr>
            <w:r w:rsidRPr="006D7098">
              <w:rPr>
                <w:sz w:val="22"/>
                <w:szCs w:val="22"/>
              </w:rPr>
              <w:tab/>
            </w:r>
            <w:r w:rsidRPr="006D7098">
              <w:rPr>
                <w:sz w:val="22"/>
                <w:szCs w:val="22"/>
                <w:u w:val="single"/>
              </w:rPr>
              <w:t xml:space="preserve">  50</w:t>
            </w:r>
          </w:p>
        </w:tc>
        <w:tc>
          <w:tcPr>
            <w:tcW w:w="1620" w:type="dxa"/>
          </w:tcPr>
          <w:p w:rsidR="004E3398" w:rsidRPr="006D7098" w:rsidRDefault="004E3398" w:rsidP="004E3398">
            <w:pPr>
              <w:tabs>
                <w:tab w:val="right" w:pos="522"/>
                <w:tab w:val="decimal" w:pos="1062"/>
                <w:tab w:val="decimal" w:pos="2376"/>
              </w:tabs>
              <w:spacing w:after="200" w:line="276" w:lineRule="auto"/>
              <w:rPr>
                <w:sz w:val="22"/>
                <w:szCs w:val="22"/>
                <w:u w:val="single"/>
              </w:rPr>
            </w:pPr>
            <w:r w:rsidRPr="006D7098">
              <w:rPr>
                <w:sz w:val="22"/>
                <w:szCs w:val="22"/>
              </w:rPr>
              <w:tab/>
            </w:r>
            <w:r w:rsidRPr="006D7098">
              <w:rPr>
                <w:sz w:val="22"/>
                <w:szCs w:val="22"/>
              </w:rPr>
              <w:tab/>
            </w:r>
            <w:r w:rsidRPr="006D7098">
              <w:rPr>
                <w:sz w:val="22"/>
                <w:szCs w:val="22"/>
                <w:u w:val="single"/>
              </w:rPr>
              <w:t xml:space="preserve">     -</w:t>
            </w:r>
          </w:p>
        </w:tc>
      </w:tr>
      <w:tr w:rsidR="004E3398" w:rsidRPr="006D7098" w:rsidTr="008E14CD">
        <w:tc>
          <w:tcPr>
            <w:tcW w:w="3168" w:type="dxa"/>
          </w:tcPr>
          <w:p w:rsidR="004E3398" w:rsidRPr="006D7098" w:rsidRDefault="004E3398" w:rsidP="004E3398">
            <w:pPr>
              <w:tabs>
                <w:tab w:val="left" w:pos="1065"/>
              </w:tabs>
              <w:spacing w:after="200" w:line="276" w:lineRule="auto"/>
              <w:rPr>
                <w:sz w:val="22"/>
                <w:szCs w:val="22"/>
              </w:rPr>
            </w:pPr>
            <w:r w:rsidRPr="006D7098">
              <w:rPr>
                <w:sz w:val="22"/>
                <w:szCs w:val="22"/>
              </w:rPr>
              <w:t>Total membership interests</w:t>
            </w:r>
          </w:p>
        </w:tc>
        <w:tc>
          <w:tcPr>
            <w:tcW w:w="1530" w:type="dxa"/>
          </w:tcPr>
          <w:p w:rsidR="004E3398" w:rsidRPr="006D7098" w:rsidRDefault="004E3398" w:rsidP="004E3398">
            <w:pPr>
              <w:tabs>
                <w:tab w:val="right" w:pos="627"/>
                <w:tab w:val="decimal" w:pos="972"/>
                <w:tab w:val="decimal" w:pos="2268"/>
              </w:tabs>
              <w:spacing w:after="200" w:line="276" w:lineRule="auto"/>
              <w:rPr>
                <w:sz w:val="22"/>
                <w:szCs w:val="22"/>
                <w:u w:val="double"/>
              </w:rPr>
            </w:pPr>
            <w:r w:rsidRPr="006D7098">
              <w:rPr>
                <w:sz w:val="22"/>
                <w:szCs w:val="22"/>
              </w:rPr>
              <w:tab/>
            </w:r>
            <w:r w:rsidRPr="006D7098">
              <w:rPr>
                <w:sz w:val="22"/>
                <w:szCs w:val="22"/>
                <w:u w:val="double"/>
              </w:rPr>
              <w:tab/>
              <w:t>100</w:t>
            </w:r>
            <w:r w:rsidRPr="006D7098">
              <w:rPr>
                <w:sz w:val="22"/>
                <w:szCs w:val="22"/>
              </w:rPr>
              <w:t>%</w:t>
            </w:r>
          </w:p>
        </w:tc>
        <w:tc>
          <w:tcPr>
            <w:tcW w:w="1620" w:type="dxa"/>
          </w:tcPr>
          <w:p w:rsidR="004E3398" w:rsidRPr="006D7098" w:rsidRDefault="004E3398" w:rsidP="004E3398">
            <w:pPr>
              <w:tabs>
                <w:tab w:val="right" w:pos="702"/>
                <w:tab w:val="decimal" w:pos="1062"/>
                <w:tab w:val="decimal" w:pos="2376"/>
              </w:tabs>
              <w:spacing w:after="200" w:line="276" w:lineRule="auto"/>
              <w:rPr>
                <w:sz w:val="22"/>
                <w:szCs w:val="22"/>
                <w:u w:val="double"/>
              </w:rPr>
            </w:pPr>
            <w:r w:rsidRPr="006D7098">
              <w:rPr>
                <w:sz w:val="22"/>
                <w:szCs w:val="22"/>
              </w:rPr>
              <w:tab/>
            </w:r>
            <w:r w:rsidRPr="006D7098">
              <w:rPr>
                <w:sz w:val="22"/>
                <w:szCs w:val="22"/>
                <w:u w:val="double"/>
              </w:rPr>
              <w:tab/>
              <w:t>100</w:t>
            </w:r>
            <w:r w:rsidRPr="006D7098">
              <w:rPr>
                <w:sz w:val="22"/>
                <w:szCs w:val="22"/>
              </w:rPr>
              <w:t>%</w:t>
            </w:r>
          </w:p>
        </w:tc>
      </w:tr>
    </w:tbl>
    <w:p w:rsidR="004E3398" w:rsidRPr="006D7098" w:rsidRDefault="004E3398" w:rsidP="004E3398">
      <w:pPr>
        <w:spacing w:after="200" w:line="276" w:lineRule="auto"/>
        <w:jc w:val="both"/>
        <w:rPr>
          <w:sz w:val="22"/>
          <w:szCs w:val="22"/>
        </w:rPr>
      </w:pPr>
    </w:p>
    <w:tbl>
      <w:tblPr>
        <w:tblW w:w="6318" w:type="dxa"/>
        <w:tblInd w:w="1170" w:type="dxa"/>
        <w:tblLayout w:type="fixed"/>
        <w:tblLook w:val="04A0" w:firstRow="1" w:lastRow="0" w:firstColumn="1" w:lastColumn="0" w:noHBand="0" w:noVBand="1"/>
      </w:tblPr>
      <w:tblGrid>
        <w:gridCol w:w="3168"/>
        <w:gridCol w:w="1530"/>
        <w:gridCol w:w="1620"/>
      </w:tblGrid>
      <w:tr w:rsidR="004E3398" w:rsidRPr="006D7098" w:rsidTr="008E14CD">
        <w:tc>
          <w:tcPr>
            <w:tcW w:w="3168" w:type="dxa"/>
          </w:tcPr>
          <w:p w:rsidR="004E3398" w:rsidRPr="006D7098" w:rsidRDefault="004E3398" w:rsidP="004E3398">
            <w:pPr>
              <w:spacing w:after="200" w:line="276" w:lineRule="auto"/>
              <w:jc w:val="both"/>
              <w:rPr>
                <w:b/>
                <w:sz w:val="22"/>
                <w:szCs w:val="22"/>
              </w:rPr>
            </w:pPr>
            <w:r w:rsidRPr="006D7098">
              <w:rPr>
                <w:b/>
                <w:sz w:val="22"/>
                <w:szCs w:val="22"/>
              </w:rPr>
              <w:t>Kittery Commons</w:t>
            </w:r>
          </w:p>
        </w:tc>
        <w:tc>
          <w:tcPr>
            <w:tcW w:w="1530" w:type="dxa"/>
          </w:tcPr>
          <w:p w:rsidR="004E3398" w:rsidRPr="006D7098" w:rsidRDefault="004E3398" w:rsidP="004E3398">
            <w:pPr>
              <w:spacing w:after="200" w:line="276" w:lineRule="auto"/>
              <w:jc w:val="center"/>
              <w:rPr>
                <w:sz w:val="22"/>
                <w:szCs w:val="22"/>
                <w:u w:val="single"/>
              </w:rPr>
            </w:pPr>
            <w:r w:rsidRPr="006D7098">
              <w:rPr>
                <w:sz w:val="22"/>
                <w:szCs w:val="22"/>
              </w:rPr>
              <w:t xml:space="preserve">Current </w:t>
            </w:r>
            <w:r w:rsidRPr="006D7098">
              <w:rPr>
                <w:sz w:val="22"/>
                <w:szCs w:val="22"/>
                <w:u w:val="single"/>
              </w:rPr>
              <w:t>Ownership</w:t>
            </w:r>
          </w:p>
        </w:tc>
        <w:tc>
          <w:tcPr>
            <w:tcW w:w="1620" w:type="dxa"/>
          </w:tcPr>
          <w:p w:rsidR="004E3398" w:rsidRPr="006D7098" w:rsidRDefault="004E3398" w:rsidP="004E3398">
            <w:pPr>
              <w:spacing w:after="200" w:line="276" w:lineRule="auto"/>
              <w:jc w:val="center"/>
              <w:rPr>
                <w:sz w:val="22"/>
                <w:szCs w:val="22"/>
                <w:u w:val="single"/>
              </w:rPr>
            </w:pPr>
            <w:r w:rsidRPr="006D7098">
              <w:rPr>
                <w:sz w:val="22"/>
                <w:szCs w:val="22"/>
              </w:rPr>
              <w:t xml:space="preserve">Proposed </w:t>
            </w:r>
            <w:r w:rsidRPr="006D7098">
              <w:rPr>
                <w:sz w:val="22"/>
                <w:szCs w:val="22"/>
                <w:u w:val="single"/>
              </w:rPr>
              <w:t>Ownership</w:t>
            </w:r>
          </w:p>
        </w:tc>
      </w:tr>
      <w:tr w:rsidR="004E3398" w:rsidRPr="006D7098" w:rsidTr="008E14CD">
        <w:tc>
          <w:tcPr>
            <w:tcW w:w="3168" w:type="dxa"/>
          </w:tcPr>
          <w:p w:rsidR="004E3398" w:rsidRPr="006D7098" w:rsidRDefault="004E3398" w:rsidP="004E3398">
            <w:pPr>
              <w:tabs>
                <w:tab w:val="left" w:pos="270"/>
              </w:tabs>
              <w:spacing w:after="200" w:line="276" w:lineRule="auto"/>
              <w:jc w:val="both"/>
              <w:rPr>
                <w:sz w:val="22"/>
                <w:szCs w:val="22"/>
              </w:rPr>
            </w:pPr>
            <w:r w:rsidRPr="006D7098">
              <w:rPr>
                <w:sz w:val="22"/>
                <w:szCs w:val="22"/>
              </w:rPr>
              <w:t xml:space="preserve"> Joseph Hogan</w:t>
            </w:r>
          </w:p>
        </w:tc>
        <w:tc>
          <w:tcPr>
            <w:tcW w:w="1530" w:type="dxa"/>
          </w:tcPr>
          <w:p w:rsidR="004E3398" w:rsidRPr="006D7098" w:rsidRDefault="004E3398" w:rsidP="004E3398">
            <w:pPr>
              <w:tabs>
                <w:tab w:val="decimal" w:pos="972"/>
                <w:tab w:val="decimal" w:pos="2268"/>
              </w:tabs>
              <w:spacing w:after="200" w:line="276" w:lineRule="auto"/>
              <w:rPr>
                <w:sz w:val="22"/>
                <w:szCs w:val="22"/>
              </w:rPr>
            </w:pPr>
            <w:r w:rsidRPr="006D7098">
              <w:rPr>
                <w:sz w:val="22"/>
                <w:szCs w:val="22"/>
              </w:rPr>
              <w:tab/>
              <w:t>50%</w:t>
            </w:r>
          </w:p>
        </w:tc>
        <w:tc>
          <w:tcPr>
            <w:tcW w:w="1620" w:type="dxa"/>
          </w:tcPr>
          <w:p w:rsidR="004E3398" w:rsidRPr="006D7098" w:rsidRDefault="004E3398" w:rsidP="004E3398">
            <w:pPr>
              <w:tabs>
                <w:tab w:val="right" w:pos="522"/>
                <w:tab w:val="decimal" w:pos="1062"/>
                <w:tab w:val="decimal" w:pos="2376"/>
              </w:tabs>
              <w:spacing w:after="200" w:line="276" w:lineRule="auto"/>
              <w:rPr>
                <w:sz w:val="22"/>
                <w:szCs w:val="22"/>
              </w:rPr>
            </w:pPr>
            <w:r w:rsidRPr="006D7098">
              <w:rPr>
                <w:sz w:val="22"/>
                <w:szCs w:val="22"/>
              </w:rPr>
              <w:tab/>
            </w:r>
            <w:r w:rsidRPr="006D7098">
              <w:rPr>
                <w:sz w:val="22"/>
                <w:szCs w:val="22"/>
              </w:rPr>
              <w:tab/>
              <w:t>100%</w:t>
            </w:r>
          </w:p>
        </w:tc>
      </w:tr>
      <w:tr w:rsidR="004E3398" w:rsidRPr="006D7098" w:rsidTr="008E14CD">
        <w:tc>
          <w:tcPr>
            <w:tcW w:w="3168" w:type="dxa"/>
          </w:tcPr>
          <w:p w:rsidR="004E3398" w:rsidRPr="006D7098" w:rsidRDefault="004E3398" w:rsidP="004E3398">
            <w:pPr>
              <w:tabs>
                <w:tab w:val="left" w:pos="270"/>
              </w:tabs>
              <w:spacing w:after="200" w:line="276" w:lineRule="auto"/>
              <w:jc w:val="both"/>
              <w:rPr>
                <w:sz w:val="22"/>
                <w:szCs w:val="22"/>
              </w:rPr>
            </w:pPr>
            <w:r w:rsidRPr="006D7098">
              <w:rPr>
                <w:sz w:val="22"/>
                <w:szCs w:val="22"/>
              </w:rPr>
              <w:t xml:space="preserve"> William Gillis</w:t>
            </w:r>
          </w:p>
        </w:tc>
        <w:tc>
          <w:tcPr>
            <w:tcW w:w="1530" w:type="dxa"/>
          </w:tcPr>
          <w:p w:rsidR="004E3398" w:rsidRPr="006D7098" w:rsidRDefault="004E3398" w:rsidP="004E3398">
            <w:pPr>
              <w:tabs>
                <w:tab w:val="decimal" w:pos="972"/>
                <w:tab w:val="decimal" w:pos="2268"/>
              </w:tabs>
              <w:spacing w:after="200" w:line="276" w:lineRule="auto"/>
              <w:rPr>
                <w:sz w:val="22"/>
                <w:szCs w:val="22"/>
                <w:u w:val="single"/>
              </w:rPr>
            </w:pPr>
            <w:r w:rsidRPr="006D7098">
              <w:rPr>
                <w:sz w:val="22"/>
                <w:szCs w:val="22"/>
              </w:rPr>
              <w:tab/>
            </w:r>
            <w:r w:rsidRPr="006D7098">
              <w:rPr>
                <w:sz w:val="22"/>
                <w:szCs w:val="22"/>
                <w:u w:val="single"/>
              </w:rPr>
              <w:t xml:space="preserve">  50</w:t>
            </w:r>
          </w:p>
        </w:tc>
        <w:tc>
          <w:tcPr>
            <w:tcW w:w="1620" w:type="dxa"/>
          </w:tcPr>
          <w:p w:rsidR="004E3398" w:rsidRPr="006D7098" w:rsidRDefault="004E3398" w:rsidP="004E3398">
            <w:pPr>
              <w:tabs>
                <w:tab w:val="right" w:pos="522"/>
                <w:tab w:val="decimal" w:pos="1062"/>
                <w:tab w:val="decimal" w:pos="2376"/>
              </w:tabs>
              <w:spacing w:after="200" w:line="276" w:lineRule="auto"/>
              <w:rPr>
                <w:sz w:val="22"/>
                <w:szCs w:val="22"/>
                <w:u w:val="single"/>
              </w:rPr>
            </w:pPr>
            <w:r w:rsidRPr="006D7098">
              <w:rPr>
                <w:sz w:val="22"/>
                <w:szCs w:val="22"/>
              </w:rPr>
              <w:tab/>
            </w:r>
            <w:r w:rsidRPr="006D7098">
              <w:rPr>
                <w:sz w:val="22"/>
                <w:szCs w:val="22"/>
              </w:rPr>
              <w:tab/>
            </w:r>
            <w:r w:rsidRPr="006D7098">
              <w:rPr>
                <w:sz w:val="22"/>
                <w:szCs w:val="22"/>
                <w:u w:val="single"/>
              </w:rPr>
              <w:t xml:space="preserve">     -</w:t>
            </w:r>
          </w:p>
        </w:tc>
      </w:tr>
      <w:tr w:rsidR="004E3398" w:rsidRPr="006D7098" w:rsidTr="008E14CD">
        <w:tc>
          <w:tcPr>
            <w:tcW w:w="3168" w:type="dxa"/>
          </w:tcPr>
          <w:p w:rsidR="004E3398" w:rsidRPr="006D7098" w:rsidRDefault="004E3398" w:rsidP="004E3398">
            <w:pPr>
              <w:tabs>
                <w:tab w:val="left" w:pos="1065"/>
              </w:tabs>
              <w:spacing w:after="200" w:line="276" w:lineRule="auto"/>
              <w:rPr>
                <w:sz w:val="22"/>
                <w:szCs w:val="22"/>
              </w:rPr>
            </w:pPr>
            <w:r w:rsidRPr="006D7098">
              <w:rPr>
                <w:sz w:val="22"/>
                <w:szCs w:val="22"/>
              </w:rPr>
              <w:t>Total membership interests</w:t>
            </w:r>
          </w:p>
        </w:tc>
        <w:tc>
          <w:tcPr>
            <w:tcW w:w="1530" w:type="dxa"/>
          </w:tcPr>
          <w:p w:rsidR="004E3398" w:rsidRPr="006D7098" w:rsidRDefault="004E3398" w:rsidP="004E3398">
            <w:pPr>
              <w:tabs>
                <w:tab w:val="right" w:pos="627"/>
                <w:tab w:val="decimal" w:pos="972"/>
                <w:tab w:val="decimal" w:pos="2268"/>
              </w:tabs>
              <w:spacing w:after="200" w:line="276" w:lineRule="auto"/>
              <w:rPr>
                <w:sz w:val="22"/>
                <w:szCs w:val="22"/>
                <w:u w:val="double"/>
              </w:rPr>
            </w:pPr>
            <w:r w:rsidRPr="006D7098">
              <w:rPr>
                <w:sz w:val="22"/>
                <w:szCs w:val="22"/>
              </w:rPr>
              <w:tab/>
            </w:r>
            <w:r w:rsidRPr="006D7098">
              <w:rPr>
                <w:sz w:val="22"/>
                <w:szCs w:val="22"/>
                <w:u w:val="double"/>
              </w:rPr>
              <w:tab/>
              <w:t>100</w:t>
            </w:r>
            <w:r w:rsidRPr="006D7098">
              <w:rPr>
                <w:sz w:val="22"/>
                <w:szCs w:val="22"/>
              </w:rPr>
              <w:t>%</w:t>
            </w:r>
          </w:p>
        </w:tc>
        <w:tc>
          <w:tcPr>
            <w:tcW w:w="1620" w:type="dxa"/>
          </w:tcPr>
          <w:p w:rsidR="004E3398" w:rsidRPr="006D7098" w:rsidRDefault="004E3398" w:rsidP="004E3398">
            <w:pPr>
              <w:tabs>
                <w:tab w:val="right" w:pos="702"/>
                <w:tab w:val="decimal" w:pos="1062"/>
                <w:tab w:val="decimal" w:pos="2376"/>
              </w:tabs>
              <w:spacing w:after="200" w:line="276" w:lineRule="auto"/>
              <w:rPr>
                <w:sz w:val="22"/>
                <w:szCs w:val="22"/>
                <w:u w:val="double"/>
              </w:rPr>
            </w:pPr>
            <w:r w:rsidRPr="006D7098">
              <w:rPr>
                <w:sz w:val="22"/>
                <w:szCs w:val="22"/>
              </w:rPr>
              <w:tab/>
            </w:r>
            <w:r w:rsidRPr="006D7098">
              <w:rPr>
                <w:sz w:val="22"/>
                <w:szCs w:val="22"/>
                <w:u w:val="double"/>
              </w:rPr>
              <w:tab/>
              <w:t>100</w:t>
            </w:r>
            <w:r w:rsidRPr="006D7098">
              <w:rPr>
                <w:sz w:val="22"/>
                <w:szCs w:val="22"/>
              </w:rPr>
              <w:t>%</w:t>
            </w:r>
          </w:p>
        </w:tc>
      </w:tr>
    </w:tbl>
    <w:p w:rsidR="004E3398" w:rsidRPr="006D7098" w:rsidRDefault="004E3398" w:rsidP="004E3398">
      <w:pPr>
        <w:jc w:val="both"/>
        <w:rPr>
          <w:sz w:val="22"/>
          <w:szCs w:val="22"/>
        </w:rPr>
      </w:pPr>
    </w:p>
    <w:p w:rsidR="004E3398" w:rsidRPr="006D7098" w:rsidRDefault="00475E8E" w:rsidP="004E3398">
      <w:pPr>
        <w:jc w:val="both"/>
        <w:rPr>
          <w:sz w:val="22"/>
          <w:szCs w:val="22"/>
        </w:rPr>
      </w:pPr>
      <w:r>
        <w:rPr>
          <w:sz w:val="22"/>
          <w:szCs w:val="22"/>
        </w:rPr>
        <w:t>“</w:t>
      </w:r>
      <w:r w:rsidR="004E3398" w:rsidRPr="006D7098">
        <w:rPr>
          <w:sz w:val="22"/>
          <w:szCs w:val="22"/>
        </w:rPr>
        <w:t>The transfers of ownership will occur as soon as reasonably feasible upon approval of the proposed project by the Division of Licensing and Regulatory Services (DLRS). This project does not propose any changes to the licensed beds at Durgin Pines, or significant changes to occupancy, payor mix or the allowable rate therefore having no anticipated impact on MaineCare funding requirements.</w:t>
      </w:r>
      <w:r>
        <w:rPr>
          <w:sz w:val="22"/>
          <w:szCs w:val="22"/>
        </w:rPr>
        <w:t>”</w:t>
      </w:r>
    </w:p>
    <w:p w:rsidR="00DE75CD" w:rsidRPr="005F7C09" w:rsidRDefault="00DE75CD" w:rsidP="005F7C09">
      <w:pPr>
        <w:pStyle w:val="Heading1"/>
        <w:jc w:val="both"/>
        <w:rPr>
          <w:rFonts w:ascii="Times New Roman" w:hAnsi="Times New Roman" w:cs="Times New Roman"/>
        </w:rPr>
        <w:sectPr w:rsidR="00DE75CD" w:rsidRPr="005F7C09" w:rsidSect="000F59B6">
          <w:headerReference w:type="default" r:id="rId13"/>
          <w:pgSz w:w="12240" w:h="15840"/>
          <w:pgMar w:top="1440" w:right="1440" w:bottom="1440" w:left="1440" w:header="720" w:footer="720" w:gutter="0"/>
          <w:cols w:space="720"/>
          <w:docGrid w:linePitch="360"/>
        </w:sectPr>
      </w:pPr>
    </w:p>
    <w:p w:rsidR="004336AF" w:rsidRPr="006D7098" w:rsidRDefault="004336AF" w:rsidP="006D7098">
      <w:pPr>
        <w:pStyle w:val="Heading1"/>
        <w:spacing w:before="100" w:beforeAutospacing="1" w:after="0"/>
        <w:jc w:val="both"/>
        <w:rPr>
          <w:rFonts w:ascii="Times New Roman" w:hAnsi="Times New Roman" w:cs="Times New Roman"/>
        </w:rPr>
      </w:pPr>
      <w:r w:rsidRPr="006D7098">
        <w:rPr>
          <w:rFonts w:ascii="Times New Roman" w:hAnsi="Times New Roman" w:cs="Times New Roman"/>
        </w:rPr>
        <w:lastRenderedPageBreak/>
        <w:t>I</w:t>
      </w:r>
      <w:r w:rsidR="00BB1625" w:rsidRPr="006D7098">
        <w:rPr>
          <w:rFonts w:ascii="Times New Roman" w:hAnsi="Times New Roman" w:cs="Times New Roman"/>
        </w:rPr>
        <w:t>I</w:t>
      </w:r>
      <w:r w:rsidRPr="006D7098">
        <w:rPr>
          <w:rFonts w:ascii="Times New Roman" w:hAnsi="Times New Roman" w:cs="Times New Roman"/>
        </w:rPr>
        <w:t xml:space="preserve">. </w:t>
      </w:r>
      <w:bookmarkEnd w:id="13"/>
      <w:r w:rsidR="00BB1625" w:rsidRPr="006D7098">
        <w:rPr>
          <w:rFonts w:ascii="Times New Roman" w:hAnsi="Times New Roman" w:cs="Times New Roman"/>
        </w:rPr>
        <w:t>Fit, Willing and Able</w:t>
      </w:r>
    </w:p>
    <w:p w:rsidR="004336AF" w:rsidRPr="006D7098" w:rsidRDefault="004336AF" w:rsidP="005F7C09">
      <w:pPr>
        <w:jc w:val="both"/>
        <w:rPr>
          <w:sz w:val="16"/>
          <w:szCs w:val="16"/>
        </w:rPr>
      </w:pPr>
    </w:p>
    <w:p w:rsidR="00BB1625" w:rsidRPr="005907BB" w:rsidRDefault="000B726F" w:rsidP="006D7098">
      <w:pPr>
        <w:pStyle w:val="ListParagraph"/>
        <w:numPr>
          <w:ilvl w:val="0"/>
          <w:numId w:val="29"/>
        </w:numPr>
        <w:ind w:left="0" w:firstLine="0"/>
        <w:jc w:val="both"/>
        <w:rPr>
          <w:b/>
        </w:rPr>
      </w:pPr>
      <w:r>
        <w:rPr>
          <w:b/>
        </w:rPr>
        <w:t>From Applicant</w:t>
      </w:r>
    </w:p>
    <w:p w:rsidR="005907BB" w:rsidRPr="006D7098" w:rsidRDefault="005907BB" w:rsidP="005907BB">
      <w:pPr>
        <w:ind w:left="432"/>
        <w:jc w:val="both"/>
        <w:rPr>
          <w:b/>
          <w:sz w:val="10"/>
          <w:szCs w:val="10"/>
        </w:rPr>
      </w:pPr>
    </w:p>
    <w:p w:rsidR="00A056A4" w:rsidRPr="006D7098" w:rsidRDefault="00475E8E" w:rsidP="00A056A4">
      <w:pPr>
        <w:jc w:val="both"/>
        <w:rPr>
          <w:sz w:val="22"/>
          <w:szCs w:val="22"/>
        </w:rPr>
      </w:pPr>
      <w:r>
        <w:rPr>
          <w:sz w:val="22"/>
          <w:szCs w:val="22"/>
        </w:rPr>
        <w:t>“</w:t>
      </w:r>
      <w:r w:rsidR="00A056A4" w:rsidRPr="006D7098">
        <w:rPr>
          <w:sz w:val="22"/>
          <w:szCs w:val="22"/>
        </w:rPr>
        <w:t>Both Sentry Commons, LLC’s and Kittery Commons, LLC’s membership interests are currently owned 50% by Joseph Hogan and 50% by William Gillis. The proposed project involves Joseph Hogan purchasing William Gillis’ membership interests in each entity upon which he would be the sole owner of both entities.</w:t>
      </w:r>
      <w:r>
        <w:rPr>
          <w:sz w:val="22"/>
          <w:szCs w:val="22"/>
        </w:rPr>
        <w:t>”</w:t>
      </w:r>
    </w:p>
    <w:p w:rsidR="00A056A4" w:rsidRPr="006D7098" w:rsidRDefault="00A056A4" w:rsidP="00A056A4">
      <w:pPr>
        <w:jc w:val="both"/>
        <w:rPr>
          <w:sz w:val="10"/>
          <w:szCs w:val="10"/>
        </w:rPr>
      </w:pPr>
    </w:p>
    <w:p w:rsidR="00A056A4" w:rsidRPr="006D7098" w:rsidRDefault="00475E8E" w:rsidP="00A056A4">
      <w:pPr>
        <w:jc w:val="both"/>
        <w:rPr>
          <w:sz w:val="22"/>
          <w:szCs w:val="22"/>
        </w:rPr>
      </w:pPr>
      <w:r>
        <w:rPr>
          <w:sz w:val="22"/>
          <w:szCs w:val="22"/>
        </w:rPr>
        <w:t>“</w:t>
      </w:r>
      <w:r w:rsidR="00A056A4" w:rsidRPr="006D7098">
        <w:rPr>
          <w:sz w:val="22"/>
          <w:szCs w:val="22"/>
        </w:rPr>
        <w:t>The current management team is as follows:</w:t>
      </w:r>
    </w:p>
    <w:p w:rsidR="00A056A4" w:rsidRPr="006D7098" w:rsidRDefault="00A056A4" w:rsidP="00A056A4">
      <w:pPr>
        <w:jc w:val="both"/>
        <w:rPr>
          <w:sz w:val="10"/>
          <w:szCs w:val="10"/>
        </w:rPr>
      </w:pPr>
    </w:p>
    <w:p w:rsidR="00A056A4" w:rsidRPr="006D7098" w:rsidRDefault="00A056A4" w:rsidP="00A056A4">
      <w:pPr>
        <w:jc w:val="both"/>
        <w:rPr>
          <w:sz w:val="22"/>
          <w:szCs w:val="22"/>
        </w:rPr>
      </w:pPr>
      <w:r w:rsidRPr="006D7098">
        <w:rPr>
          <w:sz w:val="22"/>
          <w:szCs w:val="22"/>
        </w:rPr>
        <w:t>Joseph Hogan owns and operates Continuum Health Services in Lewiston, Clover Manor in Auburn; Gorham House and Gorham Manor in Gorham; Sentry Hill in York; and Durgin Pines in Kittery. Mr. Hogan has been a licensed nursing home administrator in good standing since 1985. He was also involved in the development of Dirigo Pines Retirement Community in Orono. See Exhibit A for further information.</w:t>
      </w:r>
      <w:r w:rsidR="00475E8E">
        <w:rPr>
          <w:sz w:val="22"/>
          <w:szCs w:val="22"/>
        </w:rPr>
        <w:t>”</w:t>
      </w:r>
    </w:p>
    <w:p w:rsidR="00A056A4" w:rsidRPr="006D7098" w:rsidRDefault="00A056A4" w:rsidP="00A056A4">
      <w:pPr>
        <w:jc w:val="both"/>
        <w:rPr>
          <w:sz w:val="10"/>
          <w:szCs w:val="10"/>
        </w:rPr>
      </w:pPr>
    </w:p>
    <w:p w:rsidR="00A056A4" w:rsidRPr="006D7098" w:rsidRDefault="00475E8E" w:rsidP="00A056A4">
      <w:pPr>
        <w:jc w:val="both"/>
        <w:rPr>
          <w:sz w:val="22"/>
          <w:szCs w:val="22"/>
        </w:rPr>
      </w:pPr>
      <w:r>
        <w:rPr>
          <w:sz w:val="22"/>
          <w:szCs w:val="22"/>
        </w:rPr>
        <w:t>“</w:t>
      </w:r>
      <w:r w:rsidR="00A056A4" w:rsidRPr="006D7098">
        <w:rPr>
          <w:sz w:val="22"/>
          <w:szCs w:val="22"/>
        </w:rPr>
        <w:t>Venise Minkowsky, CEO, has been a licensed nursing home administrator in good standing since 1990. Ms. Minkowsky is an MSW. She joined Mr. Hogan in 1995 as the administrator of Gorham House and then assisted in the development of Sentry Hill in 1998 and the development of Durgin Pines in 2007. Ms. Minkowsky serves as a board member of the Maine Health Care Association. See Exhibit A.1 for further information.</w:t>
      </w:r>
      <w:r>
        <w:rPr>
          <w:sz w:val="22"/>
          <w:szCs w:val="22"/>
        </w:rPr>
        <w:t>”</w:t>
      </w:r>
    </w:p>
    <w:p w:rsidR="00A056A4" w:rsidRPr="006D7098" w:rsidRDefault="00A056A4" w:rsidP="00A056A4">
      <w:pPr>
        <w:jc w:val="both"/>
        <w:rPr>
          <w:sz w:val="10"/>
          <w:szCs w:val="10"/>
        </w:rPr>
      </w:pPr>
    </w:p>
    <w:p w:rsidR="00A056A4" w:rsidRPr="006D7098" w:rsidRDefault="00475E8E" w:rsidP="00A056A4">
      <w:pPr>
        <w:jc w:val="both"/>
        <w:rPr>
          <w:rFonts w:eastAsia="Calibri"/>
          <w:sz w:val="22"/>
          <w:szCs w:val="22"/>
        </w:rPr>
      </w:pPr>
      <w:r>
        <w:rPr>
          <w:sz w:val="22"/>
          <w:szCs w:val="22"/>
        </w:rPr>
        <w:t>“</w:t>
      </w:r>
      <w:r w:rsidR="00A056A4" w:rsidRPr="006D7098">
        <w:rPr>
          <w:sz w:val="22"/>
          <w:szCs w:val="22"/>
        </w:rPr>
        <w:t xml:space="preserve">Nick Bridges is the administrator of Durgin Pines. He received his administrator’s license in 2013. Mr. Bridges has an M.S. in Occupational Therapy and he worked at Harbor Home as a licensed therapist and as the therapy program director until becoming the administrator of Durgin Pines in 2013. In </w:t>
      </w:r>
      <w:r w:rsidR="00A056A4" w:rsidRPr="006D7098">
        <w:rPr>
          <w:rFonts w:eastAsia="Calibri"/>
          <w:sz w:val="22"/>
          <w:szCs w:val="22"/>
        </w:rPr>
        <w:t>2014, he was selected as an American Health Care Association Future Leader in LTC (1 of 35 selected nationally). In 2014 and 2015, Mr. Bridges was an American College of Health Care Administrators (ACHCA) Eli Pick Award Winner. He also has been invited to present numerous times throughout the country at both state and national conferences on quality improvement projects and results. See Exhibit A.2 for further information.</w:t>
      </w:r>
      <w:r>
        <w:rPr>
          <w:rFonts w:eastAsia="Calibri"/>
          <w:sz w:val="22"/>
          <w:szCs w:val="22"/>
        </w:rPr>
        <w:t>”</w:t>
      </w:r>
    </w:p>
    <w:p w:rsidR="00A056A4" w:rsidRPr="006D7098" w:rsidRDefault="00A056A4" w:rsidP="00A056A4">
      <w:pPr>
        <w:jc w:val="both"/>
        <w:rPr>
          <w:rFonts w:eastAsia="Calibri"/>
          <w:sz w:val="10"/>
          <w:szCs w:val="10"/>
        </w:rPr>
      </w:pPr>
    </w:p>
    <w:p w:rsidR="00A056A4" w:rsidRPr="006D7098" w:rsidRDefault="00475E8E" w:rsidP="00A056A4">
      <w:pPr>
        <w:jc w:val="both"/>
        <w:rPr>
          <w:rFonts w:eastAsia="Calibri"/>
          <w:sz w:val="22"/>
          <w:szCs w:val="22"/>
        </w:rPr>
      </w:pPr>
      <w:r>
        <w:rPr>
          <w:rFonts w:eastAsia="Calibri"/>
          <w:sz w:val="22"/>
          <w:szCs w:val="22"/>
        </w:rPr>
        <w:t>“</w:t>
      </w:r>
      <w:r w:rsidR="00A056A4" w:rsidRPr="006D7098">
        <w:rPr>
          <w:rFonts w:eastAsia="Calibri"/>
          <w:sz w:val="22"/>
          <w:szCs w:val="22"/>
        </w:rPr>
        <w:t>In 1999, Continuum Health Services was formed. Continuum provides management services to Mr. Hogan’s affiliated entities:</w:t>
      </w:r>
    </w:p>
    <w:p w:rsidR="00A056A4" w:rsidRPr="006D7098" w:rsidRDefault="00A056A4" w:rsidP="00A056A4">
      <w:pPr>
        <w:rPr>
          <w:rFonts w:eastAsia="Calibri"/>
          <w:sz w:val="10"/>
          <w:szCs w:val="10"/>
        </w:rPr>
      </w:pPr>
    </w:p>
    <w:p w:rsidR="00A056A4" w:rsidRPr="006D7098" w:rsidRDefault="00A056A4" w:rsidP="00A056A4">
      <w:pPr>
        <w:numPr>
          <w:ilvl w:val="0"/>
          <w:numId w:val="30"/>
        </w:numPr>
        <w:spacing w:line="276" w:lineRule="auto"/>
        <w:contextualSpacing/>
        <w:jc w:val="both"/>
        <w:rPr>
          <w:rFonts w:eastAsia="Calibri"/>
          <w:sz w:val="22"/>
          <w:szCs w:val="22"/>
        </w:rPr>
      </w:pPr>
      <w:r w:rsidRPr="006D7098">
        <w:rPr>
          <w:rFonts w:eastAsia="Calibri"/>
          <w:sz w:val="22"/>
          <w:szCs w:val="22"/>
        </w:rPr>
        <w:t>Clover Manor, 440 Minot Avenue, Auburn, ME</w:t>
      </w:r>
    </w:p>
    <w:p w:rsidR="00A056A4" w:rsidRPr="006D7098" w:rsidRDefault="00A056A4" w:rsidP="00A056A4">
      <w:pPr>
        <w:numPr>
          <w:ilvl w:val="0"/>
          <w:numId w:val="30"/>
        </w:numPr>
        <w:spacing w:line="276" w:lineRule="auto"/>
        <w:contextualSpacing/>
        <w:jc w:val="both"/>
        <w:rPr>
          <w:rFonts w:eastAsia="Calibri"/>
          <w:sz w:val="22"/>
          <w:szCs w:val="22"/>
        </w:rPr>
      </w:pPr>
      <w:r w:rsidRPr="006D7098">
        <w:rPr>
          <w:rFonts w:eastAsia="Calibri"/>
          <w:sz w:val="22"/>
          <w:szCs w:val="22"/>
        </w:rPr>
        <w:t>Gorham House, 50 New Portland Road, Gorham, ME</w:t>
      </w:r>
    </w:p>
    <w:p w:rsidR="00A056A4" w:rsidRPr="006D7098" w:rsidRDefault="00A056A4" w:rsidP="00A056A4">
      <w:pPr>
        <w:numPr>
          <w:ilvl w:val="0"/>
          <w:numId w:val="30"/>
        </w:numPr>
        <w:spacing w:line="276" w:lineRule="auto"/>
        <w:contextualSpacing/>
        <w:jc w:val="both"/>
        <w:rPr>
          <w:rFonts w:eastAsia="Calibri"/>
          <w:sz w:val="22"/>
          <w:szCs w:val="22"/>
        </w:rPr>
      </w:pPr>
      <w:r w:rsidRPr="006D7098">
        <w:rPr>
          <w:rFonts w:eastAsia="Calibri"/>
          <w:sz w:val="22"/>
          <w:szCs w:val="22"/>
        </w:rPr>
        <w:t>Gorham Manor, 30 New Portland Road, Gorham, ME</w:t>
      </w:r>
    </w:p>
    <w:p w:rsidR="00A056A4" w:rsidRPr="006D7098" w:rsidRDefault="00A056A4" w:rsidP="00A056A4">
      <w:pPr>
        <w:numPr>
          <w:ilvl w:val="0"/>
          <w:numId w:val="30"/>
        </w:numPr>
        <w:spacing w:line="276" w:lineRule="auto"/>
        <w:contextualSpacing/>
        <w:jc w:val="both"/>
        <w:rPr>
          <w:rFonts w:eastAsia="Calibri"/>
          <w:sz w:val="22"/>
          <w:szCs w:val="22"/>
        </w:rPr>
      </w:pPr>
      <w:r w:rsidRPr="006D7098">
        <w:rPr>
          <w:rFonts w:eastAsia="Calibri"/>
          <w:sz w:val="22"/>
          <w:szCs w:val="22"/>
        </w:rPr>
        <w:t>Sentry Hill, 2 Victoria Court, York, ME</w:t>
      </w:r>
    </w:p>
    <w:p w:rsidR="00A056A4" w:rsidRPr="006D7098" w:rsidRDefault="00A056A4" w:rsidP="00A056A4">
      <w:pPr>
        <w:numPr>
          <w:ilvl w:val="0"/>
          <w:numId w:val="30"/>
        </w:numPr>
        <w:spacing w:line="276" w:lineRule="auto"/>
        <w:contextualSpacing/>
        <w:jc w:val="both"/>
        <w:rPr>
          <w:rFonts w:eastAsia="Calibri"/>
          <w:sz w:val="22"/>
          <w:szCs w:val="22"/>
        </w:rPr>
      </w:pPr>
      <w:r w:rsidRPr="006D7098">
        <w:rPr>
          <w:rFonts w:eastAsia="Calibri"/>
          <w:sz w:val="22"/>
          <w:szCs w:val="22"/>
        </w:rPr>
        <w:t>Durgin Pines, 9 Lewis Road, Kittery, ME</w:t>
      </w:r>
      <w:r w:rsidR="00475E8E">
        <w:rPr>
          <w:rFonts w:eastAsia="Calibri"/>
          <w:sz w:val="22"/>
          <w:szCs w:val="22"/>
        </w:rPr>
        <w:t>”</w:t>
      </w:r>
    </w:p>
    <w:p w:rsidR="00A056A4" w:rsidRPr="006D7098" w:rsidRDefault="00A056A4" w:rsidP="00A056A4">
      <w:pPr>
        <w:ind w:left="1440"/>
        <w:contextualSpacing/>
        <w:rPr>
          <w:rFonts w:eastAsia="Calibri"/>
          <w:sz w:val="10"/>
          <w:szCs w:val="10"/>
        </w:rPr>
      </w:pPr>
    </w:p>
    <w:p w:rsidR="00A056A4" w:rsidRPr="006D7098" w:rsidRDefault="00475E8E" w:rsidP="00A056A4">
      <w:pPr>
        <w:jc w:val="both"/>
        <w:rPr>
          <w:rFonts w:eastAsia="Calibri"/>
          <w:sz w:val="22"/>
          <w:szCs w:val="22"/>
        </w:rPr>
      </w:pPr>
      <w:r>
        <w:rPr>
          <w:rFonts w:eastAsia="Calibri"/>
          <w:sz w:val="22"/>
          <w:szCs w:val="22"/>
        </w:rPr>
        <w:t>“</w:t>
      </w:r>
      <w:r w:rsidR="00A056A4" w:rsidRPr="006D7098">
        <w:rPr>
          <w:rFonts w:eastAsia="Calibri"/>
          <w:sz w:val="22"/>
          <w:szCs w:val="22"/>
        </w:rPr>
        <w:t>Continuum has twelve employees and offers accounting and budgeting management, financial analysis, capital budgets, regulatory compliance audits, human resources management, and operational review.</w:t>
      </w:r>
      <w:r>
        <w:rPr>
          <w:rFonts w:eastAsia="Calibri"/>
          <w:sz w:val="22"/>
          <w:szCs w:val="22"/>
        </w:rPr>
        <w:t>”</w:t>
      </w:r>
    </w:p>
    <w:p w:rsidR="00A056A4" w:rsidRPr="006D7098" w:rsidRDefault="00A056A4" w:rsidP="00A056A4">
      <w:pPr>
        <w:jc w:val="both"/>
        <w:rPr>
          <w:rFonts w:eastAsia="Calibri"/>
          <w:sz w:val="10"/>
          <w:szCs w:val="10"/>
        </w:rPr>
      </w:pPr>
    </w:p>
    <w:p w:rsidR="00A056A4" w:rsidRPr="006D7098" w:rsidRDefault="00475E8E" w:rsidP="00A056A4">
      <w:pPr>
        <w:jc w:val="both"/>
        <w:rPr>
          <w:sz w:val="22"/>
          <w:szCs w:val="22"/>
        </w:rPr>
      </w:pPr>
      <w:r>
        <w:rPr>
          <w:rFonts w:eastAsia="Calibri"/>
          <w:sz w:val="22"/>
          <w:szCs w:val="22"/>
        </w:rPr>
        <w:t>“</w:t>
      </w:r>
      <w:r w:rsidR="00A056A4" w:rsidRPr="006D7098">
        <w:rPr>
          <w:rFonts w:eastAsia="Calibri"/>
          <w:sz w:val="22"/>
          <w:szCs w:val="22"/>
        </w:rPr>
        <w:t xml:space="preserve">All of the Continuum affiliated facilities have received good annual state surveys with no fines or significant deficiencies. </w:t>
      </w:r>
      <w:r w:rsidR="00A056A4" w:rsidRPr="006D7098">
        <w:rPr>
          <w:sz w:val="22"/>
          <w:szCs w:val="22"/>
        </w:rPr>
        <w:t>Included as Exhibit B are the last three Statements of Deficiencies from annual state surveys specifically for Durgin Pines.</w:t>
      </w:r>
      <w:r>
        <w:rPr>
          <w:sz w:val="22"/>
          <w:szCs w:val="22"/>
        </w:rPr>
        <w:t>”</w:t>
      </w:r>
      <w:r w:rsidR="00A056A4" w:rsidRPr="006D7098">
        <w:rPr>
          <w:sz w:val="22"/>
          <w:szCs w:val="22"/>
        </w:rPr>
        <w:t xml:space="preserve"> </w:t>
      </w:r>
    </w:p>
    <w:p w:rsidR="006D7098" w:rsidRPr="006D7098" w:rsidRDefault="006D7098" w:rsidP="00A056A4">
      <w:pPr>
        <w:jc w:val="both"/>
        <w:rPr>
          <w:rFonts w:eastAsia="Calibri"/>
          <w:sz w:val="10"/>
          <w:szCs w:val="10"/>
        </w:rPr>
      </w:pPr>
    </w:p>
    <w:p w:rsidR="00A056A4" w:rsidRDefault="00475E8E" w:rsidP="00A056A4">
      <w:pPr>
        <w:jc w:val="both"/>
        <w:rPr>
          <w:rFonts w:eastAsia="Calibri"/>
          <w:sz w:val="22"/>
          <w:szCs w:val="22"/>
        </w:rPr>
      </w:pPr>
      <w:r>
        <w:rPr>
          <w:rFonts w:eastAsia="Calibri"/>
          <w:sz w:val="22"/>
          <w:szCs w:val="22"/>
        </w:rPr>
        <w:t>“</w:t>
      </w:r>
      <w:r w:rsidR="00A056A4" w:rsidRPr="006D7098">
        <w:rPr>
          <w:rFonts w:eastAsia="Calibri"/>
          <w:sz w:val="22"/>
          <w:szCs w:val="22"/>
        </w:rPr>
        <w:t>The proposed change of ownership will have no impact on the management and operations of Durgin Pines. Nick Bridges will continue as the administrator. Mr. Hogan and Ms. Minkowsky will continue in their current roles at Continuum Health Services.</w:t>
      </w:r>
      <w:r>
        <w:rPr>
          <w:rFonts w:eastAsia="Calibri"/>
          <w:sz w:val="22"/>
          <w:szCs w:val="22"/>
        </w:rPr>
        <w:t>”</w:t>
      </w:r>
      <w:r w:rsidR="00A056A4" w:rsidRPr="006D7098">
        <w:rPr>
          <w:rFonts w:eastAsia="Calibri"/>
          <w:sz w:val="22"/>
          <w:szCs w:val="22"/>
        </w:rPr>
        <w:t xml:space="preserve"> </w:t>
      </w:r>
    </w:p>
    <w:p w:rsidR="006D7098" w:rsidRPr="006D7098" w:rsidRDefault="006D7098" w:rsidP="00A056A4">
      <w:pPr>
        <w:jc w:val="both"/>
        <w:rPr>
          <w:rFonts w:eastAsia="Calibri"/>
          <w:color w:val="FF0000"/>
          <w:sz w:val="22"/>
          <w:szCs w:val="22"/>
        </w:rPr>
      </w:pPr>
    </w:p>
    <w:p w:rsidR="006D7098" w:rsidRDefault="006D7098" w:rsidP="005907BB">
      <w:pPr>
        <w:ind w:left="432"/>
        <w:jc w:val="both"/>
        <w:rPr>
          <w:b/>
        </w:rPr>
        <w:sectPr w:rsidR="006D7098" w:rsidSect="00137E29">
          <w:headerReference w:type="default" r:id="rId14"/>
          <w:pgSz w:w="12240" w:h="15840"/>
          <w:pgMar w:top="1440" w:right="1440" w:bottom="1440" w:left="1440" w:header="720" w:footer="720" w:gutter="0"/>
          <w:cols w:space="720"/>
          <w:docGrid w:linePitch="360"/>
        </w:sectPr>
      </w:pPr>
    </w:p>
    <w:p w:rsidR="00E20C60" w:rsidRPr="005F7C09" w:rsidRDefault="00E20C60" w:rsidP="005F7C09">
      <w:pPr>
        <w:jc w:val="both"/>
        <w:rPr>
          <w:b/>
          <w:sz w:val="16"/>
          <w:szCs w:val="16"/>
          <w:u w:val="single"/>
        </w:rPr>
      </w:pPr>
    </w:p>
    <w:p w:rsidR="008E41AC" w:rsidRPr="006D7098" w:rsidRDefault="00137E29" w:rsidP="006D7098">
      <w:pPr>
        <w:jc w:val="both"/>
        <w:rPr>
          <w:b/>
          <w:u w:val="single"/>
        </w:rPr>
      </w:pPr>
      <w:r w:rsidRPr="000B726F">
        <w:rPr>
          <w:b/>
        </w:rPr>
        <w:t xml:space="preserve">B. </w:t>
      </w:r>
      <w:r w:rsidR="000B726F">
        <w:rPr>
          <w:b/>
        </w:rPr>
        <w:tab/>
      </w:r>
      <w:r w:rsidR="006A7CB7" w:rsidRPr="006D7098">
        <w:rPr>
          <w:b/>
          <w:u w:val="single"/>
        </w:rPr>
        <w:t>Certificate of Need Unit</w:t>
      </w:r>
      <w:r w:rsidR="0011537D" w:rsidRPr="006D7098">
        <w:rPr>
          <w:b/>
          <w:u w:val="single"/>
        </w:rPr>
        <w:t xml:space="preserve"> Discussion</w:t>
      </w:r>
    </w:p>
    <w:p w:rsidR="00F16789" w:rsidRPr="005F7C09" w:rsidRDefault="00F16789" w:rsidP="005F7C09">
      <w:pPr>
        <w:jc w:val="both"/>
        <w:rPr>
          <w:b/>
        </w:rPr>
      </w:pPr>
    </w:p>
    <w:p w:rsidR="008E41AC" w:rsidRPr="00797B1A" w:rsidRDefault="00797B1A" w:rsidP="00797B1A">
      <w:pPr>
        <w:pStyle w:val="ListParagraph"/>
        <w:numPr>
          <w:ilvl w:val="0"/>
          <w:numId w:val="34"/>
        </w:numPr>
        <w:ind w:left="720"/>
        <w:jc w:val="both"/>
        <w:rPr>
          <w:b/>
        </w:rPr>
      </w:pPr>
      <w:r w:rsidRPr="00797B1A">
        <w:rPr>
          <w:b/>
        </w:rPr>
        <w:t>CON</w:t>
      </w:r>
      <w:r w:rsidR="008E41AC" w:rsidRPr="00797B1A">
        <w:rPr>
          <w:b/>
        </w:rPr>
        <w:t xml:space="preserve"> </w:t>
      </w:r>
      <w:r w:rsidR="00E7467A" w:rsidRPr="00797B1A">
        <w:rPr>
          <w:b/>
        </w:rPr>
        <w:t>Standard</w:t>
      </w:r>
    </w:p>
    <w:p w:rsidR="008E41AC" w:rsidRPr="005F7C09" w:rsidRDefault="008E41AC" w:rsidP="005F7C09">
      <w:pPr>
        <w:jc w:val="both"/>
      </w:pPr>
    </w:p>
    <w:p w:rsidR="008E41AC" w:rsidRPr="005F7C09" w:rsidRDefault="008E41AC" w:rsidP="005F7C09">
      <w:pPr>
        <w:jc w:val="both"/>
        <w:rPr>
          <w:b/>
        </w:rPr>
      </w:pPr>
      <w:r w:rsidRPr="005F7C09">
        <w:t xml:space="preserve">Relevant </w:t>
      </w:r>
      <w:r w:rsidR="00E7467A" w:rsidRPr="005F7C09">
        <w:t>standards</w:t>
      </w:r>
      <w:r w:rsidRPr="005F7C09">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5F7C09" w:rsidRDefault="008E41AC" w:rsidP="005F7C09">
      <w:pPr>
        <w:jc w:val="both"/>
        <w:rPr>
          <w:b/>
        </w:rPr>
      </w:pPr>
    </w:p>
    <w:p w:rsidR="008E41AC" w:rsidRPr="00797B1A" w:rsidRDefault="00797B1A" w:rsidP="00797B1A">
      <w:pPr>
        <w:pStyle w:val="ListParagraph"/>
        <w:numPr>
          <w:ilvl w:val="0"/>
          <w:numId w:val="34"/>
        </w:numPr>
        <w:ind w:left="720"/>
        <w:jc w:val="both"/>
        <w:rPr>
          <w:b/>
        </w:rPr>
      </w:pPr>
      <w:r w:rsidRPr="00797B1A">
        <w:rPr>
          <w:b/>
        </w:rPr>
        <w:t>CON Unit</w:t>
      </w:r>
      <w:r w:rsidR="008F244E" w:rsidRPr="00797B1A">
        <w:rPr>
          <w:b/>
        </w:rPr>
        <w:t xml:space="preserve"> Analysis</w:t>
      </w:r>
    </w:p>
    <w:p w:rsidR="008E41AC" w:rsidRPr="005F7C09" w:rsidRDefault="008E41AC" w:rsidP="005F7C09">
      <w:pPr>
        <w:jc w:val="both"/>
        <w:rPr>
          <w:b/>
        </w:rPr>
      </w:pPr>
    </w:p>
    <w:p w:rsidR="00BE6DEE" w:rsidRPr="005F7C09" w:rsidRDefault="00125AC7" w:rsidP="005F7C09">
      <w:pPr>
        <w:pStyle w:val="ListParagraph"/>
        <w:ind w:left="0"/>
        <w:jc w:val="both"/>
      </w:pPr>
      <w:r>
        <w:t>Durgin Pines</w:t>
      </w:r>
      <w:r w:rsidR="00BE6DEE" w:rsidRPr="005F7C09">
        <w:t xml:space="preserve"> is licensed for </w:t>
      </w:r>
      <w:r>
        <w:t>26 SNF and 55 NF beds</w:t>
      </w:r>
      <w:r w:rsidR="004D4436" w:rsidRPr="005F7C09">
        <w:t>.</w:t>
      </w:r>
      <w:r w:rsidR="00BE6DEE" w:rsidRPr="005F7C09">
        <w:t xml:space="preserve"> The facility is located at </w:t>
      </w:r>
      <w:r>
        <w:t>9 Lewis Road in Kittery, Maine</w:t>
      </w:r>
      <w:r w:rsidR="004D4436" w:rsidRPr="005F7C09">
        <w:t>.</w:t>
      </w:r>
      <w:r w:rsidR="00BE6DEE" w:rsidRPr="005F7C09">
        <w:t xml:space="preserve"> The administrator is </w:t>
      </w:r>
      <w:r>
        <w:t>Nicholas P. Bridges</w:t>
      </w:r>
      <w:r w:rsidR="00BE6DEE" w:rsidRPr="005F7C09">
        <w:t xml:space="preserve">. The license was issued on </w:t>
      </w:r>
      <w:r>
        <w:t>March 2, 2015</w:t>
      </w:r>
      <w:r w:rsidR="00BE6DEE" w:rsidRPr="005F7C09">
        <w:t xml:space="preserve"> and is valid </w:t>
      </w:r>
      <w:r w:rsidR="00C07354" w:rsidRPr="005F7C09">
        <w:t>through</w:t>
      </w:r>
      <w:r w:rsidR="00BE6DEE" w:rsidRPr="005F7C09">
        <w:t xml:space="preserve"> </w:t>
      </w:r>
      <w:r>
        <w:t>March 31, 2016.</w:t>
      </w:r>
    </w:p>
    <w:p w:rsidR="00BE6DEE" w:rsidRPr="005F7C09" w:rsidRDefault="00BE6DEE" w:rsidP="005F7C09">
      <w:pPr>
        <w:pStyle w:val="ListParagraph"/>
        <w:ind w:left="0"/>
        <w:jc w:val="both"/>
      </w:pPr>
    </w:p>
    <w:p w:rsidR="00C01153" w:rsidRPr="005F7C09" w:rsidRDefault="00BE6DEE" w:rsidP="005F7C09">
      <w:pPr>
        <w:pStyle w:val="ListParagraph"/>
        <w:ind w:left="0"/>
        <w:jc w:val="both"/>
      </w:pPr>
      <w:r w:rsidRPr="005F7C09">
        <w:t xml:space="preserve">A review of </w:t>
      </w:r>
      <w:r w:rsidR="00125AC7">
        <w:t>Durgin Pines</w:t>
      </w:r>
      <w:r w:rsidRPr="005F7C09">
        <w:t xml:space="preserve"> last completed survey data, available from Medicare.gov website revealed the following ratings:</w:t>
      </w:r>
    </w:p>
    <w:p w:rsidR="00BE6DEE" w:rsidRPr="005F7C09" w:rsidRDefault="00BE6DEE" w:rsidP="005F7C09">
      <w:pPr>
        <w:pStyle w:val="ListParagraph"/>
        <w:ind w:left="0"/>
        <w:jc w:val="both"/>
      </w:pPr>
    </w:p>
    <w:tbl>
      <w:tblPr>
        <w:tblW w:w="0" w:type="auto"/>
        <w:jc w:val="center"/>
        <w:tblInd w:w="1200" w:type="dxa"/>
        <w:tblLayout w:type="fixed"/>
        <w:tblCellMar>
          <w:left w:w="30" w:type="dxa"/>
          <w:right w:w="30" w:type="dxa"/>
        </w:tblCellMar>
        <w:tblLook w:val="0000" w:firstRow="0" w:lastRow="0" w:firstColumn="0" w:lastColumn="0" w:noHBand="0" w:noVBand="0"/>
      </w:tblPr>
      <w:tblGrid>
        <w:gridCol w:w="2524"/>
        <w:gridCol w:w="2710"/>
      </w:tblGrid>
      <w:tr w:rsidR="00BE6DEE" w:rsidRPr="005F7C09" w:rsidTr="00515BB8">
        <w:trPr>
          <w:trHeight w:val="290"/>
          <w:jc w:val="center"/>
        </w:trPr>
        <w:tc>
          <w:tcPr>
            <w:tcW w:w="5234" w:type="dxa"/>
            <w:gridSpan w:val="2"/>
            <w:tcBorders>
              <w:top w:val="single" w:sz="6" w:space="0" w:color="auto"/>
              <w:left w:val="single" w:sz="6" w:space="0" w:color="auto"/>
              <w:bottom w:val="nil"/>
              <w:right w:val="single" w:sz="6" w:space="0" w:color="auto"/>
            </w:tcBorders>
          </w:tcPr>
          <w:p w:rsidR="00BE6DEE" w:rsidRPr="005F7C09" w:rsidRDefault="00125AC7" w:rsidP="00125AC7">
            <w:pPr>
              <w:autoSpaceDE w:val="0"/>
              <w:autoSpaceDN w:val="0"/>
              <w:adjustRightInd w:val="0"/>
              <w:jc w:val="center"/>
              <w:rPr>
                <w:b/>
                <w:bCs/>
                <w:color w:val="000000"/>
              </w:rPr>
            </w:pPr>
            <w:r>
              <w:rPr>
                <w:b/>
                <w:bCs/>
                <w:color w:val="000000"/>
              </w:rPr>
              <w:t>Durgin Pines</w:t>
            </w:r>
          </w:p>
        </w:tc>
      </w:tr>
      <w:tr w:rsidR="00BE6DEE" w:rsidRPr="005F7C09" w:rsidTr="00515BB8">
        <w:trPr>
          <w:trHeight w:val="290"/>
          <w:jc w:val="center"/>
        </w:trPr>
        <w:tc>
          <w:tcPr>
            <w:tcW w:w="5234" w:type="dxa"/>
            <w:gridSpan w:val="2"/>
            <w:tcBorders>
              <w:top w:val="nil"/>
              <w:left w:val="single" w:sz="6" w:space="0" w:color="auto"/>
              <w:bottom w:val="single" w:sz="6" w:space="0" w:color="auto"/>
              <w:right w:val="single" w:sz="6" w:space="0" w:color="auto"/>
            </w:tcBorders>
          </w:tcPr>
          <w:p w:rsidR="00BE6DEE" w:rsidRPr="005F7C09" w:rsidRDefault="00BE6DEE" w:rsidP="00125AC7">
            <w:pPr>
              <w:autoSpaceDE w:val="0"/>
              <w:autoSpaceDN w:val="0"/>
              <w:adjustRightInd w:val="0"/>
              <w:jc w:val="center"/>
              <w:rPr>
                <w:b/>
                <w:bCs/>
                <w:color w:val="000000"/>
              </w:rPr>
            </w:pPr>
            <w:r w:rsidRPr="005F7C09">
              <w:rPr>
                <w:b/>
                <w:bCs/>
                <w:color w:val="000000"/>
              </w:rPr>
              <w:t>Nursing Home Compare Ratings</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b/>
                <w:bCs/>
                <w:color w:val="000000"/>
              </w:rPr>
            </w:pPr>
            <w:r w:rsidRPr="005F7C09">
              <w:rPr>
                <w:b/>
                <w:bCs/>
                <w:color w:val="000000"/>
              </w:rPr>
              <w:t>Category</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b/>
                <w:bCs/>
                <w:color w:val="000000"/>
              </w:rPr>
            </w:pPr>
            <w:r w:rsidRPr="005F7C09">
              <w:rPr>
                <w:b/>
                <w:bCs/>
                <w:color w:val="000000"/>
              </w:rPr>
              <w:t>Ratings</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Overall</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25AC7" w:rsidP="00125AC7">
            <w:pPr>
              <w:autoSpaceDE w:val="0"/>
              <w:autoSpaceDN w:val="0"/>
              <w:adjustRightInd w:val="0"/>
              <w:jc w:val="both"/>
              <w:rPr>
                <w:color w:val="000000"/>
              </w:rPr>
            </w:pPr>
            <w:r>
              <w:rPr>
                <w:color w:val="000000"/>
              </w:rPr>
              <w:t>Much Above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Health Inspections</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674BE" w:rsidP="00125AC7">
            <w:pPr>
              <w:autoSpaceDE w:val="0"/>
              <w:autoSpaceDN w:val="0"/>
              <w:adjustRightInd w:val="0"/>
              <w:jc w:val="both"/>
              <w:rPr>
                <w:color w:val="000000"/>
              </w:rPr>
            </w:pPr>
            <w:r w:rsidRPr="005F7C09">
              <w:rPr>
                <w:color w:val="000000"/>
              </w:rPr>
              <w:t xml:space="preserve">Much </w:t>
            </w:r>
            <w:r w:rsidR="00125AC7">
              <w:rPr>
                <w:color w:val="000000"/>
              </w:rPr>
              <w:t>Above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Staffing</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Above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Quality Ratings</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25AC7" w:rsidP="005F7C09">
            <w:pPr>
              <w:autoSpaceDE w:val="0"/>
              <w:autoSpaceDN w:val="0"/>
              <w:adjustRightInd w:val="0"/>
              <w:jc w:val="both"/>
              <w:rPr>
                <w:color w:val="000000"/>
              </w:rPr>
            </w:pPr>
            <w:r>
              <w:rPr>
                <w:color w:val="000000"/>
              </w:rPr>
              <w:t xml:space="preserve">Much Above </w:t>
            </w:r>
            <w:r w:rsidR="001674BE" w:rsidRPr="005F7C09">
              <w:rPr>
                <w:color w:val="000000"/>
              </w:rPr>
              <w:t>Average</w:t>
            </w:r>
          </w:p>
        </w:tc>
      </w:tr>
    </w:tbl>
    <w:p w:rsidR="00BE6DEE" w:rsidRPr="005F7C09" w:rsidRDefault="00BE6DEE" w:rsidP="005F7C09">
      <w:pPr>
        <w:pStyle w:val="ListParagraph"/>
        <w:ind w:left="0"/>
        <w:jc w:val="both"/>
      </w:pPr>
    </w:p>
    <w:p w:rsidR="00912C23" w:rsidRPr="005F7C09" w:rsidRDefault="007B7667" w:rsidP="005F7C09">
      <w:pPr>
        <w:jc w:val="both"/>
      </w:pPr>
      <w:r>
        <w:t>Durgin Pines scored</w:t>
      </w:r>
      <w:r w:rsidR="00912C23" w:rsidRPr="005F7C09">
        <w:t xml:space="preserve"> </w:t>
      </w:r>
      <w:r w:rsidR="006F1D1B" w:rsidRPr="005F7C09">
        <w:t>“</w:t>
      </w:r>
      <w:r>
        <w:t xml:space="preserve">Much Above </w:t>
      </w:r>
      <w:r w:rsidR="006F1D1B" w:rsidRPr="005F7C09">
        <w:t>A</w:t>
      </w:r>
      <w:r w:rsidR="00912C23" w:rsidRPr="005F7C09">
        <w:t>verage</w:t>
      </w:r>
      <w:r w:rsidR="006F1D1B" w:rsidRPr="005F7C09">
        <w:t>”</w:t>
      </w:r>
      <w:r w:rsidR="00912C23" w:rsidRPr="005F7C09">
        <w:t xml:space="preserve"> in </w:t>
      </w:r>
      <w:r>
        <w:t>three</w:t>
      </w:r>
      <w:r w:rsidR="00912C23" w:rsidRPr="005F7C09">
        <w:t xml:space="preserve"> categories rated by CMS</w:t>
      </w:r>
      <w:r w:rsidR="00515BB8" w:rsidRPr="005F7C09">
        <w:t>,</w:t>
      </w:r>
      <w:r w:rsidR="00912C23" w:rsidRPr="005F7C09">
        <w:t xml:space="preserve"> with an overall rating of </w:t>
      </w:r>
      <w:r w:rsidR="006F1D1B" w:rsidRPr="005F7C09">
        <w:t>“</w:t>
      </w:r>
      <w:r>
        <w:t xml:space="preserve">Much Above </w:t>
      </w:r>
      <w:r w:rsidR="00D57C09" w:rsidRPr="005F7C09">
        <w:t>Average”</w:t>
      </w:r>
      <w:r w:rsidR="00912C23" w:rsidRPr="005F7C09">
        <w:t xml:space="preserve">. </w:t>
      </w:r>
      <w:r w:rsidR="006F1D1B" w:rsidRPr="005F7C09">
        <w:t>T</w:t>
      </w:r>
      <w:r w:rsidR="00912C23" w:rsidRPr="005F7C09">
        <w:t xml:space="preserve">he last </w:t>
      </w:r>
      <w:r w:rsidR="006F1D1B" w:rsidRPr="005F7C09">
        <w:t xml:space="preserve">recertification </w:t>
      </w:r>
      <w:r w:rsidR="00912C23" w:rsidRPr="005F7C09">
        <w:t xml:space="preserve">survey </w:t>
      </w:r>
      <w:r w:rsidR="006F1D1B" w:rsidRPr="005F7C09">
        <w:t xml:space="preserve">was </w:t>
      </w:r>
      <w:r w:rsidR="00912C23" w:rsidRPr="005F7C09">
        <w:t xml:space="preserve">conducted </w:t>
      </w:r>
      <w:r w:rsidR="00C40634">
        <w:t>between April 13 and April 16, 2015</w:t>
      </w:r>
      <w:r w:rsidR="005555D2">
        <w:t>.</w:t>
      </w:r>
      <w:r w:rsidR="006F1D1B" w:rsidRPr="005F7C09">
        <w:t xml:space="preserve"> The result of the survey was the identification </w:t>
      </w:r>
      <w:r w:rsidR="00DF6472" w:rsidRPr="005F7C09">
        <w:t xml:space="preserve">of </w:t>
      </w:r>
      <w:r w:rsidR="009F2967">
        <w:t>three</w:t>
      </w:r>
      <w:r w:rsidR="00912C23" w:rsidRPr="005F7C09">
        <w:t xml:space="preserve"> </w:t>
      </w:r>
      <w:r w:rsidR="0062624E" w:rsidRPr="005F7C09">
        <w:t>(</w:t>
      </w:r>
      <w:r w:rsidR="009F2967">
        <w:t>3</w:t>
      </w:r>
      <w:r w:rsidR="0062624E" w:rsidRPr="005F7C09">
        <w:t xml:space="preserve">) </w:t>
      </w:r>
      <w:r w:rsidR="00912C23" w:rsidRPr="005F7C09">
        <w:t>deficiencies</w:t>
      </w:r>
      <w:r w:rsidR="006F1D1B" w:rsidRPr="005F7C09">
        <w:t>. A</w:t>
      </w:r>
      <w:r w:rsidR="00D57C09" w:rsidRPr="005F7C09">
        <w:t>ll</w:t>
      </w:r>
      <w:r w:rsidR="00912C23" w:rsidRPr="005F7C09">
        <w:t xml:space="preserve"> </w:t>
      </w:r>
      <w:r w:rsidR="004E3398">
        <w:t>three</w:t>
      </w:r>
      <w:r w:rsidR="006F1D1B" w:rsidRPr="005F7C09">
        <w:t xml:space="preserve"> deficiencies </w:t>
      </w:r>
      <w:r w:rsidR="00912C23" w:rsidRPr="005F7C09">
        <w:t>were Level 2 (minimal harm or potential for actual harm) or below. The average number of health deficien</w:t>
      </w:r>
      <w:r w:rsidR="00B87247" w:rsidRPr="005F7C09">
        <w:t>cies</w:t>
      </w:r>
      <w:r w:rsidR="00912C23" w:rsidRPr="005F7C09">
        <w:t xml:space="preserve"> </w:t>
      </w:r>
      <w:r w:rsidR="006F1D1B" w:rsidRPr="005F7C09">
        <w:t xml:space="preserve">identified during a recertification survey </w:t>
      </w:r>
      <w:r w:rsidR="00912C23" w:rsidRPr="005F7C09">
        <w:t xml:space="preserve">in Maine is </w:t>
      </w:r>
      <w:r w:rsidR="004E3398">
        <w:t>3.9</w:t>
      </w:r>
      <w:r w:rsidR="00515BB8" w:rsidRPr="005F7C09">
        <w:t>;</w:t>
      </w:r>
      <w:r w:rsidR="00912C23" w:rsidRPr="005F7C09">
        <w:t xml:space="preserve"> the average number of health deficiencies in the United States is 6.8.</w:t>
      </w:r>
    </w:p>
    <w:p w:rsidR="00912C23" w:rsidRPr="005F7C09" w:rsidRDefault="00912C23" w:rsidP="005F7C09">
      <w:pPr>
        <w:jc w:val="both"/>
      </w:pPr>
    </w:p>
    <w:p w:rsidR="00912C23" w:rsidRPr="005F7C09" w:rsidRDefault="00B87247" w:rsidP="005F7C09">
      <w:pPr>
        <w:jc w:val="both"/>
      </w:pPr>
      <w:r w:rsidRPr="005F7C09">
        <w:t>Inspectors determined that the nursing home failed to:</w:t>
      </w:r>
    </w:p>
    <w:p w:rsidR="005D1220" w:rsidRPr="005F7C09" w:rsidRDefault="005D1220" w:rsidP="005F7C09">
      <w:pPr>
        <w:jc w:val="both"/>
      </w:pPr>
    </w:p>
    <w:p w:rsidR="00B87247" w:rsidRPr="005F7C09" w:rsidRDefault="00B87247" w:rsidP="005F7C09">
      <w:pPr>
        <w:ind w:left="1440" w:hanging="720"/>
        <w:jc w:val="both"/>
      </w:pPr>
      <w:r w:rsidRPr="005F7C09">
        <w:rPr>
          <w:b/>
        </w:rPr>
        <w:t>1)</w:t>
      </w:r>
      <w:r w:rsidR="005D1220" w:rsidRPr="005F7C09">
        <w:tab/>
      </w:r>
      <w:r w:rsidR="00FE5C6D">
        <w:t>Ensure that care plan approaches for completing a base-line Abnormal Involuntary Movement Scale (AIMS) Test, and “see orders for adaptive equipment” following Speech language Pathologist recommendations were implemented for 1 out of the 5 residents reviewed.</w:t>
      </w:r>
    </w:p>
    <w:p w:rsidR="00B87247" w:rsidRPr="005F7C09" w:rsidRDefault="00B87247" w:rsidP="005F7C09">
      <w:pPr>
        <w:jc w:val="both"/>
      </w:pPr>
    </w:p>
    <w:p w:rsidR="00B87247" w:rsidRPr="005F7C09" w:rsidRDefault="00B87247" w:rsidP="005F7C09">
      <w:pPr>
        <w:ind w:left="1440" w:hanging="720"/>
        <w:jc w:val="both"/>
      </w:pPr>
      <w:r w:rsidRPr="005F7C09">
        <w:rPr>
          <w:b/>
        </w:rPr>
        <w:t>2)</w:t>
      </w:r>
      <w:r w:rsidR="005D1220" w:rsidRPr="005F7C09">
        <w:tab/>
      </w:r>
      <w:r w:rsidR="00FE5C6D">
        <w:t>Complete a base-line Abnormal Involuntary Movement Scale (AIMS) test in accordance with the approaches outlined in a care plan, and current guidelines for the use of antipsychotic medications for 1 out of the 5 residents reviewed.</w:t>
      </w:r>
    </w:p>
    <w:p w:rsidR="00B87247" w:rsidRPr="005F7C09" w:rsidRDefault="00B87247" w:rsidP="005F7C09">
      <w:pPr>
        <w:jc w:val="both"/>
      </w:pPr>
    </w:p>
    <w:p w:rsidR="006D7098" w:rsidRDefault="006D7098" w:rsidP="005F7C09">
      <w:pPr>
        <w:ind w:left="1410" w:hanging="690"/>
        <w:jc w:val="both"/>
        <w:rPr>
          <w:b/>
        </w:rPr>
      </w:pPr>
    </w:p>
    <w:p w:rsidR="006D7098" w:rsidRDefault="006D7098" w:rsidP="005F7C09">
      <w:pPr>
        <w:ind w:left="1410" w:hanging="690"/>
        <w:jc w:val="both"/>
        <w:rPr>
          <w:b/>
        </w:rPr>
      </w:pPr>
    </w:p>
    <w:p w:rsidR="00B87247" w:rsidRPr="00FE5C6D" w:rsidRDefault="00B87247" w:rsidP="005F7C09">
      <w:pPr>
        <w:ind w:left="1410" w:hanging="690"/>
        <w:jc w:val="both"/>
      </w:pPr>
      <w:r w:rsidRPr="005F7C09">
        <w:rPr>
          <w:b/>
        </w:rPr>
        <w:t>3)</w:t>
      </w:r>
      <w:r w:rsidR="005D1220" w:rsidRPr="005F7C09">
        <w:rPr>
          <w:b/>
        </w:rPr>
        <w:tab/>
      </w:r>
      <w:r w:rsidR="00FE5C6D" w:rsidRPr="00FE5C6D">
        <w:t>Ensure that the Consultant Pharmacist identified and reported to the Attending Physician and the Director of Nursing, that an anti-</w:t>
      </w:r>
      <w:r w:rsidR="00BC431E">
        <w:t>p</w:t>
      </w:r>
      <w:r w:rsidR="00FE5C6D" w:rsidRPr="00FE5C6D">
        <w:t>sychotic medication was being administered without a base-line Abnormal Involuntary Movement Scale (AIMS) test having been completed for 1 out of 5 re</w:t>
      </w:r>
      <w:r w:rsidR="00BC431E">
        <w:t>sidents</w:t>
      </w:r>
      <w:r w:rsidR="00FE5C6D" w:rsidRPr="00FE5C6D">
        <w:t xml:space="preserve"> reviewed.</w:t>
      </w:r>
    </w:p>
    <w:p w:rsidR="00912C23" w:rsidRPr="005F7C09" w:rsidRDefault="00912C23" w:rsidP="005F7C09">
      <w:pPr>
        <w:jc w:val="both"/>
      </w:pPr>
    </w:p>
    <w:p w:rsidR="00BD2FA6" w:rsidRDefault="00912C23" w:rsidP="005F7C09">
      <w:pPr>
        <w:jc w:val="both"/>
      </w:pPr>
      <w:r w:rsidRPr="005F7C09">
        <w:t xml:space="preserve">All deficiencies were corrected by </w:t>
      </w:r>
      <w:r w:rsidR="0047608A" w:rsidRPr="005F7C09">
        <w:t xml:space="preserve">May </w:t>
      </w:r>
      <w:r w:rsidR="00912A6A">
        <w:t>5</w:t>
      </w:r>
      <w:r w:rsidR="0047608A" w:rsidRPr="005F7C09">
        <w:t>, 201</w:t>
      </w:r>
      <w:r w:rsidR="00912A6A">
        <w:t>5</w:t>
      </w:r>
      <w:r w:rsidR="0047608A" w:rsidRPr="005F7C09">
        <w:t>.</w:t>
      </w:r>
    </w:p>
    <w:p w:rsidR="001959A0" w:rsidRDefault="001959A0" w:rsidP="005F7C09">
      <w:pPr>
        <w:jc w:val="both"/>
      </w:pPr>
    </w:p>
    <w:p w:rsidR="001959A0" w:rsidRDefault="001959A0" w:rsidP="005F7C09">
      <w:pPr>
        <w:jc w:val="both"/>
      </w:pPr>
      <w:r>
        <w:t>On April 23, 2015 a complaint survey was conducted and inspectors determined that the nursing home failed to:</w:t>
      </w:r>
    </w:p>
    <w:p w:rsidR="001959A0" w:rsidRDefault="001959A0" w:rsidP="005F7C09">
      <w:pPr>
        <w:jc w:val="both"/>
      </w:pPr>
      <w:r>
        <w:tab/>
      </w:r>
    </w:p>
    <w:p w:rsidR="001959A0" w:rsidRPr="001959A0" w:rsidRDefault="001959A0" w:rsidP="001959A0">
      <w:pPr>
        <w:pStyle w:val="ListParagraph"/>
        <w:numPr>
          <w:ilvl w:val="0"/>
          <w:numId w:val="33"/>
        </w:numPr>
        <w:jc w:val="both"/>
        <w:rPr>
          <w:b/>
        </w:rPr>
      </w:pPr>
      <w:r>
        <w:rPr>
          <w:b/>
        </w:rPr>
        <w:tab/>
      </w:r>
      <w:r>
        <w:t>Ensure a care plan was developed in accordance with the interdisciplinary team’s decision to proceed with care planning in the areas of: Activities of Daily Living (ADLs); urinary incontinence; falls; pressure ulcer; psychotropic drug use; pain and community discharge planning for 1 out of 3 residents reviewed.</w:t>
      </w:r>
    </w:p>
    <w:p w:rsidR="001959A0" w:rsidRDefault="001959A0" w:rsidP="001959A0">
      <w:pPr>
        <w:jc w:val="both"/>
      </w:pPr>
    </w:p>
    <w:p w:rsidR="001959A0" w:rsidRPr="001959A0" w:rsidRDefault="001959A0" w:rsidP="001959A0">
      <w:pPr>
        <w:jc w:val="both"/>
      </w:pPr>
      <w:r>
        <w:t>This deficiency was corrected by May 11, 2015.</w:t>
      </w:r>
    </w:p>
    <w:p w:rsidR="00B87247" w:rsidRPr="005F7C09" w:rsidRDefault="00B87247" w:rsidP="005F7C09">
      <w:pPr>
        <w:jc w:val="both"/>
      </w:pPr>
    </w:p>
    <w:p w:rsidR="00B87247" w:rsidRPr="005F7C09" w:rsidRDefault="00B87247" w:rsidP="005F7C09">
      <w:pPr>
        <w:jc w:val="both"/>
      </w:pPr>
      <w:r w:rsidRPr="005F7C09">
        <w:t>Survey data for this facility can be accessed at Medicare.gov and is on file at CONU.</w:t>
      </w:r>
    </w:p>
    <w:p w:rsidR="007007F3" w:rsidRPr="005F7C09" w:rsidRDefault="007007F3" w:rsidP="005F7C09">
      <w:pPr>
        <w:jc w:val="both"/>
      </w:pPr>
    </w:p>
    <w:p w:rsidR="003E61AB" w:rsidRPr="005F7C09" w:rsidRDefault="003E61AB" w:rsidP="005F7C09">
      <w:pPr>
        <w:jc w:val="both"/>
      </w:pPr>
      <w:r w:rsidRPr="005F7C09">
        <w:t>The commissioner can rely on data available to the department regarding the quality of health care provided by the applicant as allowed</w:t>
      </w:r>
      <w:r w:rsidR="00C9535E" w:rsidRPr="005F7C09">
        <w:t xml:space="preserve"> at M.R.S. 22 §337 (3).</w:t>
      </w:r>
    </w:p>
    <w:p w:rsidR="00F62A4F" w:rsidRPr="005F7C09" w:rsidRDefault="00F62A4F" w:rsidP="005F7C09">
      <w:pPr>
        <w:jc w:val="both"/>
        <w:rPr>
          <w:b/>
        </w:rPr>
      </w:pPr>
    </w:p>
    <w:p w:rsidR="003E61AB" w:rsidRPr="005F7C09" w:rsidRDefault="003E61AB" w:rsidP="006D7098">
      <w:pPr>
        <w:jc w:val="both"/>
        <w:rPr>
          <w:b/>
        </w:rPr>
      </w:pPr>
      <w:r w:rsidRPr="005F7C09">
        <w:rPr>
          <w:b/>
        </w:rPr>
        <w:t>Deeming of Standard</w:t>
      </w:r>
    </w:p>
    <w:p w:rsidR="003E61AB" w:rsidRPr="005F7C09" w:rsidRDefault="003E61AB" w:rsidP="005F7C09">
      <w:pPr>
        <w:jc w:val="both"/>
      </w:pPr>
    </w:p>
    <w:p w:rsidR="003E61AB" w:rsidRPr="005F7C09" w:rsidRDefault="003E61AB" w:rsidP="005F7C09">
      <w:pPr>
        <w:jc w:val="both"/>
      </w:pPr>
      <w:r w:rsidRPr="005F7C09">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rsidR="00B87247" w:rsidRPr="005F7C09">
        <w:t>.</w:t>
      </w:r>
    </w:p>
    <w:p w:rsidR="00B87247" w:rsidRPr="005F7C09" w:rsidRDefault="00B87247" w:rsidP="005F7C09">
      <w:pPr>
        <w:jc w:val="both"/>
      </w:pPr>
    </w:p>
    <w:p w:rsidR="005F7C09" w:rsidRDefault="00A92B71" w:rsidP="005F7C09">
      <w:pPr>
        <w:jc w:val="both"/>
        <w:rPr>
          <w:b/>
        </w:rPr>
      </w:pPr>
      <w:r>
        <w:t>Durgin Pines has operated under the ownership of William Gillis and Joseph Hogan since May of 2008 and has been a provider of SNF/NF services since Durgin Pines opening.</w:t>
      </w:r>
      <w:r w:rsidR="002B147E" w:rsidRPr="005F7C09">
        <w:t xml:space="preserve"> </w:t>
      </w:r>
      <w:r w:rsidR="0003323D" w:rsidRPr="005F7C09">
        <w:t>The services provided by the applicant are consistent with applicable licensing and certification standards.</w:t>
      </w:r>
    </w:p>
    <w:p w:rsidR="00A056A4" w:rsidRDefault="00A056A4" w:rsidP="005F7C09">
      <w:pPr>
        <w:jc w:val="both"/>
        <w:rPr>
          <w:b/>
        </w:rPr>
      </w:pPr>
    </w:p>
    <w:p w:rsidR="00C115BD" w:rsidRPr="00797B1A" w:rsidRDefault="00797B1A" w:rsidP="00797B1A">
      <w:pPr>
        <w:pStyle w:val="ListParagraph"/>
        <w:numPr>
          <w:ilvl w:val="0"/>
          <w:numId w:val="34"/>
        </w:numPr>
        <w:ind w:left="720"/>
        <w:jc w:val="both"/>
        <w:rPr>
          <w:b/>
        </w:rPr>
      </w:pPr>
      <w:r w:rsidRPr="00797B1A">
        <w:rPr>
          <w:b/>
        </w:rPr>
        <w:t>Conclusion</w:t>
      </w:r>
    </w:p>
    <w:p w:rsidR="00AE3C39" w:rsidRPr="005F7C09" w:rsidRDefault="00AE3C39" w:rsidP="005F7C09">
      <w:pPr>
        <w:jc w:val="both"/>
        <w:rPr>
          <w:b/>
        </w:rPr>
      </w:pPr>
    </w:p>
    <w:p w:rsidR="00AE3C39" w:rsidRPr="005F7C09" w:rsidRDefault="008F244E" w:rsidP="005F7C09">
      <w:pPr>
        <w:jc w:val="both"/>
      </w:pPr>
      <w:r w:rsidRPr="005F7C09">
        <w:t>C</w:t>
      </w:r>
      <w:r w:rsidR="0079298B">
        <w:t>ON</w:t>
      </w:r>
      <w:r w:rsidR="00FB0F83" w:rsidRPr="005F7C09">
        <w:t xml:space="preserve"> Unit recommend</w:t>
      </w:r>
      <w:r w:rsidR="00502D9E" w:rsidRPr="005F7C09">
        <w:t>s</w:t>
      </w:r>
      <w:r w:rsidR="009530A6" w:rsidRPr="005F7C09">
        <w:t xml:space="preserve"> that</w:t>
      </w:r>
      <w:r w:rsidRPr="005F7C09">
        <w:t xml:space="preserve">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w:t>
      </w:r>
      <w:r w:rsidR="00515BB8" w:rsidRPr="005F7C09">
        <w:t>ntrol meets industry standards.</w:t>
      </w:r>
    </w:p>
    <w:p w:rsidR="007125EA" w:rsidRPr="005F7C09" w:rsidRDefault="007125EA" w:rsidP="005F7C09">
      <w:pPr>
        <w:jc w:val="both"/>
      </w:pPr>
    </w:p>
    <w:p w:rsidR="00AE3C39" w:rsidRPr="005F7C09" w:rsidRDefault="00AE3C39" w:rsidP="005F7C09">
      <w:pPr>
        <w:jc w:val="both"/>
        <w:sectPr w:rsidR="00AE3C39" w:rsidRPr="005F7C09" w:rsidSect="00137E29">
          <w:pgSz w:w="12240" w:h="15840"/>
          <w:pgMar w:top="1440" w:right="1440" w:bottom="1440" w:left="1440" w:header="720" w:footer="720" w:gutter="0"/>
          <w:cols w:space="720"/>
          <w:docGrid w:linePitch="360"/>
        </w:sectPr>
      </w:pPr>
    </w:p>
    <w:p w:rsidR="00861AD4" w:rsidRPr="006D7098" w:rsidRDefault="004336AF" w:rsidP="005F7C09">
      <w:pPr>
        <w:pStyle w:val="Heading1"/>
        <w:jc w:val="both"/>
        <w:rPr>
          <w:rFonts w:ascii="Times New Roman" w:hAnsi="Times New Roman" w:cs="Times New Roman"/>
        </w:rPr>
      </w:pPr>
      <w:bookmarkStart w:id="14" w:name="_Ref195319937"/>
      <w:r w:rsidRPr="006D7098">
        <w:rPr>
          <w:rFonts w:ascii="Times New Roman" w:hAnsi="Times New Roman" w:cs="Times New Roman"/>
        </w:rPr>
        <w:lastRenderedPageBreak/>
        <w:t xml:space="preserve">III. </w:t>
      </w:r>
      <w:bookmarkEnd w:id="14"/>
      <w:r w:rsidR="00237C8E" w:rsidRPr="006D7098">
        <w:rPr>
          <w:rFonts w:ascii="Times New Roman" w:hAnsi="Times New Roman" w:cs="Times New Roman"/>
        </w:rPr>
        <w:t>Economic Feasibility</w:t>
      </w:r>
    </w:p>
    <w:p w:rsidR="00861AD4" w:rsidRPr="005F7C09" w:rsidRDefault="00861AD4" w:rsidP="005F7C09">
      <w:pPr>
        <w:jc w:val="both"/>
        <w:rPr>
          <w:b/>
        </w:rPr>
      </w:pPr>
    </w:p>
    <w:p w:rsidR="00FF631B" w:rsidRDefault="00FF631B" w:rsidP="006D7098">
      <w:pPr>
        <w:pStyle w:val="ListParagraph"/>
        <w:numPr>
          <w:ilvl w:val="0"/>
          <w:numId w:val="31"/>
        </w:numPr>
        <w:ind w:left="0" w:firstLine="0"/>
        <w:jc w:val="both"/>
        <w:rPr>
          <w:b/>
        </w:rPr>
      </w:pPr>
      <w:r w:rsidRPr="007C1CA9">
        <w:rPr>
          <w:b/>
        </w:rPr>
        <w:t xml:space="preserve">From Applicant </w:t>
      </w:r>
    </w:p>
    <w:p w:rsidR="006D7098" w:rsidRPr="007C1CA9" w:rsidRDefault="006D7098" w:rsidP="006D7098">
      <w:pPr>
        <w:pStyle w:val="ListParagraph"/>
        <w:ind w:left="0"/>
        <w:jc w:val="both"/>
        <w:rPr>
          <w:b/>
        </w:rPr>
      </w:pPr>
    </w:p>
    <w:p w:rsidR="007C1CA9" w:rsidRPr="006D7098" w:rsidRDefault="00475E8E" w:rsidP="006D7098">
      <w:pPr>
        <w:widowControl w:val="0"/>
        <w:autoSpaceDE w:val="0"/>
        <w:autoSpaceDN w:val="0"/>
        <w:adjustRightInd w:val="0"/>
        <w:spacing w:after="200"/>
        <w:jc w:val="both"/>
        <w:rPr>
          <w:rFonts w:cs="Arial"/>
          <w:sz w:val="22"/>
          <w:szCs w:val="22"/>
        </w:rPr>
      </w:pPr>
      <w:r>
        <w:rPr>
          <w:rFonts w:cs="Arial"/>
          <w:sz w:val="22"/>
          <w:szCs w:val="22"/>
        </w:rPr>
        <w:t>“</w:t>
      </w:r>
      <w:r w:rsidR="007C1CA9" w:rsidRPr="006D7098">
        <w:rPr>
          <w:rFonts w:cs="Arial"/>
          <w:sz w:val="22"/>
          <w:szCs w:val="22"/>
        </w:rPr>
        <w:t>As discussed during the Technical Assistance Meeting and outlined in the Letter of Intent, the proposed change in ownership will have no impact on Durgin Pines’ operations or financial results. Enclosed as Exhibits C and C.1 are the projected 2016 MaineCare cost report and related assumptions which represents Durgin Pines’ anticipated operating expenses for 2016, the first full year subsequent to the proposed change in ownership.</w:t>
      </w:r>
      <w:r>
        <w:rPr>
          <w:rFonts w:cs="Arial"/>
          <w:sz w:val="22"/>
          <w:szCs w:val="22"/>
        </w:rPr>
        <w:t>”</w:t>
      </w:r>
      <w:r w:rsidR="007C1CA9" w:rsidRPr="006D7098">
        <w:rPr>
          <w:rFonts w:cs="Arial"/>
          <w:sz w:val="22"/>
          <w:szCs w:val="22"/>
        </w:rPr>
        <w:t xml:space="preserve"> </w:t>
      </w:r>
    </w:p>
    <w:p w:rsidR="007C1CA9" w:rsidRPr="006D7098" w:rsidRDefault="00475E8E" w:rsidP="006D7098">
      <w:pPr>
        <w:widowControl w:val="0"/>
        <w:autoSpaceDE w:val="0"/>
        <w:autoSpaceDN w:val="0"/>
        <w:adjustRightInd w:val="0"/>
        <w:spacing w:after="200"/>
        <w:jc w:val="both"/>
        <w:rPr>
          <w:rFonts w:cs="Arial"/>
          <w:sz w:val="22"/>
          <w:szCs w:val="22"/>
        </w:rPr>
      </w:pPr>
      <w:r>
        <w:rPr>
          <w:rFonts w:cs="Arial"/>
          <w:sz w:val="22"/>
          <w:szCs w:val="22"/>
        </w:rPr>
        <w:t>“</w:t>
      </w:r>
      <w:r w:rsidR="007C1CA9" w:rsidRPr="006D7098">
        <w:rPr>
          <w:rFonts w:cs="Arial"/>
          <w:sz w:val="22"/>
          <w:szCs w:val="22"/>
        </w:rPr>
        <w:t>Upon the purchase of William Gillis’ membership interests, Joseph Hogan plans to refinance the debt currently outstanding on Kittery Commons, LLC and Sentry Commons, LLC with Department of Housing and Urban Development (HUD)-insured financing through Lancaster Pollard.</w:t>
      </w:r>
      <w:r>
        <w:rPr>
          <w:rFonts w:cs="Arial"/>
          <w:sz w:val="22"/>
          <w:szCs w:val="22"/>
        </w:rPr>
        <w:t>”</w:t>
      </w:r>
    </w:p>
    <w:p w:rsidR="007C1CA9" w:rsidRPr="006D7098" w:rsidRDefault="00475E8E" w:rsidP="006D7098">
      <w:pPr>
        <w:widowControl w:val="0"/>
        <w:autoSpaceDE w:val="0"/>
        <w:autoSpaceDN w:val="0"/>
        <w:adjustRightInd w:val="0"/>
        <w:jc w:val="both"/>
        <w:rPr>
          <w:rFonts w:cs="Arial"/>
          <w:sz w:val="22"/>
          <w:szCs w:val="22"/>
        </w:rPr>
      </w:pPr>
      <w:r>
        <w:rPr>
          <w:rFonts w:cs="Arial"/>
          <w:sz w:val="22"/>
          <w:szCs w:val="22"/>
        </w:rPr>
        <w:t>“</w:t>
      </w:r>
      <w:r w:rsidR="007C1CA9" w:rsidRPr="006D7098">
        <w:rPr>
          <w:rFonts w:cs="Arial"/>
          <w:sz w:val="22"/>
          <w:szCs w:val="22"/>
        </w:rPr>
        <w:t>The specific and final terms related to the anticipated refinancing of existing debt with HUD-insured financing are not yet available. Although management is in the early stages of the application process, current HUD rates approximate 3.25% as compared to the rates on the current outstanding debt of 5.25% and 5.5% for Kittery Commons, LLC and Sentry Commons, LLC, respectively. Management is in the process of obtaining prior approval for the refinance from the Department of Health and Human Services (DHHS) as required by the Principles of Reimbursement for Nursing Facilities (the Principles). Because of the early stages of the application process and obtaining DHHS prior approval, the pro forma 2016 cost report included at Exhibit C.1 includes total and allowable interest expense utilizing historical amortization schedules. The refinance is not anticipated to negatively impact MaineCare neutrality requirements.</w:t>
      </w:r>
      <w:r>
        <w:rPr>
          <w:rFonts w:cs="Arial"/>
          <w:sz w:val="22"/>
          <w:szCs w:val="22"/>
        </w:rPr>
        <w:t>”</w:t>
      </w:r>
    </w:p>
    <w:p w:rsidR="007C1CA9" w:rsidRPr="006D7098" w:rsidRDefault="007C1CA9" w:rsidP="006D7098">
      <w:pPr>
        <w:widowControl w:val="0"/>
        <w:autoSpaceDE w:val="0"/>
        <w:autoSpaceDN w:val="0"/>
        <w:adjustRightInd w:val="0"/>
        <w:jc w:val="both"/>
        <w:rPr>
          <w:rFonts w:cs="Arial"/>
          <w:sz w:val="22"/>
          <w:szCs w:val="22"/>
        </w:rPr>
      </w:pPr>
    </w:p>
    <w:p w:rsidR="007C1CA9" w:rsidRPr="006D7098" w:rsidRDefault="00475E8E" w:rsidP="006D7098">
      <w:pPr>
        <w:tabs>
          <w:tab w:val="left" w:pos="360"/>
        </w:tabs>
        <w:jc w:val="both"/>
        <w:rPr>
          <w:rFonts w:cs="Arial"/>
          <w:sz w:val="22"/>
          <w:szCs w:val="22"/>
        </w:rPr>
      </w:pPr>
      <w:r>
        <w:rPr>
          <w:rFonts w:cs="Arial"/>
          <w:sz w:val="22"/>
          <w:szCs w:val="22"/>
        </w:rPr>
        <w:t>“</w:t>
      </w:r>
      <w:r w:rsidR="007C1CA9" w:rsidRPr="006D7098">
        <w:rPr>
          <w:rFonts w:cs="Arial"/>
          <w:sz w:val="22"/>
          <w:szCs w:val="22"/>
        </w:rPr>
        <w:t>The following provides a summary of Sentry Commons, LLC and Kittery Commons, LLC (d/b/a Durgin Pines) combined income statements which were excerpted from the respective audited financial statements. The 2013 and 2014 financial statements were audited by BerryDunn and their reports dated April 8, 2014 and April 27, 2015, respectively were unmodified. The audited financial statements as of and for the years ended December 31, 2014 and 2013 are included as Exhibit D.</w:t>
      </w:r>
      <w:r>
        <w:rPr>
          <w:rFonts w:cs="Arial"/>
          <w:sz w:val="22"/>
          <w:szCs w:val="22"/>
        </w:rPr>
        <w:t>”</w:t>
      </w:r>
    </w:p>
    <w:p w:rsidR="007C1CA9" w:rsidRPr="006D7098" w:rsidRDefault="007C1CA9" w:rsidP="007C1CA9">
      <w:pPr>
        <w:tabs>
          <w:tab w:val="left" w:pos="360"/>
        </w:tabs>
        <w:rPr>
          <w:rFonts w:cs="Arial"/>
          <w:sz w:val="22"/>
          <w:szCs w:val="22"/>
        </w:rPr>
      </w:pPr>
    </w:p>
    <w:p w:rsidR="007C1CA9" w:rsidRPr="006D7098" w:rsidRDefault="007C1CA9" w:rsidP="007C1CA9">
      <w:pPr>
        <w:tabs>
          <w:tab w:val="left" w:pos="540"/>
          <w:tab w:val="center" w:pos="6030"/>
          <w:tab w:val="center" w:pos="8190"/>
        </w:tabs>
        <w:rPr>
          <w:rFonts w:cs="Arial"/>
          <w:sz w:val="22"/>
          <w:szCs w:val="22"/>
        </w:rPr>
      </w:pPr>
      <w:r w:rsidRPr="006D7098">
        <w:rPr>
          <w:rFonts w:cs="Arial"/>
          <w:sz w:val="22"/>
          <w:szCs w:val="22"/>
        </w:rPr>
        <w:tab/>
      </w:r>
      <w:r w:rsidRPr="006D7098">
        <w:rPr>
          <w:rFonts w:cs="Arial"/>
          <w:sz w:val="22"/>
          <w:szCs w:val="22"/>
        </w:rPr>
        <w:tab/>
      </w:r>
      <w:r w:rsidRPr="006D7098">
        <w:rPr>
          <w:rFonts w:cs="Arial"/>
          <w:sz w:val="22"/>
          <w:szCs w:val="22"/>
          <w:u w:val="single"/>
        </w:rPr>
        <w:t>2013</w:t>
      </w:r>
      <w:r w:rsidRPr="006D7098">
        <w:rPr>
          <w:rFonts w:cs="Arial"/>
          <w:sz w:val="22"/>
          <w:szCs w:val="22"/>
        </w:rPr>
        <w:tab/>
      </w:r>
      <w:r w:rsidRPr="006D7098">
        <w:rPr>
          <w:rFonts w:cs="Arial"/>
          <w:sz w:val="22"/>
          <w:szCs w:val="22"/>
          <w:u w:val="single"/>
        </w:rPr>
        <w:t>2014</w:t>
      </w:r>
      <w:r w:rsidRPr="006D7098">
        <w:rPr>
          <w:rFonts w:cs="Arial"/>
          <w:sz w:val="22"/>
          <w:szCs w:val="22"/>
        </w:rPr>
        <w:tab/>
      </w:r>
    </w:p>
    <w:p w:rsidR="007C1CA9" w:rsidRPr="006D7098" w:rsidRDefault="007C1CA9" w:rsidP="007C1CA9">
      <w:pPr>
        <w:tabs>
          <w:tab w:val="left" w:pos="540"/>
          <w:tab w:val="center" w:pos="6030"/>
          <w:tab w:val="center" w:pos="8190"/>
        </w:tabs>
        <w:rPr>
          <w:rFonts w:cs="Arial"/>
          <w:sz w:val="22"/>
          <w:szCs w:val="22"/>
        </w:rPr>
      </w:pPr>
    </w:p>
    <w:p w:rsidR="007C1CA9" w:rsidRPr="006D7098" w:rsidRDefault="007C1CA9" w:rsidP="007C1CA9">
      <w:pPr>
        <w:tabs>
          <w:tab w:val="left" w:pos="1260"/>
          <w:tab w:val="decimal" w:pos="6480"/>
          <w:tab w:val="decimal" w:pos="8640"/>
        </w:tabs>
        <w:rPr>
          <w:rFonts w:cs="Arial"/>
          <w:sz w:val="22"/>
          <w:szCs w:val="22"/>
        </w:rPr>
      </w:pPr>
      <w:r w:rsidRPr="006D7098">
        <w:rPr>
          <w:rFonts w:cs="Arial"/>
          <w:sz w:val="22"/>
          <w:szCs w:val="22"/>
        </w:rPr>
        <w:tab/>
        <w:t>Net resident service revenue</w:t>
      </w:r>
      <w:r w:rsidRPr="006D7098">
        <w:rPr>
          <w:rFonts w:cs="Arial"/>
          <w:sz w:val="22"/>
          <w:szCs w:val="22"/>
        </w:rPr>
        <w:tab/>
        <w:t>$8,925,863</w:t>
      </w:r>
      <w:r w:rsidRPr="006D7098">
        <w:rPr>
          <w:rFonts w:cs="Arial"/>
          <w:sz w:val="22"/>
          <w:szCs w:val="22"/>
        </w:rPr>
        <w:tab/>
        <w:t>$9,364,022</w:t>
      </w:r>
    </w:p>
    <w:p w:rsidR="007C1CA9" w:rsidRPr="006D7098" w:rsidRDefault="007C1CA9" w:rsidP="007C1CA9">
      <w:pPr>
        <w:tabs>
          <w:tab w:val="left" w:pos="1260"/>
          <w:tab w:val="decimal" w:pos="6480"/>
          <w:tab w:val="decimal" w:pos="8640"/>
        </w:tabs>
        <w:rPr>
          <w:rFonts w:cs="Arial"/>
          <w:sz w:val="22"/>
          <w:szCs w:val="22"/>
        </w:rPr>
      </w:pPr>
      <w:r w:rsidRPr="006D7098">
        <w:rPr>
          <w:rFonts w:cs="Arial"/>
          <w:sz w:val="22"/>
          <w:szCs w:val="22"/>
        </w:rPr>
        <w:tab/>
        <w:t>Other revenue</w:t>
      </w:r>
      <w:r w:rsidRPr="006D7098">
        <w:rPr>
          <w:rFonts w:cs="Arial"/>
          <w:sz w:val="22"/>
          <w:szCs w:val="22"/>
        </w:rPr>
        <w:tab/>
        <w:t>70,713</w:t>
      </w:r>
      <w:r w:rsidRPr="006D7098">
        <w:rPr>
          <w:rFonts w:cs="Arial"/>
          <w:sz w:val="22"/>
          <w:szCs w:val="22"/>
        </w:rPr>
        <w:tab/>
        <w:t>82,094</w:t>
      </w:r>
    </w:p>
    <w:p w:rsidR="007C1CA9" w:rsidRPr="006D7098" w:rsidRDefault="007C1CA9" w:rsidP="007C1CA9">
      <w:pPr>
        <w:tabs>
          <w:tab w:val="left" w:pos="1260"/>
          <w:tab w:val="decimal" w:pos="6480"/>
          <w:tab w:val="decimal" w:pos="8640"/>
        </w:tabs>
        <w:rPr>
          <w:rFonts w:cs="Arial"/>
          <w:sz w:val="22"/>
          <w:szCs w:val="22"/>
          <w:u w:val="single"/>
        </w:rPr>
      </w:pPr>
      <w:r w:rsidRPr="006D7098">
        <w:rPr>
          <w:rFonts w:cs="Arial"/>
          <w:sz w:val="22"/>
          <w:szCs w:val="22"/>
        </w:rPr>
        <w:tab/>
        <w:t>Total expenses</w:t>
      </w:r>
      <w:r w:rsidRPr="006D7098">
        <w:rPr>
          <w:rFonts w:cs="Arial"/>
          <w:sz w:val="22"/>
          <w:szCs w:val="22"/>
        </w:rPr>
        <w:tab/>
      </w:r>
      <w:r w:rsidRPr="006D7098">
        <w:rPr>
          <w:rFonts w:cs="Arial"/>
          <w:sz w:val="22"/>
          <w:szCs w:val="22"/>
          <w:u w:val="single"/>
        </w:rPr>
        <w:t>8,553,432</w:t>
      </w:r>
      <w:r w:rsidRPr="006D7098">
        <w:rPr>
          <w:rFonts w:cs="Arial"/>
          <w:sz w:val="22"/>
          <w:szCs w:val="22"/>
        </w:rPr>
        <w:tab/>
      </w:r>
      <w:r w:rsidRPr="006D7098">
        <w:rPr>
          <w:rFonts w:cs="Arial"/>
          <w:sz w:val="22"/>
          <w:szCs w:val="22"/>
          <w:u w:val="single"/>
        </w:rPr>
        <w:t>8,763,961</w:t>
      </w:r>
    </w:p>
    <w:p w:rsidR="007C1CA9" w:rsidRPr="006D7098" w:rsidRDefault="007C1CA9" w:rsidP="007C1CA9">
      <w:pPr>
        <w:tabs>
          <w:tab w:val="left" w:pos="1260"/>
          <w:tab w:val="decimal" w:pos="6480"/>
          <w:tab w:val="decimal" w:pos="8640"/>
        </w:tabs>
        <w:rPr>
          <w:rFonts w:cs="Arial"/>
          <w:sz w:val="22"/>
          <w:szCs w:val="22"/>
        </w:rPr>
      </w:pPr>
    </w:p>
    <w:p w:rsidR="007C1CA9" w:rsidRPr="006D7098" w:rsidRDefault="007C1CA9" w:rsidP="007C1CA9">
      <w:pPr>
        <w:tabs>
          <w:tab w:val="left" w:pos="540"/>
          <w:tab w:val="left" w:pos="1440"/>
          <w:tab w:val="decimal" w:pos="6480"/>
          <w:tab w:val="decimal" w:pos="8640"/>
        </w:tabs>
        <w:rPr>
          <w:rFonts w:cs="Arial"/>
          <w:sz w:val="22"/>
          <w:szCs w:val="22"/>
          <w:u w:val="double"/>
        </w:rPr>
      </w:pPr>
      <w:r w:rsidRPr="006D7098">
        <w:rPr>
          <w:rFonts w:cs="Arial"/>
          <w:sz w:val="22"/>
          <w:szCs w:val="22"/>
        </w:rPr>
        <w:tab/>
      </w:r>
      <w:r w:rsidRPr="006D7098">
        <w:rPr>
          <w:rFonts w:cs="Arial"/>
          <w:sz w:val="22"/>
          <w:szCs w:val="22"/>
        </w:rPr>
        <w:tab/>
        <w:t>Net income</w:t>
      </w:r>
      <w:r w:rsidRPr="006D7098">
        <w:rPr>
          <w:rFonts w:cs="Arial"/>
          <w:sz w:val="22"/>
          <w:szCs w:val="22"/>
        </w:rPr>
        <w:tab/>
        <w:t>$</w:t>
      </w:r>
      <w:r w:rsidRPr="006D7098">
        <w:rPr>
          <w:rFonts w:cs="Arial"/>
          <w:sz w:val="22"/>
          <w:szCs w:val="22"/>
          <w:u w:val="double"/>
        </w:rPr>
        <w:t xml:space="preserve">   443,144</w:t>
      </w:r>
      <w:r w:rsidRPr="006D7098">
        <w:rPr>
          <w:rFonts w:cs="Arial"/>
          <w:sz w:val="22"/>
          <w:szCs w:val="22"/>
        </w:rPr>
        <w:tab/>
        <w:t>$</w:t>
      </w:r>
      <w:r w:rsidRPr="006D7098">
        <w:rPr>
          <w:rFonts w:cs="Arial"/>
          <w:sz w:val="22"/>
          <w:szCs w:val="22"/>
          <w:u w:val="double"/>
        </w:rPr>
        <w:t xml:space="preserve">   682,155</w:t>
      </w:r>
    </w:p>
    <w:p w:rsidR="006D7098" w:rsidRPr="006D7098" w:rsidRDefault="006D7098" w:rsidP="006D7098">
      <w:pPr>
        <w:tabs>
          <w:tab w:val="left" w:pos="360"/>
        </w:tabs>
        <w:spacing w:after="200"/>
        <w:contextualSpacing/>
        <w:jc w:val="both"/>
        <w:rPr>
          <w:rFonts w:cs="Arial"/>
          <w:sz w:val="22"/>
          <w:szCs w:val="22"/>
        </w:rPr>
      </w:pPr>
    </w:p>
    <w:p w:rsidR="007C1CA9" w:rsidRPr="006D7098" w:rsidRDefault="00475E8E" w:rsidP="006D7098">
      <w:pPr>
        <w:tabs>
          <w:tab w:val="left" w:pos="360"/>
        </w:tabs>
        <w:spacing w:after="200"/>
        <w:contextualSpacing/>
        <w:jc w:val="both"/>
        <w:rPr>
          <w:rFonts w:cs="Arial"/>
          <w:sz w:val="22"/>
          <w:szCs w:val="22"/>
        </w:rPr>
      </w:pPr>
      <w:r>
        <w:rPr>
          <w:rFonts w:cs="Arial"/>
          <w:sz w:val="22"/>
          <w:szCs w:val="22"/>
        </w:rPr>
        <w:t>“</w:t>
      </w:r>
      <w:r w:rsidR="007C1CA9" w:rsidRPr="006D7098">
        <w:rPr>
          <w:rFonts w:cs="Arial"/>
          <w:sz w:val="22"/>
          <w:szCs w:val="22"/>
        </w:rPr>
        <w:t>Management understands the proposed State budget currently includes provisions for a cost of living adjustment and funds to fully implement the rebasing effective July 1, 2015; however, the budget has not been passed by the legislature at the time of this filing. In addition, although the amendments to the Principles effective July 1, 2014 require bi-annual rebasing, any related increase in rates would be subject to funding availability. Therefore, due to these factors as well as the current economic and regulatory environment, management anticipates no changes in payment rates other than a 3% annual increase in private pay rates.</w:t>
      </w:r>
      <w:r>
        <w:rPr>
          <w:rFonts w:cs="Arial"/>
          <w:sz w:val="22"/>
          <w:szCs w:val="22"/>
        </w:rPr>
        <w:t>”</w:t>
      </w:r>
      <w:r w:rsidR="007C1CA9" w:rsidRPr="006D7098">
        <w:rPr>
          <w:rFonts w:cs="Arial"/>
          <w:sz w:val="22"/>
          <w:szCs w:val="22"/>
        </w:rPr>
        <w:t xml:space="preserve"> </w:t>
      </w:r>
    </w:p>
    <w:p w:rsidR="007C1CA9" w:rsidRPr="006D7098" w:rsidRDefault="007C1CA9" w:rsidP="007C1CA9">
      <w:pPr>
        <w:tabs>
          <w:tab w:val="left" w:pos="360"/>
        </w:tabs>
        <w:spacing w:after="200"/>
        <w:contextualSpacing/>
        <w:rPr>
          <w:rFonts w:cs="Arial"/>
          <w:sz w:val="22"/>
          <w:szCs w:val="22"/>
        </w:rPr>
      </w:pPr>
    </w:p>
    <w:p w:rsidR="006D7098" w:rsidRDefault="006D7098" w:rsidP="006D7098">
      <w:pPr>
        <w:widowControl w:val="0"/>
        <w:autoSpaceDE w:val="0"/>
        <w:autoSpaceDN w:val="0"/>
        <w:adjustRightInd w:val="0"/>
        <w:jc w:val="both"/>
        <w:rPr>
          <w:rFonts w:cs="Arial"/>
          <w:sz w:val="22"/>
          <w:szCs w:val="22"/>
        </w:rPr>
        <w:sectPr w:rsidR="006D7098" w:rsidSect="009C2B70">
          <w:headerReference w:type="default" r:id="rId15"/>
          <w:pgSz w:w="12240" w:h="15840"/>
          <w:pgMar w:top="1440" w:right="1440" w:bottom="1440" w:left="1440" w:header="720" w:footer="720" w:gutter="0"/>
          <w:cols w:space="720"/>
          <w:docGrid w:linePitch="360"/>
        </w:sectPr>
      </w:pPr>
    </w:p>
    <w:p w:rsidR="006D7098" w:rsidRDefault="006D7098" w:rsidP="006D7098">
      <w:pPr>
        <w:widowControl w:val="0"/>
        <w:autoSpaceDE w:val="0"/>
        <w:autoSpaceDN w:val="0"/>
        <w:adjustRightInd w:val="0"/>
        <w:jc w:val="both"/>
        <w:rPr>
          <w:rFonts w:cs="Arial"/>
          <w:sz w:val="22"/>
          <w:szCs w:val="22"/>
        </w:rPr>
      </w:pPr>
    </w:p>
    <w:p w:rsidR="007C1CA9" w:rsidRPr="006D7098" w:rsidRDefault="00475E8E" w:rsidP="006D7098">
      <w:pPr>
        <w:widowControl w:val="0"/>
        <w:autoSpaceDE w:val="0"/>
        <w:autoSpaceDN w:val="0"/>
        <w:adjustRightInd w:val="0"/>
        <w:jc w:val="both"/>
        <w:rPr>
          <w:rFonts w:cs="Arial"/>
          <w:sz w:val="22"/>
          <w:szCs w:val="22"/>
        </w:rPr>
      </w:pPr>
      <w:r>
        <w:rPr>
          <w:rFonts w:cs="Arial"/>
          <w:sz w:val="22"/>
          <w:szCs w:val="22"/>
        </w:rPr>
        <w:t>“</w:t>
      </w:r>
      <w:r w:rsidR="007C1CA9" w:rsidRPr="006D7098">
        <w:rPr>
          <w:rFonts w:cs="Arial"/>
          <w:sz w:val="22"/>
          <w:szCs w:val="22"/>
        </w:rPr>
        <w:t xml:space="preserve">With strong historical occupancy rates and census mix as outlined in Section </w:t>
      </w:r>
      <w:r w:rsidR="007C1CA9" w:rsidRPr="006D7098">
        <w:rPr>
          <w:rFonts w:cs="Arial"/>
          <w:b/>
          <w:sz w:val="22"/>
          <w:szCs w:val="22"/>
        </w:rPr>
        <w:t>IV Public Need</w:t>
      </w:r>
      <w:r w:rsidR="007C1CA9" w:rsidRPr="006D7098">
        <w:rPr>
          <w:rFonts w:cs="Arial"/>
          <w:sz w:val="22"/>
          <w:szCs w:val="22"/>
        </w:rPr>
        <w:t xml:space="preserve">, Durgin Pines has realized respectable margins which management anticipates </w:t>
      </w:r>
      <w:r w:rsidR="005555D2" w:rsidRPr="006D7098">
        <w:rPr>
          <w:rFonts w:cs="Arial"/>
          <w:sz w:val="22"/>
          <w:szCs w:val="22"/>
        </w:rPr>
        <w:t>continuing</w:t>
      </w:r>
      <w:r w:rsidR="007C1CA9" w:rsidRPr="006D7098">
        <w:rPr>
          <w:rFonts w:cs="Arial"/>
          <w:sz w:val="22"/>
          <w:szCs w:val="22"/>
        </w:rPr>
        <w:t xml:space="preserve"> and allows for appropriate investment in facilities, quality initiatives and future programming. In addition, the combined financial statements reflect current ratios of 4.04 and 3.38, respectively, which clearly </w:t>
      </w:r>
      <w:r w:rsidR="005555D2" w:rsidRPr="006D7098">
        <w:rPr>
          <w:rFonts w:cs="Arial"/>
          <w:sz w:val="22"/>
          <w:szCs w:val="22"/>
        </w:rPr>
        <w:t>demonstrate</w:t>
      </w:r>
      <w:r w:rsidR="007C1CA9" w:rsidRPr="006D7098">
        <w:rPr>
          <w:rFonts w:cs="Arial"/>
          <w:sz w:val="22"/>
          <w:szCs w:val="22"/>
        </w:rPr>
        <w:t xml:space="preserve"> the financial health of the combined balance sheet and Durgin Pines’ ability</w:t>
      </w:r>
      <w:r w:rsidR="007C1CA9" w:rsidRPr="006D7098">
        <w:rPr>
          <w:rFonts w:cs="Arial"/>
          <w:spacing w:val="10"/>
          <w:sz w:val="22"/>
          <w:szCs w:val="22"/>
        </w:rPr>
        <w:t xml:space="preserve"> </w:t>
      </w:r>
      <w:r w:rsidR="007C1CA9" w:rsidRPr="006D7098">
        <w:rPr>
          <w:rFonts w:cs="Arial"/>
          <w:sz w:val="22"/>
          <w:szCs w:val="22"/>
        </w:rPr>
        <w:t>to</w:t>
      </w:r>
      <w:r w:rsidR="007C1CA9" w:rsidRPr="006D7098">
        <w:rPr>
          <w:rFonts w:cs="Arial"/>
          <w:spacing w:val="2"/>
          <w:sz w:val="22"/>
          <w:szCs w:val="22"/>
        </w:rPr>
        <w:t xml:space="preserve"> </w:t>
      </w:r>
      <w:r w:rsidR="007C1CA9" w:rsidRPr="006D7098">
        <w:rPr>
          <w:rFonts w:cs="Arial"/>
          <w:sz w:val="22"/>
          <w:szCs w:val="22"/>
        </w:rPr>
        <w:t>operate</w:t>
      </w:r>
      <w:r w:rsidR="007C1CA9" w:rsidRPr="006D7098">
        <w:rPr>
          <w:rFonts w:cs="Arial"/>
          <w:spacing w:val="20"/>
          <w:sz w:val="22"/>
          <w:szCs w:val="22"/>
        </w:rPr>
        <w:t xml:space="preserve"> </w:t>
      </w:r>
      <w:r w:rsidR="007C1CA9" w:rsidRPr="006D7098">
        <w:rPr>
          <w:rFonts w:cs="Arial"/>
          <w:sz w:val="22"/>
          <w:szCs w:val="22"/>
        </w:rPr>
        <w:t>the</w:t>
      </w:r>
      <w:r w:rsidR="007C1CA9" w:rsidRPr="006D7098">
        <w:rPr>
          <w:rFonts w:cs="Arial"/>
          <w:spacing w:val="7"/>
          <w:sz w:val="22"/>
          <w:szCs w:val="22"/>
        </w:rPr>
        <w:t xml:space="preserve"> </w:t>
      </w:r>
      <w:r w:rsidR="007C1CA9" w:rsidRPr="006D7098">
        <w:rPr>
          <w:rFonts w:cs="Arial"/>
          <w:sz w:val="22"/>
          <w:szCs w:val="22"/>
        </w:rPr>
        <w:t>project</w:t>
      </w:r>
      <w:r w:rsidR="007C1CA9" w:rsidRPr="006D7098">
        <w:rPr>
          <w:rFonts w:cs="Arial"/>
          <w:spacing w:val="2"/>
          <w:sz w:val="22"/>
          <w:szCs w:val="22"/>
        </w:rPr>
        <w:t xml:space="preserve"> </w:t>
      </w:r>
      <w:r w:rsidR="007C1CA9" w:rsidRPr="006D7098">
        <w:rPr>
          <w:rFonts w:cs="Arial"/>
          <w:sz w:val="22"/>
          <w:szCs w:val="22"/>
        </w:rPr>
        <w:t>in</w:t>
      </w:r>
      <w:r w:rsidR="007C1CA9" w:rsidRPr="006D7098">
        <w:rPr>
          <w:rFonts w:cs="Arial"/>
          <w:spacing w:val="14"/>
          <w:sz w:val="22"/>
          <w:szCs w:val="22"/>
        </w:rPr>
        <w:t xml:space="preserve"> </w:t>
      </w:r>
      <w:r w:rsidR="007C1CA9" w:rsidRPr="006D7098">
        <w:rPr>
          <w:rFonts w:cs="Arial"/>
          <w:sz w:val="22"/>
          <w:szCs w:val="22"/>
        </w:rPr>
        <w:t>accordance</w:t>
      </w:r>
      <w:r w:rsidR="007C1CA9" w:rsidRPr="006D7098">
        <w:rPr>
          <w:rFonts w:cs="Arial"/>
          <w:spacing w:val="9"/>
          <w:sz w:val="22"/>
          <w:szCs w:val="22"/>
        </w:rPr>
        <w:t xml:space="preserve"> </w:t>
      </w:r>
      <w:r w:rsidR="007C1CA9" w:rsidRPr="006D7098">
        <w:rPr>
          <w:rFonts w:cs="Arial"/>
          <w:sz w:val="22"/>
          <w:szCs w:val="22"/>
        </w:rPr>
        <w:t>with existing</w:t>
      </w:r>
      <w:r w:rsidR="007C1CA9" w:rsidRPr="006D7098">
        <w:rPr>
          <w:rFonts w:cs="Arial"/>
          <w:spacing w:val="17"/>
          <w:sz w:val="22"/>
          <w:szCs w:val="22"/>
        </w:rPr>
        <w:t xml:space="preserve"> </w:t>
      </w:r>
      <w:r w:rsidR="007C1CA9" w:rsidRPr="006D7098">
        <w:rPr>
          <w:rFonts w:cs="Arial"/>
          <w:sz w:val="22"/>
          <w:szCs w:val="22"/>
        </w:rPr>
        <w:t>and</w:t>
      </w:r>
      <w:r w:rsidR="007C1CA9" w:rsidRPr="006D7098">
        <w:rPr>
          <w:rFonts w:cs="Arial"/>
          <w:spacing w:val="2"/>
          <w:sz w:val="22"/>
          <w:szCs w:val="22"/>
        </w:rPr>
        <w:t xml:space="preserve"> </w:t>
      </w:r>
      <w:r w:rsidR="007C1CA9" w:rsidRPr="006D7098">
        <w:rPr>
          <w:rFonts w:cs="Arial"/>
          <w:sz w:val="22"/>
          <w:szCs w:val="22"/>
        </w:rPr>
        <w:t>reasonable</w:t>
      </w:r>
      <w:r w:rsidR="007C1CA9" w:rsidRPr="006D7098">
        <w:rPr>
          <w:rFonts w:cs="Arial"/>
          <w:spacing w:val="15"/>
          <w:sz w:val="22"/>
          <w:szCs w:val="22"/>
        </w:rPr>
        <w:t xml:space="preserve"> </w:t>
      </w:r>
      <w:r w:rsidR="007C1CA9" w:rsidRPr="006D7098">
        <w:rPr>
          <w:rFonts w:cs="Arial"/>
          <w:sz w:val="22"/>
          <w:szCs w:val="22"/>
        </w:rPr>
        <w:t>future</w:t>
      </w:r>
      <w:r w:rsidR="007C1CA9" w:rsidRPr="006D7098">
        <w:rPr>
          <w:rFonts w:cs="Arial"/>
          <w:spacing w:val="13"/>
          <w:sz w:val="22"/>
          <w:szCs w:val="22"/>
        </w:rPr>
        <w:t xml:space="preserve"> </w:t>
      </w:r>
      <w:r w:rsidR="007C1CA9" w:rsidRPr="006D7098">
        <w:rPr>
          <w:rFonts w:cs="Arial"/>
          <w:sz w:val="22"/>
          <w:szCs w:val="22"/>
        </w:rPr>
        <w:t>changes</w:t>
      </w:r>
      <w:r w:rsidR="007C1CA9" w:rsidRPr="006D7098">
        <w:rPr>
          <w:rFonts w:cs="Arial"/>
          <w:spacing w:val="5"/>
          <w:sz w:val="22"/>
          <w:szCs w:val="22"/>
        </w:rPr>
        <w:t xml:space="preserve"> </w:t>
      </w:r>
      <w:r w:rsidR="007C1CA9" w:rsidRPr="006D7098">
        <w:rPr>
          <w:rFonts w:cs="Arial"/>
          <w:sz w:val="22"/>
          <w:szCs w:val="22"/>
        </w:rPr>
        <w:t>in</w:t>
      </w:r>
      <w:r w:rsidR="007C1CA9" w:rsidRPr="006D7098">
        <w:rPr>
          <w:rFonts w:cs="Arial"/>
          <w:spacing w:val="5"/>
          <w:sz w:val="22"/>
          <w:szCs w:val="22"/>
        </w:rPr>
        <w:t xml:space="preserve"> </w:t>
      </w:r>
      <w:r w:rsidR="007C1CA9" w:rsidRPr="006D7098">
        <w:rPr>
          <w:rFonts w:cs="Arial"/>
          <w:sz w:val="22"/>
          <w:szCs w:val="22"/>
        </w:rPr>
        <w:t>federal,</w:t>
      </w:r>
      <w:r w:rsidR="007C1CA9" w:rsidRPr="006D7098">
        <w:rPr>
          <w:rFonts w:cs="Arial"/>
          <w:spacing w:val="5"/>
          <w:sz w:val="22"/>
          <w:szCs w:val="22"/>
        </w:rPr>
        <w:t xml:space="preserve"> </w:t>
      </w:r>
      <w:r w:rsidR="007C1CA9" w:rsidRPr="006D7098">
        <w:rPr>
          <w:rFonts w:cs="Arial"/>
          <w:sz w:val="22"/>
          <w:szCs w:val="22"/>
        </w:rPr>
        <w:t>state</w:t>
      </w:r>
      <w:r w:rsidR="007C1CA9" w:rsidRPr="006D7098">
        <w:rPr>
          <w:rFonts w:cs="Arial"/>
          <w:spacing w:val="8"/>
          <w:sz w:val="22"/>
          <w:szCs w:val="22"/>
        </w:rPr>
        <w:t xml:space="preserve"> </w:t>
      </w:r>
      <w:r w:rsidR="007C1CA9" w:rsidRPr="006D7098">
        <w:rPr>
          <w:rFonts w:cs="Arial"/>
          <w:sz w:val="22"/>
          <w:szCs w:val="22"/>
        </w:rPr>
        <w:t>and</w:t>
      </w:r>
      <w:r w:rsidR="007C1CA9" w:rsidRPr="006D7098">
        <w:rPr>
          <w:rFonts w:cs="Arial"/>
          <w:spacing w:val="4"/>
          <w:sz w:val="22"/>
          <w:szCs w:val="22"/>
        </w:rPr>
        <w:t xml:space="preserve"> </w:t>
      </w:r>
      <w:r w:rsidR="007C1CA9" w:rsidRPr="006D7098">
        <w:rPr>
          <w:rFonts w:cs="Arial"/>
          <w:sz w:val="22"/>
          <w:szCs w:val="22"/>
        </w:rPr>
        <w:t>local licensure</w:t>
      </w:r>
      <w:r w:rsidR="007C1CA9" w:rsidRPr="006D7098">
        <w:rPr>
          <w:rFonts w:cs="Arial"/>
          <w:spacing w:val="7"/>
          <w:sz w:val="22"/>
          <w:szCs w:val="22"/>
        </w:rPr>
        <w:t xml:space="preserve"> </w:t>
      </w:r>
      <w:r w:rsidR="007C1CA9" w:rsidRPr="006D7098">
        <w:rPr>
          <w:rFonts w:cs="Arial"/>
          <w:sz w:val="22"/>
          <w:szCs w:val="22"/>
        </w:rPr>
        <w:t>and</w:t>
      </w:r>
      <w:r w:rsidR="007C1CA9" w:rsidRPr="006D7098">
        <w:rPr>
          <w:rFonts w:cs="Arial"/>
          <w:spacing w:val="-3"/>
          <w:sz w:val="22"/>
          <w:szCs w:val="22"/>
        </w:rPr>
        <w:t xml:space="preserve"> </w:t>
      </w:r>
      <w:r w:rsidR="007C1CA9" w:rsidRPr="006D7098">
        <w:rPr>
          <w:rFonts w:cs="Arial"/>
          <w:sz w:val="22"/>
          <w:szCs w:val="22"/>
        </w:rPr>
        <w:t>other</w:t>
      </w:r>
      <w:r w:rsidR="007C1CA9" w:rsidRPr="006D7098">
        <w:rPr>
          <w:rFonts w:cs="Arial"/>
          <w:spacing w:val="13"/>
          <w:sz w:val="22"/>
          <w:szCs w:val="22"/>
        </w:rPr>
        <w:t xml:space="preserve"> </w:t>
      </w:r>
      <w:r w:rsidR="007C1CA9" w:rsidRPr="006D7098">
        <w:rPr>
          <w:rFonts w:cs="Arial"/>
          <w:sz w:val="22"/>
          <w:szCs w:val="22"/>
        </w:rPr>
        <w:t>applicable</w:t>
      </w:r>
      <w:r w:rsidR="007C1CA9" w:rsidRPr="006D7098">
        <w:rPr>
          <w:rFonts w:cs="Arial"/>
          <w:spacing w:val="8"/>
          <w:sz w:val="22"/>
          <w:szCs w:val="22"/>
        </w:rPr>
        <w:t xml:space="preserve"> </w:t>
      </w:r>
      <w:r w:rsidR="007C1CA9" w:rsidRPr="006D7098">
        <w:rPr>
          <w:rFonts w:cs="Arial"/>
          <w:sz w:val="22"/>
          <w:szCs w:val="22"/>
        </w:rPr>
        <w:t>or</w:t>
      </w:r>
      <w:r w:rsidR="007C1CA9" w:rsidRPr="006D7098">
        <w:rPr>
          <w:rFonts w:cs="Arial"/>
          <w:spacing w:val="3"/>
          <w:sz w:val="22"/>
          <w:szCs w:val="22"/>
        </w:rPr>
        <w:t xml:space="preserve"> </w:t>
      </w:r>
      <w:r w:rsidR="007C1CA9" w:rsidRPr="006D7098">
        <w:rPr>
          <w:rFonts w:cs="Arial"/>
          <w:sz w:val="22"/>
          <w:szCs w:val="22"/>
        </w:rPr>
        <w:t>potentially</w:t>
      </w:r>
      <w:r w:rsidR="007C1CA9" w:rsidRPr="006D7098">
        <w:rPr>
          <w:rFonts w:cs="Arial"/>
          <w:spacing w:val="16"/>
          <w:sz w:val="22"/>
          <w:szCs w:val="22"/>
        </w:rPr>
        <w:t xml:space="preserve"> </w:t>
      </w:r>
      <w:r w:rsidR="007C1CA9" w:rsidRPr="006D7098">
        <w:rPr>
          <w:rFonts w:cs="Arial"/>
          <w:sz w:val="22"/>
          <w:szCs w:val="22"/>
        </w:rPr>
        <w:t>applicable</w:t>
      </w:r>
      <w:r w:rsidR="007C1CA9" w:rsidRPr="006D7098">
        <w:rPr>
          <w:rFonts w:cs="Arial"/>
          <w:spacing w:val="17"/>
          <w:sz w:val="22"/>
          <w:szCs w:val="22"/>
        </w:rPr>
        <w:t xml:space="preserve"> </w:t>
      </w:r>
      <w:r w:rsidR="007C1CA9" w:rsidRPr="006D7098">
        <w:rPr>
          <w:rFonts w:cs="Arial"/>
          <w:sz w:val="22"/>
          <w:szCs w:val="22"/>
        </w:rPr>
        <w:t>regulations.</w:t>
      </w:r>
      <w:r>
        <w:rPr>
          <w:rFonts w:cs="Arial"/>
          <w:sz w:val="22"/>
          <w:szCs w:val="22"/>
        </w:rPr>
        <w:t>”</w:t>
      </w:r>
    </w:p>
    <w:p w:rsidR="005117D9" w:rsidRDefault="005117D9" w:rsidP="005F7C09">
      <w:pPr>
        <w:jc w:val="both"/>
        <w:rPr>
          <w:b/>
        </w:rPr>
      </w:pPr>
    </w:p>
    <w:p w:rsidR="008E41AC" w:rsidRPr="00797B1A" w:rsidRDefault="009C2B70" w:rsidP="006D7098">
      <w:pPr>
        <w:jc w:val="both"/>
        <w:rPr>
          <w:b/>
        </w:rPr>
      </w:pPr>
      <w:r w:rsidRPr="00797B1A">
        <w:rPr>
          <w:b/>
        </w:rPr>
        <w:t xml:space="preserve">B. </w:t>
      </w:r>
      <w:r w:rsidR="000B726F">
        <w:rPr>
          <w:b/>
        </w:rPr>
        <w:tab/>
      </w:r>
      <w:r w:rsidR="008F244E" w:rsidRPr="0079298B">
        <w:rPr>
          <w:b/>
          <w:u w:val="single"/>
        </w:rPr>
        <w:t>Certificate of Need Unit Discussion</w:t>
      </w:r>
    </w:p>
    <w:p w:rsidR="008E41AC" w:rsidRPr="00797B1A" w:rsidRDefault="008E41AC" w:rsidP="005F7C09">
      <w:pPr>
        <w:jc w:val="both"/>
      </w:pPr>
    </w:p>
    <w:p w:rsidR="009D7AC0" w:rsidRPr="00797B1A" w:rsidRDefault="009D7AC0" w:rsidP="00797B1A">
      <w:pPr>
        <w:pStyle w:val="ListParagraph"/>
        <w:keepNext/>
        <w:numPr>
          <w:ilvl w:val="0"/>
          <w:numId w:val="35"/>
        </w:numPr>
        <w:ind w:left="720"/>
        <w:jc w:val="both"/>
        <w:rPr>
          <w:b/>
        </w:rPr>
      </w:pPr>
      <w:r w:rsidRPr="00797B1A">
        <w:rPr>
          <w:b/>
        </w:rPr>
        <w:t>CON Standard</w:t>
      </w:r>
    </w:p>
    <w:p w:rsidR="009D7AC0" w:rsidRPr="002445F3" w:rsidRDefault="009D7AC0" w:rsidP="005F7C09">
      <w:pPr>
        <w:jc w:val="both"/>
        <w:rPr>
          <w:b/>
          <w:bCs/>
          <w:sz w:val="16"/>
          <w:szCs w:val="16"/>
        </w:rPr>
      </w:pPr>
    </w:p>
    <w:p w:rsidR="009D7AC0" w:rsidRPr="00797B1A" w:rsidRDefault="009D7AC0" w:rsidP="005F7C09">
      <w:pPr>
        <w:jc w:val="both"/>
      </w:pPr>
      <w:r w:rsidRPr="00797B1A">
        <w:t>The relevant standards for inclusion in this section are specific to the determination that the economic feasibility of the proposed services is demonstrated in terms of the:</w:t>
      </w:r>
    </w:p>
    <w:p w:rsidR="009D7AC0" w:rsidRPr="002445F3" w:rsidRDefault="009D7AC0" w:rsidP="005F7C09">
      <w:pPr>
        <w:jc w:val="both"/>
        <w:rPr>
          <w:sz w:val="16"/>
          <w:szCs w:val="16"/>
        </w:rPr>
      </w:pPr>
    </w:p>
    <w:p w:rsidR="009D7AC0" w:rsidRPr="00797B1A" w:rsidRDefault="009D7AC0" w:rsidP="005F7C09">
      <w:pPr>
        <w:numPr>
          <w:ilvl w:val="0"/>
          <w:numId w:val="27"/>
        </w:numPr>
        <w:jc w:val="both"/>
      </w:pPr>
      <w:r w:rsidRPr="00797B1A">
        <w:t>Capacity of the applicant to support the project financially over its useful life, in light of the rates the applicant expects to be able to charge for the services to be provided by the project; and</w:t>
      </w:r>
    </w:p>
    <w:p w:rsidR="009D7AC0" w:rsidRPr="002445F3" w:rsidRDefault="009D7AC0" w:rsidP="005F7C09">
      <w:pPr>
        <w:jc w:val="both"/>
        <w:rPr>
          <w:rFonts w:eastAsiaTheme="minorHAnsi"/>
          <w:sz w:val="16"/>
          <w:szCs w:val="16"/>
        </w:rPr>
      </w:pPr>
    </w:p>
    <w:p w:rsidR="009D7AC0" w:rsidRPr="00797B1A" w:rsidRDefault="009D7AC0" w:rsidP="00797B1A">
      <w:pPr>
        <w:numPr>
          <w:ilvl w:val="0"/>
          <w:numId w:val="27"/>
        </w:numPr>
        <w:autoSpaceDE w:val="0"/>
        <w:autoSpaceDN w:val="0"/>
        <w:jc w:val="both"/>
      </w:pPr>
      <w:r w:rsidRPr="00797B1A">
        <w:t>The applicant's ability to establish and operate the project in accordance with existing and reasonably anticipated future changes in federal, state and local licensure and other applicable or potentially applicable rules.</w:t>
      </w:r>
      <w:r w:rsidRPr="00797B1A">
        <w:rPr>
          <w:b/>
          <w:bCs/>
        </w:rPr>
        <w:t xml:space="preserve"> </w:t>
      </w:r>
      <w:r w:rsidRPr="00797B1A">
        <w:t>If the applicant is a provider of health care services that are substantially similar to those services being reviewed and is licensed in the State, the applicant is deemed to have fulfilled the requirements. This is allowable if the services provided in the State by the applicant during the most recent 3-year period are of similar size and scope and are consistent with applicable licensing and certification standards.</w:t>
      </w:r>
    </w:p>
    <w:p w:rsidR="009D7AC0" w:rsidRPr="002445F3" w:rsidRDefault="009D7AC0" w:rsidP="005F7C09">
      <w:pPr>
        <w:jc w:val="both"/>
        <w:rPr>
          <w:sz w:val="16"/>
          <w:szCs w:val="16"/>
        </w:rPr>
      </w:pPr>
    </w:p>
    <w:p w:rsidR="00354259" w:rsidRPr="00797B1A" w:rsidRDefault="008F244E" w:rsidP="00797B1A">
      <w:pPr>
        <w:pStyle w:val="ListParagraph"/>
        <w:numPr>
          <w:ilvl w:val="0"/>
          <w:numId w:val="35"/>
        </w:numPr>
        <w:ind w:left="720"/>
        <w:jc w:val="both"/>
        <w:rPr>
          <w:b/>
        </w:rPr>
      </w:pPr>
      <w:r w:rsidRPr="00797B1A">
        <w:rPr>
          <w:b/>
        </w:rPr>
        <w:t>C</w:t>
      </w:r>
      <w:r w:rsidR="00797B1A" w:rsidRPr="00797B1A">
        <w:rPr>
          <w:b/>
        </w:rPr>
        <w:t>ON</w:t>
      </w:r>
      <w:r w:rsidRPr="00797B1A">
        <w:rPr>
          <w:b/>
        </w:rPr>
        <w:t xml:space="preserve"> Unit An</w:t>
      </w:r>
      <w:r w:rsidR="00654D8C" w:rsidRPr="00797B1A">
        <w:rPr>
          <w:b/>
        </w:rPr>
        <w:t>alysis</w:t>
      </w:r>
    </w:p>
    <w:p w:rsidR="00354259" w:rsidRPr="002445F3" w:rsidRDefault="00354259" w:rsidP="005F7C09">
      <w:pPr>
        <w:jc w:val="both"/>
        <w:rPr>
          <w:b/>
          <w:sz w:val="16"/>
          <w:szCs w:val="16"/>
          <w:u w:val="single"/>
        </w:rPr>
      </w:pPr>
    </w:p>
    <w:p w:rsidR="00131E2F" w:rsidRPr="00797B1A" w:rsidRDefault="00FD49A2" w:rsidP="005F7C09">
      <w:pPr>
        <w:jc w:val="both"/>
      </w:pPr>
      <w:r w:rsidRPr="00797B1A">
        <w:t>As stated in the abstract section of the CON application</w:t>
      </w:r>
      <w:r w:rsidR="005C7103" w:rsidRPr="00797B1A">
        <w:t>,</w:t>
      </w:r>
      <w:r w:rsidRPr="00797B1A">
        <w:t xml:space="preserve"> t</w:t>
      </w:r>
      <w:r w:rsidR="00654D8C" w:rsidRPr="00797B1A">
        <w:t>h</w:t>
      </w:r>
      <w:r w:rsidR="005C7103" w:rsidRPr="00797B1A">
        <w:t>e ownership of the membership interests of Kittery Commons, LLC and Sentry Commons, LLC are currently owned by Mr. William Gillis (50% ownership) and Mr. Joseph Hogan (50% ownership). Th</w:t>
      </w:r>
      <w:r w:rsidR="00654D8C" w:rsidRPr="00797B1A">
        <w:t xml:space="preserve">is transaction involves </w:t>
      </w:r>
      <w:r w:rsidR="006F38F2" w:rsidRPr="00797B1A">
        <w:t xml:space="preserve">the transfer of </w:t>
      </w:r>
      <w:r w:rsidR="005C7103" w:rsidRPr="00797B1A">
        <w:t>Mr. William Gillis’ 50% membership interest to Mr. Joseph Hogan who will then own 100% of Sentry Commons</w:t>
      </w:r>
      <w:r w:rsidR="00797B1A">
        <w:t>, LLC and Kittery Commons, LLC.</w:t>
      </w:r>
    </w:p>
    <w:p w:rsidR="008E14CD" w:rsidRPr="002445F3" w:rsidRDefault="008E14CD" w:rsidP="005F7C09">
      <w:pPr>
        <w:jc w:val="both"/>
        <w:rPr>
          <w:sz w:val="16"/>
          <w:szCs w:val="16"/>
        </w:rPr>
      </w:pPr>
    </w:p>
    <w:p w:rsidR="00131E2F" w:rsidRPr="00797B1A" w:rsidRDefault="008E14CD" w:rsidP="005F7C09">
      <w:pPr>
        <w:jc w:val="both"/>
      </w:pPr>
      <w:r w:rsidRPr="00797B1A">
        <w:t>Mr. Joseph Hogan has extensive experience in the n</w:t>
      </w:r>
      <w:r w:rsidR="00797B1A">
        <w:t xml:space="preserve">ursing home industry. </w:t>
      </w:r>
      <w:r w:rsidRPr="00797B1A">
        <w:t>He currently owns and operates several facilities in the State of Maine. He has been a licensed nursing home administrator in good standing since 1985.</w:t>
      </w:r>
    </w:p>
    <w:p w:rsidR="008E14CD" w:rsidRPr="002445F3" w:rsidRDefault="008E14CD" w:rsidP="005F7C09">
      <w:pPr>
        <w:jc w:val="both"/>
        <w:rPr>
          <w:sz w:val="16"/>
          <w:szCs w:val="16"/>
        </w:rPr>
      </w:pPr>
    </w:p>
    <w:p w:rsidR="00131E2F" w:rsidRPr="00797B1A" w:rsidRDefault="008E14CD" w:rsidP="005F7C09">
      <w:pPr>
        <w:jc w:val="both"/>
      </w:pPr>
      <w:r w:rsidRPr="00797B1A">
        <w:t xml:space="preserve">Kittery Commons, LLC owns the real estate of Durgin Pines and Sentry Commons, LLC is Durgin Pines operating company. This transaction is going to be an equity sale of membership interests. The purchase price is </w:t>
      </w:r>
      <w:r w:rsidR="00D37C8C">
        <w:t xml:space="preserve">expected to be between two and three million dollars depending </w:t>
      </w:r>
      <w:r w:rsidR="00B30575">
        <w:t>up</w:t>
      </w:r>
      <w:r w:rsidR="00D37C8C">
        <w:t xml:space="preserve">on the results of an appraisal. This transaction is expected to be completed within 90 days. The applicant will forward the total purchase price </w:t>
      </w:r>
      <w:r w:rsidR="00FB05A5">
        <w:t xml:space="preserve">to CONU </w:t>
      </w:r>
      <w:r w:rsidR="00B30575">
        <w:t xml:space="preserve"> in conjunction </w:t>
      </w:r>
      <w:r w:rsidR="000827DF">
        <w:t>with the implementation report filing.</w:t>
      </w:r>
      <w:r w:rsidRPr="00797B1A">
        <w:t xml:space="preserve"> This tran</w:t>
      </w:r>
      <w:r w:rsidR="00797B1A">
        <w:t xml:space="preserve">saction will have no impact on </w:t>
      </w:r>
      <w:r w:rsidRPr="00797B1A">
        <w:t>Durgin Pines cash flow, balance sheet or depreciable basis. This is reflected in the pro forma cost report submitted by the applicant and on file at CONU.</w:t>
      </w:r>
    </w:p>
    <w:p w:rsidR="00A209F2" w:rsidRDefault="00A209F2" w:rsidP="005F7C09">
      <w:pPr>
        <w:tabs>
          <w:tab w:val="left" w:pos="-180"/>
        </w:tabs>
        <w:jc w:val="both"/>
        <w:rPr>
          <w:b/>
        </w:rPr>
      </w:pPr>
    </w:p>
    <w:p w:rsidR="005B3A71" w:rsidRPr="00797B1A" w:rsidRDefault="005B3A71" w:rsidP="005F7C09">
      <w:pPr>
        <w:tabs>
          <w:tab w:val="left" w:pos="-180"/>
        </w:tabs>
        <w:jc w:val="both"/>
        <w:rPr>
          <w:b/>
        </w:rPr>
      </w:pPr>
      <w:r w:rsidRPr="00797B1A">
        <w:rPr>
          <w:b/>
        </w:rPr>
        <w:t>Changing Laws and Regulations</w:t>
      </w:r>
    </w:p>
    <w:p w:rsidR="005B3A71" w:rsidRPr="00797B1A" w:rsidRDefault="005B3A71" w:rsidP="005F7C09">
      <w:pPr>
        <w:tabs>
          <w:tab w:val="left" w:pos="-180"/>
        </w:tabs>
        <w:jc w:val="both"/>
      </w:pPr>
    </w:p>
    <w:p w:rsidR="00A46ED4" w:rsidRPr="00797B1A" w:rsidRDefault="008F3BC2" w:rsidP="005F7C09">
      <w:pPr>
        <w:tabs>
          <w:tab w:val="left" w:pos="-180"/>
        </w:tabs>
        <w:jc w:val="both"/>
      </w:pPr>
      <w:r w:rsidRPr="00797B1A">
        <w:t>C</w:t>
      </w:r>
      <w:r w:rsidR="0079298B">
        <w:t>ON</w:t>
      </w:r>
      <w:r w:rsidRPr="00797B1A">
        <w:t xml:space="preserve"> Unit staff is un</w:t>
      </w:r>
      <w:r w:rsidR="005B3A71" w:rsidRPr="00797B1A">
        <w:t xml:space="preserve">aware of any imminent or proposed changes in laws and regulations that would impact the project, except for federal health care reform as part of </w:t>
      </w:r>
      <w:r w:rsidR="007B3EC9" w:rsidRPr="00797B1A">
        <w:t xml:space="preserve">the Affordable Care Act (ACA). </w:t>
      </w:r>
      <w:r w:rsidR="005B3A71" w:rsidRPr="00797B1A">
        <w:t>The impact of health reform as part of t</w:t>
      </w:r>
      <w:r w:rsidR="002C0659" w:rsidRPr="00797B1A">
        <w:t>he ACA has not been determined.</w:t>
      </w:r>
    </w:p>
    <w:p w:rsidR="00A033D5" w:rsidRDefault="00A033D5" w:rsidP="00797B1A">
      <w:pPr>
        <w:jc w:val="both"/>
        <w:rPr>
          <w:b/>
        </w:rPr>
      </w:pPr>
    </w:p>
    <w:p w:rsidR="003E61AB" w:rsidRPr="00797B1A" w:rsidRDefault="003E61AB" w:rsidP="00797B1A">
      <w:pPr>
        <w:jc w:val="both"/>
        <w:rPr>
          <w:b/>
        </w:rPr>
      </w:pPr>
      <w:r w:rsidRPr="00797B1A">
        <w:rPr>
          <w:b/>
        </w:rPr>
        <w:t>Deeming of Standard</w:t>
      </w:r>
    </w:p>
    <w:p w:rsidR="003E61AB" w:rsidRPr="00797B1A" w:rsidRDefault="003E61AB" w:rsidP="005F7C09">
      <w:pPr>
        <w:jc w:val="both"/>
      </w:pPr>
    </w:p>
    <w:p w:rsidR="003E61AB" w:rsidRPr="00797B1A" w:rsidRDefault="003E61AB" w:rsidP="005F7C09">
      <w:pPr>
        <w:jc w:val="both"/>
      </w:pPr>
      <w:r w:rsidRPr="00797B1A">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r w:rsidR="0052336F" w:rsidRPr="00797B1A">
        <w:t>.</w:t>
      </w:r>
    </w:p>
    <w:p w:rsidR="003E61AB" w:rsidRPr="00797B1A" w:rsidRDefault="003E61AB" w:rsidP="005F7C09">
      <w:pPr>
        <w:jc w:val="both"/>
      </w:pPr>
    </w:p>
    <w:p w:rsidR="00AD6782" w:rsidRPr="00797B1A" w:rsidRDefault="003E61AB" w:rsidP="005F7C09">
      <w:pPr>
        <w:jc w:val="both"/>
      </w:pPr>
      <w:r w:rsidRPr="00797B1A">
        <w:t xml:space="preserve">The </w:t>
      </w:r>
      <w:r w:rsidR="008E14CD" w:rsidRPr="00797B1A">
        <w:t>applicant has operated</w:t>
      </w:r>
      <w:r w:rsidR="00E46A96" w:rsidRPr="00797B1A">
        <w:t>, and will continue to operate</w:t>
      </w:r>
      <w:r w:rsidRPr="00797B1A">
        <w:t xml:space="preserve"> </w:t>
      </w:r>
      <w:r w:rsidR="00131E2F" w:rsidRPr="00797B1A">
        <w:t>the</w:t>
      </w:r>
      <w:r w:rsidRPr="00797B1A">
        <w:t xml:space="preserve"> </w:t>
      </w:r>
      <w:r w:rsidR="00DF1AB3" w:rsidRPr="00797B1A">
        <w:t xml:space="preserve">Durgin Pines </w:t>
      </w:r>
      <w:r w:rsidR="00FD49A2" w:rsidRPr="00797B1A">
        <w:t>facility</w:t>
      </w:r>
      <w:r w:rsidR="00E46A96" w:rsidRPr="00797B1A">
        <w:t xml:space="preserve"> after the transaction.</w:t>
      </w:r>
    </w:p>
    <w:p w:rsidR="00797B1A" w:rsidRDefault="00797B1A" w:rsidP="002E65D9">
      <w:pPr>
        <w:ind w:firstLine="432"/>
        <w:jc w:val="both"/>
      </w:pPr>
    </w:p>
    <w:p w:rsidR="008E41AC" w:rsidRPr="00797B1A" w:rsidRDefault="008E41AC" w:rsidP="00797B1A">
      <w:pPr>
        <w:pStyle w:val="ListParagraph"/>
        <w:numPr>
          <w:ilvl w:val="0"/>
          <w:numId w:val="35"/>
        </w:numPr>
        <w:ind w:left="720"/>
        <w:jc w:val="both"/>
        <w:rPr>
          <w:b/>
        </w:rPr>
      </w:pPr>
      <w:r w:rsidRPr="00797B1A">
        <w:rPr>
          <w:b/>
        </w:rPr>
        <w:t>Conclusion</w:t>
      </w:r>
    </w:p>
    <w:p w:rsidR="00AD6782" w:rsidRPr="00797B1A" w:rsidRDefault="00AD6782" w:rsidP="005F7C09">
      <w:pPr>
        <w:jc w:val="both"/>
        <w:rPr>
          <w:bCs/>
          <w:iCs/>
        </w:rPr>
      </w:pPr>
    </w:p>
    <w:p w:rsidR="009A56DF" w:rsidRPr="00797B1A" w:rsidRDefault="006A7CB7" w:rsidP="005117D9">
      <w:pPr>
        <w:jc w:val="both"/>
      </w:pPr>
      <w:r w:rsidRPr="00797B1A">
        <w:rPr>
          <w:bCs/>
          <w:iCs/>
        </w:rPr>
        <w:t>C</w:t>
      </w:r>
      <w:r w:rsidR="0079298B">
        <w:rPr>
          <w:bCs/>
          <w:iCs/>
        </w:rPr>
        <w:t xml:space="preserve">ON </w:t>
      </w:r>
      <w:r w:rsidRPr="00797B1A">
        <w:rPr>
          <w:bCs/>
          <w:iCs/>
        </w:rPr>
        <w:t>Unit</w:t>
      </w:r>
      <w:r w:rsidR="003D74E7" w:rsidRPr="00797B1A">
        <w:rPr>
          <w:bCs/>
          <w:iCs/>
        </w:rPr>
        <w:t xml:space="preserve"> </w:t>
      </w:r>
      <w:r w:rsidR="00D77F04" w:rsidRPr="00797B1A">
        <w:rPr>
          <w:bCs/>
          <w:iCs/>
        </w:rPr>
        <w:t>recommend</w:t>
      </w:r>
      <w:r w:rsidR="00502D9E" w:rsidRPr="00797B1A">
        <w:rPr>
          <w:bCs/>
          <w:iCs/>
        </w:rPr>
        <w:t>s</w:t>
      </w:r>
      <w:r w:rsidR="00D77F04" w:rsidRPr="00797B1A">
        <w:rPr>
          <w:bCs/>
          <w:iCs/>
        </w:rPr>
        <w:t xml:space="preserve"> that the Commissioner determine that </w:t>
      </w:r>
      <w:r w:rsidR="00797D9C" w:rsidRPr="00797B1A">
        <w:rPr>
          <w:bCs/>
          <w:iCs/>
        </w:rPr>
        <w:t xml:space="preserve">the applicant has </w:t>
      </w:r>
      <w:r w:rsidR="00D77F04" w:rsidRPr="00797B1A">
        <w:rPr>
          <w:bCs/>
          <w:iCs/>
        </w:rPr>
        <w:t xml:space="preserve">met </w:t>
      </w:r>
      <w:r w:rsidR="00446CB8" w:rsidRPr="00797B1A">
        <w:rPr>
          <w:bCs/>
          <w:iCs/>
        </w:rPr>
        <w:t>their</w:t>
      </w:r>
      <w:r w:rsidR="00D77F04" w:rsidRPr="00797B1A">
        <w:rPr>
          <w:bCs/>
          <w:iCs/>
        </w:rPr>
        <w:t xml:space="preserve"> burden to demonstrate</w:t>
      </w:r>
      <w:r w:rsidR="00600191" w:rsidRPr="00797B1A">
        <w:rPr>
          <w:bCs/>
          <w:iCs/>
        </w:rPr>
        <w:t>: (1) the c</w:t>
      </w:r>
      <w:r w:rsidR="00600191" w:rsidRPr="00797B1A">
        <w:t xml:space="preserve">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w:t>
      </w:r>
      <w:bookmarkStart w:id="15" w:name="_Ref195319944"/>
      <w:r w:rsidR="009A56DF" w:rsidRPr="00797B1A">
        <w:t xml:space="preserve">or potentially applicable </w:t>
      </w:r>
      <w:r w:rsidR="007007F3" w:rsidRPr="00797B1A">
        <w:t>rules</w:t>
      </w:r>
    </w:p>
    <w:p w:rsidR="009A56DF" w:rsidRPr="005F7C09" w:rsidRDefault="009A56DF" w:rsidP="005F7C09">
      <w:pPr>
        <w:jc w:val="both"/>
        <w:rPr>
          <w:sz w:val="28"/>
          <w:szCs w:val="28"/>
        </w:rPr>
      </w:pPr>
    </w:p>
    <w:p w:rsidR="009530A6" w:rsidRPr="005F7C09" w:rsidRDefault="009530A6" w:rsidP="005F7C09">
      <w:pPr>
        <w:jc w:val="both"/>
        <w:rPr>
          <w:sz w:val="28"/>
          <w:szCs w:val="28"/>
        </w:rPr>
        <w:sectPr w:rsidR="009530A6" w:rsidRPr="005F7C09" w:rsidSect="009C2B70">
          <w:pgSz w:w="12240" w:h="15840"/>
          <w:pgMar w:top="1440" w:right="1440" w:bottom="1440" w:left="1440" w:header="720" w:footer="720" w:gutter="0"/>
          <w:cols w:space="720"/>
          <w:docGrid w:linePitch="360"/>
        </w:sectPr>
      </w:pPr>
    </w:p>
    <w:p w:rsidR="004336AF" w:rsidRPr="00797B1A" w:rsidRDefault="004336AF" w:rsidP="00797B1A">
      <w:pPr>
        <w:pStyle w:val="Heading1"/>
        <w:spacing w:before="100" w:beforeAutospacing="1" w:after="0"/>
        <w:jc w:val="both"/>
        <w:rPr>
          <w:rFonts w:ascii="Times New Roman" w:hAnsi="Times New Roman" w:cs="Times New Roman"/>
          <w:b w:val="0"/>
          <w:bCs w:val="0"/>
          <w:iCs/>
        </w:rPr>
      </w:pPr>
      <w:r w:rsidRPr="00797B1A">
        <w:rPr>
          <w:rFonts w:ascii="Times New Roman" w:hAnsi="Times New Roman" w:cs="Times New Roman"/>
        </w:rPr>
        <w:lastRenderedPageBreak/>
        <w:t xml:space="preserve">IV. </w:t>
      </w:r>
      <w:bookmarkEnd w:id="15"/>
      <w:r w:rsidR="00CF12AC" w:rsidRPr="00797B1A">
        <w:rPr>
          <w:rFonts w:ascii="Times New Roman" w:hAnsi="Times New Roman" w:cs="Times New Roman"/>
        </w:rPr>
        <w:t>Public Need</w:t>
      </w:r>
    </w:p>
    <w:p w:rsidR="00E32294" w:rsidRPr="005F7C09" w:rsidRDefault="00E32294" w:rsidP="005F7C09">
      <w:pPr>
        <w:jc w:val="both"/>
        <w:rPr>
          <w:sz w:val="16"/>
          <w:szCs w:val="16"/>
        </w:rPr>
      </w:pPr>
    </w:p>
    <w:p w:rsidR="00B26788" w:rsidRPr="005F7C09" w:rsidRDefault="002405E5" w:rsidP="00797B1A">
      <w:pPr>
        <w:jc w:val="both"/>
        <w:rPr>
          <w:b/>
        </w:rPr>
      </w:pPr>
      <w:r w:rsidRPr="005F7C09">
        <w:rPr>
          <w:b/>
        </w:rPr>
        <w:t xml:space="preserve">A. </w:t>
      </w:r>
      <w:r w:rsidR="000B726F">
        <w:rPr>
          <w:b/>
        </w:rPr>
        <w:tab/>
      </w:r>
      <w:r w:rsidR="002C0659" w:rsidRPr="005F7C09">
        <w:rPr>
          <w:b/>
        </w:rPr>
        <w:t>From Applicant</w:t>
      </w:r>
    </w:p>
    <w:p w:rsidR="00E32294" w:rsidRPr="005F7C09" w:rsidRDefault="00E32294" w:rsidP="005F7C09">
      <w:pPr>
        <w:jc w:val="both"/>
        <w:rPr>
          <w:b/>
          <w:sz w:val="16"/>
          <w:szCs w:val="16"/>
          <w:u w:val="single"/>
        </w:rPr>
      </w:pPr>
    </w:p>
    <w:p w:rsidR="0036368A" w:rsidRPr="00797B1A" w:rsidRDefault="00475E8E" w:rsidP="0036368A">
      <w:pPr>
        <w:jc w:val="both"/>
        <w:rPr>
          <w:rFonts w:eastAsia="Calibri"/>
          <w:sz w:val="22"/>
          <w:szCs w:val="22"/>
        </w:rPr>
      </w:pPr>
      <w:r>
        <w:rPr>
          <w:rFonts w:eastAsia="Calibri"/>
          <w:sz w:val="22"/>
          <w:szCs w:val="22"/>
        </w:rPr>
        <w:t>“</w:t>
      </w:r>
      <w:r w:rsidR="0036368A" w:rsidRPr="00797B1A">
        <w:rPr>
          <w:rFonts w:eastAsia="Calibri"/>
          <w:sz w:val="22"/>
          <w:szCs w:val="22"/>
        </w:rPr>
        <w:t>The following table provides a history of Durgin Pines’ payor mix and occupancy percentages for 2011 to 2014 compared to averages for Region 1 for 2011 to 2013:</w:t>
      </w:r>
    </w:p>
    <w:p w:rsidR="0036368A" w:rsidRPr="00797B1A" w:rsidRDefault="0036368A" w:rsidP="0036368A">
      <w:pPr>
        <w:tabs>
          <w:tab w:val="left" w:pos="360"/>
        </w:tabs>
        <w:ind w:left="1080"/>
        <w:contextualSpacing/>
        <w:jc w:val="both"/>
        <w:rPr>
          <w:rFonts w:eastAsia="Calibri"/>
          <w:sz w:val="22"/>
          <w:szCs w:val="22"/>
        </w:rPr>
      </w:pPr>
    </w:p>
    <w:tbl>
      <w:tblPr>
        <w:tblW w:w="9527" w:type="dxa"/>
        <w:tblLook w:val="04A0" w:firstRow="1" w:lastRow="0" w:firstColumn="1" w:lastColumn="0" w:noHBand="0" w:noVBand="1"/>
      </w:tblPr>
      <w:tblGrid>
        <w:gridCol w:w="1207"/>
        <w:gridCol w:w="1086"/>
        <w:gridCol w:w="1053"/>
        <w:gridCol w:w="952"/>
        <w:gridCol w:w="988"/>
        <w:gridCol w:w="854"/>
        <w:gridCol w:w="1129"/>
        <w:gridCol w:w="1129"/>
        <w:gridCol w:w="1129"/>
      </w:tblGrid>
      <w:tr w:rsidR="0036368A" w:rsidRPr="00797B1A" w:rsidTr="00797B1A">
        <w:trPr>
          <w:trHeight w:val="199"/>
          <w:tblHeader/>
        </w:trPr>
        <w:tc>
          <w:tcPr>
            <w:tcW w:w="1207" w:type="dxa"/>
            <w:shd w:val="clear" w:color="auto" w:fill="auto"/>
          </w:tcPr>
          <w:p w:rsidR="0036368A" w:rsidRPr="00797B1A" w:rsidRDefault="0036368A" w:rsidP="0036368A">
            <w:pPr>
              <w:tabs>
                <w:tab w:val="left" w:pos="360"/>
              </w:tabs>
              <w:jc w:val="both"/>
              <w:rPr>
                <w:rFonts w:eastAsia="Calibri"/>
                <w:sz w:val="22"/>
                <w:szCs w:val="22"/>
              </w:rPr>
            </w:pPr>
          </w:p>
        </w:tc>
        <w:tc>
          <w:tcPr>
            <w:tcW w:w="2139" w:type="dxa"/>
            <w:gridSpan w:val="2"/>
            <w:shd w:val="clear" w:color="auto" w:fill="auto"/>
          </w:tcPr>
          <w:p w:rsidR="0036368A" w:rsidRPr="00797B1A" w:rsidRDefault="0036368A" w:rsidP="0036368A">
            <w:pPr>
              <w:tabs>
                <w:tab w:val="left" w:pos="360"/>
              </w:tabs>
              <w:jc w:val="center"/>
              <w:rPr>
                <w:rFonts w:eastAsia="Calibri"/>
                <w:sz w:val="22"/>
                <w:szCs w:val="22"/>
              </w:rPr>
            </w:pPr>
            <w:r w:rsidRPr="00797B1A">
              <w:rPr>
                <w:rFonts w:eastAsia="Calibri"/>
                <w:sz w:val="22"/>
                <w:szCs w:val="22"/>
              </w:rPr>
              <w:t>2011</w:t>
            </w:r>
          </w:p>
        </w:tc>
        <w:tc>
          <w:tcPr>
            <w:tcW w:w="1940" w:type="dxa"/>
            <w:gridSpan w:val="2"/>
            <w:shd w:val="clear" w:color="auto" w:fill="auto"/>
          </w:tcPr>
          <w:p w:rsidR="0036368A" w:rsidRPr="00797B1A" w:rsidRDefault="0036368A" w:rsidP="0036368A">
            <w:pPr>
              <w:tabs>
                <w:tab w:val="left" w:pos="360"/>
              </w:tabs>
              <w:jc w:val="center"/>
              <w:rPr>
                <w:rFonts w:eastAsia="Calibri"/>
                <w:sz w:val="22"/>
                <w:szCs w:val="22"/>
              </w:rPr>
            </w:pPr>
            <w:r w:rsidRPr="00797B1A">
              <w:rPr>
                <w:rFonts w:eastAsia="Calibri"/>
                <w:sz w:val="22"/>
                <w:szCs w:val="22"/>
              </w:rPr>
              <w:t>2012</w:t>
            </w:r>
          </w:p>
        </w:tc>
        <w:tc>
          <w:tcPr>
            <w:tcW w:w="1983" w:type="dxa"/>
            <w:gridSpan w:val="2"/>
            <w:shd w:val="clear" w:color="auto" w:fill="auto"/>
          </w:tcPr>
          <w:p w:rsidR="0036368A" w:rsidRPr="00797B1A" w:rsidRDefault="0036368A" w:rsidP="0036368A">
            <w:pPr>
              <w:tabs>
                <w:tab w:val="left" w:pos="360"/>
              </w:tabs>
              <w:jc w:val="center"/>
              <w:rPr>
                <w:rFonts w:eastAsia="Calibri"/>
                <w:sz w:val="22"/>
                <w:szCs w:val="22"/>
              </w:rPr>
            </w:pPr>
            <w:r w:rsidRPr="00797B1A">
              <w:rPr>
                <w:rFonts w:eastAsia="Calibri"/>
                <w:sz w:val="22"/>
                <w:szCs w:val="22"/>
              </w:rPr>
              <w:t>2013</w:t>
            </w:r>
          </w:p>
        </w:tc>
        <w:tc>
          <w:tcPr>
            <w:tcW w:w="1129" w:type="dxa"/>
          </w:tcPr>
          <w:p w:rsidR="0036368A" w:rsidRPr="00797B1A" w:rsidRDefault="0036368A" w:rsidP="0036368A">
            <w:pPr>
              <w:tabs>
                <w:tab w:val="left" w:pos="360"/>
              </w:tabs>
              <w:jc w:val="center"/>
              <w:rPr>
                <w:rFonts w:eastAsia="Calibri"/>
                <w:sz w:val="22"/>
                <w:szCs w:val="22"/>
              </w:rPr>
            </w:pPr>
          </w:p>
        </w:tc>
        <w:tc>
          <w:tcPr>
            <w:tcW w:w="1129" w:type="dxa"/>
          </w:tcPr>
          <w:p w:rsidR="0036368A" w:rsidRPr="00797B1A" w:rsidRDefault="0036368A" w:rsidP="0036368A">
            <w:pPr>
              <w:tabs>
                <w:tab w:val="left" w:pos="360"/>
              </w:tabs>
              <w:jc w:val="both"/>
              <w:rPr>
                <w:rFonts w:eastAsia="Calibri"/>
                <w:sz w:val="22"/>
                <w:szCs w:val="22"/>
              </w:rPr>
            </w:pPr>
            <w:r w:rsidRPr="00797B1A">
              <w:rPr>
                <w:rFonts w:eastAsia="Calibri"/>
                <w:sz w:val="22"/>
                <w:szCs w:val="22"/>
              </w:rPr>
              <w:t>2014</w:t>
            </w:r>
          </w:p>
        </w:tc>
      </w:tr>
      <w:tr w:rsidR="0036368A" w:rsidRPr="00797B1A" w:rsidTr="00797B1A">
        <w:trPr>
          <w:trHeight w:val="545"/>
          <w:tblHeader/>
        </w:trPr>
        <w:tc>
          <w:tcPr>
            <w:tcW w:w="1207" w:type="dxa"/>
            <w:shd w:val="clear" w:color="auto" w:fill="auto"/>
          </w:tcPr>
          <w:p w:rsidR="0036368A" w:rsidRPr="00797B1A" w:rsidRDefault="0036368A" w:rsidP="0036368A">
            <w:pPr>
              <w:tabs>
                <w:tab w:val="left" w:pos="360"/>
              </w:tabs>
              <w:jc w:val="both"/>
              <w:rPr>
                <w:rFonts w:eastAsia="Calibri"/>
                <w:sz w:val="22"/>
                <w:szCs w:val="22"/>
              </w:rPr>
            </w:pPr>
          </w:p>
        </w:tc>
        <w:tc>
          <w:tcPr>
            <w:tcW w:w="1086" w:type="dxa"/>
            <w:shd w:val="clear" w:color="auto" w:fill="auto"/>
          </w:tcPr>
          <w:p w:rsidR="0036368A" w:rsidRPr="00797B1A" w:rsidRDefault="0036368A" w:rsidP="0036368A">
            <w:pPr>
              <w:tabs>
                <w:tab w:val="left" w:pos="360"/>
              </w:tabs>
              <w:jc w:val="center"/>
              <w:rPr>
                <w:rFonts w:eastAsia="Calibri"/>
                <w:sz w:val="22"/>
                <w:szCs w:val="22"/>
                <w:u w:val="single"/>
              </w:rPr>
            </w:pPr>
            <w:r w:rsidRPr="00797B1A">
              <w:rPr>
                <w:rFonts w:eastAsia="Calibri"/>
                <w:sz w:val="22"/>
                <w:szCs w:val="22"/>
              </w:rPr>
              <w:t>Durgin</w:t>
            </w:r>
            <w:r w:rsidRPr="00797B1A">
              <w:rPr>
                <w:rFonts w:eastAsia="Calibri"/>
                <w:sz w:val="22"/>
                <w:szCs w:val="22"/>
                <w:u w:val="single"/>
              </w:rPr>
              <w:t xml:space="preserve"> </w:t>
            </w:r>
          </w:p>
          <w:p w:rsidR="0036368A" w:rsidRPr="00797B1A" w:rsidRDefault="0036368A" w:rsidP="0036368A">
            <w:pPr>
              <w:tabs>
                <w:tab w:val="left" w:pos="360"/>
              </w:tabs>
              <w:jc w:val="center"/>
              <w:rPr>
                <w:rFonts w:eastAsia="Calibri"/>
                <w:sz w:val="22"/>
                <w:szCs w:val="22"/>
              </w:rPr>
            </w:pPr>
            <w:r w:rsidRPr="00797B1A">
              <w:rPr>
                <w:rFonts w:eastAsia="Calibri"/>
                <w:sz w:val="22"/>
                <w:szCs w:val="22"/>
                <w:u w:val="single"/>
              </w:rPr>
              <w:t>Pines</w:t>
            </w:r>
          </w:p>
        </w:tc>
        <w:tc>
          <w:tcPr>
            <w:tcW w:w="1053" w:type="dxa"/>
            <w:shd w:val="clear" w:color="auto" w:fill="auto"/>
          </w:tcPr>
          <w:p w:rsidR="0036368A" w:rsidRPr="00797B1A" w:rsidRDefault="0036368A" w:rsidP="0036368A">
            <w:pPr>
              <w:tabs>
                <w:tab w:val="left" w:pos="360"/>
              </w:tabs>
              <w:jc w:val="center"/>
              <w:rPr>
                <w:rFonts w:eastAsia="Calibri"/>
                <w:sz w:val="22"/>
                <w:szCs w:val="22"/>
                <w:u w:val="single"/>
              </w:rPr>
            </w:pPr>
          </w:p>
          <w:p w:rsidR="0036368A" w:rsidRPr="00797B1A" w:rsidRDefault="0036368A" w:rsidP="0036368A">
            <w:pPr>
              <w:tabs>
                <w:tab w:val="left" w:pos="360"/>
              </w:tabs>
              <w:jc w:val="center"/>
              <w:rPr>
                <w:rFonts w:eastAsia="Calibri"/>
                <w:sz w:val="22"/>
                <w:szCs w:val="22"/>
                <w:u w:val="single"/>
              </w:rPr>
            </w:pPr>
            <w:r w:rsidRPr="00797B1A">
              <w:rPr>
                <w:rFonts w:eastAsia="Calibri"/>
                <w:sz w:val="22"/>
                <w:szCs w:val="22"/>
                <w:u w:val="single"/>
              </w:rPr>
              <w:t>Region 1</w:t>
            </w:r>
          </w:p>
        </w:tc>
        <w:tc>
          <w:tcPr>
            <w:tcW w:w="952" w:type="dxa"/>
            <w:shd w:val="clear" w:color="auto" w:fill="auto"/>
          </w:tcPr>
          <w:p w:rsidR="0036368A" w:rsidRPr="00797B1A" w:rsidRDefault="0036368A" w:rsidP="0036368A">
            <w:pPr>
              <w:tabs>
                <w:tab w:val="left" w:pos="360"/>
              </w:tabs>
              <w:jc w:val="center"/>
              <w:rPr>
                <w:rFonts w:eastAsia="Calibri"/>
                <w:sz w:val="22"/>
                <w:szCs w:val="22"/>
              </w:rPr>
            </w:pPr>
            <w:r w:rsidRPr="00797B1A">
              <w:rPr>
                <w:rFonts w:eastAsia="Calibri"/>
                <w:sz w:val="22"/>
                <w:szCs w:val="22"/>
              </w:rPr>
              <w:t>Durgin</w:t>
            </w:r>
          </w:p>
          <w:p w:rsidR="0036368A" w:rsidRPr="00797B1A" w:rsidRDefault="0036368A" w:rsidP="0036368A">
            <w:pPr>
              <w:tabs>
                <w:tab w:val="left" w:pos="360"/>
              </w:tabs>
              <w:jc w:val="center"/>
              <w:rPr>
                <w:rFonts w:eastAsia="Calibri"/>
                <w:sz w:val="22"/>
                <w:szCs w:val="22"/>
                <w:u w:val="single"/>
              </w:rPr>
            </w:pPr>
            <w:r w:rsidRPr="00797B1A">
              <w:rPr>
                <w:rFonts w:eastAsia="Calibri"/>
                <w:sz w:val="22"/>
                <w:szCs w:val="22"/>
                <w:u w:val="single"/>
              </w:rPr>
              <w:t>Pines</w:t>
            </w:r>
          </w:p>
        </w:tc>
        <w:tc>
          <w:tcPr>
            <w:tcW w:w="988" w:type="dxa"/>
            <w:shd w:val="clear" w:color="auto" w:fill="auto"/>
          </w:tcPr>
          <w:p w:rsidR="0036368A" w:rsidRPr="00797B1A" w:rsidRDefault="0036368A" w:rsidP="0036368A">
            <w:pPr>
              <w:tabs>
                <w:tab w:val="left" w:pos="360"/>
              </w:tabs>
              <w:jc w:val="both"/>
              <w:rPr>
                <w:rFonts w:eastAsia="Calibri"/>
                <w:sz w:val="22"/>
                <w:szCs w:val="22"/>
                <w:u w:val="single"/>
              </w:rPr>
            </w:pPr>
          </w:p>
          <w:p w:rsidR="0036368A" w:rsidRPr="00797B1A" w:rsidRDefault="0036368A" w:rsidP="0036368A">
            <w:pPr>
              <w:tabs>
                <w:tab w:val="left" w:pos="360"/>
              </w:tabs>
              <w:jc w:val="both"/>
              <w:rPr>
                <w:rFonts w:eastAsia="Calibri"/>
                <w:sz w:val="22"/>
                <w:szCs w:val="22"/>
                <w:u w:val="single"/>
              </w:rPr>
            </w:pPr>
            <w:r w:rsidRPr="00797B1A">
              <w:rPr>
                <w:rFonts w:eastAsia="Calibri"/>
                <w:sz w:val="22"/>
                <w:szCs w:val="22"/>
                <w:u w:val="single"/>
              </w:rPr>
              <w:t>Region 1</w:t>
            </w:r>
          </w:p>
        </w:tc>
        <w:tc>
          <w:tcPr>
            <w:tcW w:w="854" w:type="dxa"/>
            <w:shd w:val="clear" w:color="auto" w:fill="auto"/>
          </w:tcPr>
          <w:p w:rsidR="0036368A" w:rsidRPr="00797B1A" w:rsidRDefault="0036368A" w:rsidP="0036368A">
            <w:pPr>
              <w:tabs>
                <w:tab w:val="left" w:pos="360"/>
              </w:tabs>
              <w:jc w:val="center"/>
              <w:rPr>
                <w:rFonts w:eastAsia="Calibri"/>
                <w:sz w:val="22"/>
                <w:szCs w:val="22"/>
                <w:u w:val="single"/>
              </w:rPr>
            </w:pPr>
            <w:r w:rsidRPr="00797B1A">
              <w:rPr>
                <w:rFonts w:eastAsia="Calibri"/>
                <w:sz w:val="22"/>
                <w:szCs w:val="22"/>
              </w:rPr>
              <w:t>Durgin</w:t>
            </w:r>
            <w:r w:rsidRPr="00797B1A">
              <w:rPr>
                <w:rFonts w:eastAsia="Calibri"/>
                <w:sz w:val="22"/>
                <w:szCs w:val="22"/>
                <w:u w:val="single"/>
              </w:rPr>
              <w:br/>
              <w:t>Pines</w:t>
            </w:r>
          </w:p>
        </w:tc>
        <w:tc>
          <w:tcPr>
            <w:tcW w:w="1129" w:type="dxa"/>
            <w:shd w:val="clear" w:color="auto" w:fill="auto"/>
          </w:tcPr>
          <w:p w:rsidR="0036368A" w:rsidRPr="00797B1A" w:rsidRDefault="0036368A" w:rsidP="0036368A">
            <w:pPr>
              <w:tabs>
                <w:tab w:val="left" w:pos="360"/>
              </w:tabs>
              <w:jc w:val="both"/>
              <w:rPr>
                <w:rFonts w:eastAsia="Calibri"/>
                <w:sz w:val="22"/>
                <w:szCs w:val="22"/>
                <w:u w:val="single"/>
              </w:rPr>
            </w:pPr>
          </w:p>
          <w:p w:rsidR="0036368A" w:rsidRPr="00797B1A" w:rsidRDefault="0036368A" w:rsidP="0036368A">
            <w:pPr>
              <w:tabs>
                <w:tab w:val="left" w:pos="360"/>
              </w:tabs>
              <w:jc w:val="center"/>
              <w:rPr>
                <w:rFonts w:eastAsia="Calibri"/>
                <w:sz w:val="22"/>
                <w:szCs w:val="22"/>
                <w:u w:val="single"/>
              </w:rPr>
            </w:pPr>
            <w:r w:rsidRPr="00797B1A">
              <w:rPr>
                <w:rFonts w:eastAsia="Calibri"/>
                <w:sz w:val="22"/>
                <w:szCs w:val="22"/>
                <w:u w:val="single"/>
              </w:rPr>
              <w:t>Region 1</w:t>
            </w:r>
          </w:p>
        </w:tc>
        <w:tc>
          <w:tcPr>
            <w:tcW w:w="1129" w:type="dxa"/>
          </w:tcPr>
          <w:p w:rsidR="0036368A" w:rsidRPr="00797B1A" w:rsidRDefault="0036368A" w:rsidP="0036368A">
            <w:pPr>
              <w:tabs>
                <w:tab w:val="left" w:pos="360"/>
              </w:tabs>
              <w:jc w:val="center"/>
              <w:rPr>
                <w:rFonts w:eastAsia="Calibri"/>
                <w:sz w:val="22"/>
                <w:szCs w:val="22"/>
                <w:u w:val="single"/>
              </w:rPr>
            </w:pPr>
            <w:r w:rsidRPr="00797B1A">
              <w:rPr>
                <w:rFonts w:eastAsia="Calibri"/>
                <w:sz w:val="22"/>
                <w:szCs w:val="22"/>
              </w:rPr>
              <w:t>Durgin</w:t>
            </w:r>
            <w:r w:rsidRPr="00797B1A">
              <w:rPr>
                <w:rFonts w:eastAsia="Calibri"/>
                <w:sz w:val="22"/>
                <w:szCs w:val="22"/>
                <w:u w:val="single"/>
              </w:rPr>
              <w:br/>
              <w:t>Pines</w:t>
            </w:r>
          </w:p>
        </w:tc>
        <w:tc>
          <w:tcPr>
            <w:tcW w:w="1129" w:type="dxa"/>
          </w:tcPr>
          <w:p w:rsidR="0036368A" w:rsidRPr="00797B1A" w:rsidRDefault="0036368A" w:rsidP="0036368A">
            <w:pPr>
              <w:tabs>
                <w:tab w:val="left" w:pos="360"/>
              </w:tabs>
              <w:jc w:val="both"/>
              <w:rPr>
                <w:rFonts w:eastAsia="Calibri"/>
                <w:sz w:val="22"/>
                <w:szCs w:val="22"/>
                <w:u w:val="single"/>
              </w:rPr>
            </w:pPr>
          </w:p>
          <w:p w:rsidR="0036368A" w:rsidRPr="00797B1A" w:rsidRDefault="0036368A" w:rsidP="0036368A">
            <w:pPr>
              <w:tabs>
                <w:tab w:val="left" w:pos="360"/>
              </w:tabs>
              <w:jc w:val="both"/>
              <w:rPr>
                <w:rFonts w:eastAsia="Calibri"/>
                <w:sz w:val="22"/>
                <w:szCs w:val="22"/>
                <w:u w:val="single"/>
              </w:rPr>
            </w:pPr>
            <w:r w:rsidRPr="00797B1A">
              <w:rPr>
                <w:rFonts w:eastAsia="Calibri"/>
                <w:sz w:val="22"/>
                <w:szCs w:val="22"/>
                <w:u w:val="single"/>
              </w:rPr>
              <w:t>Region 1</w:t>
            </w:r>
          </w:p>
        </w:tc>
      </w:tr>
      <w:tr w:rsidR="0036368A" w:rsidRPr="00797B1A" w:rsidTr="00797B1A">
        <w:trPr>
          <w:trHeight w:val="273"/>
        </w:trPr>
        <w:tc>
          <w:tcPr>
            <w:tcW w:w="1207" w:type="dxa"/>
            <w:shd w:val="clear" w:color="auto" w:fill="auto"/>
          </w:tcPr>
          <w:p w:rsidR="0036368A" w:rsidRPr="00797B1A" w:rsidRDefault="0036368A" w:rsidP="0036368A">
            <w:pPr>
              <w:tabs>
                <w:tab w:val="left" w:pos="360"/>
              </w:tabs>
              <w:jc w:val="both"/>
              <w:rPr>
                <w:rFonts w:eastAsia="Calibri"/>
                <w:sz w:val="22"/>
                <w:szCs w:val="22"/>
              </w:rPr>
            </w:pPr>
            <w:r w:rsidRPr="00797B1A">
              <w:rPr>
                <w:rFonts w:eastAsia="Calibri"/>
                <w:sz w:val="22"/>
                <w:szCs w:val="22"/>
              </w:rPr>
              <w:t>NF - MCD</w:t>
            </w: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rPr>
            </w:pPr>
            <w:r w:rsidRPr="00797B1A">
              <w:rPr>
                <w:rFonts w:eastAsia="Calibri"/>
                <w:sz w:val="22"/>
                <w:szCs w:val="22"/>
              </w:rPr>
              <w:tab/>
            </w:r>
            <w:r w:rsidRPr="00797B1A">
              <w:rPr>
                <w:rFonts w:eastAsia="Calibri"/>
                <w:sz w:val="22"/>
                <w:szCs w:val="22"/>
              </w:rPr>
              <w:tab/>
              <w:t>60%</w:t>
            </w:r>
          </w:p>
        </w:tc>
        <w:tc>
          <w:tcPr>
            <w:tcW w:w="1053" w:type="dxa"/>
            <w:shd w:val="clear" w:color="auto" w:fill="auto"/>
          </w:tcPr>
          <w:p w:rsidR="0036368A" w:rsidRPr="00797B1A" w:rsidRDefault="0036368A" w:rsidP="0036368A">
            <w:pPr>
              <w:tabs>
                <w:tab w:val="left" w:pos="311"/>
                <w:tab w:val="decimal" w:pos="701"/>
              </w:tabs>
              <w:jc w:val="both"/>
              <w:rPr>
                <w:rFonts w:eastAsia="Calibri"/>
                <w:sz w:val="22"/>
                <w:szCs w:val="22"/>
              </w:rPr>
            </w:pPr>
            <w:r w:rsidRPr="00797B1A">
              <w:rPr>
                <w:rFonts w:eastAsia="Calibri"/>
                <w:sz w:val="22"/>
                <w:szCs w:val="22"/>
              </w:rPr>
              <w:tab/>
            </w:r>
            <w:r w:rsidRPr="00797B1A">
              <w:rPr>
                <w:rFonts w:eastAsia="Calibri"/>
                <w:sz w:val="22"/>
                <w:szCs w:val="22"/>
              </w:rPr>
              <w:tab/>
              <w:t>64%</w:t>
            </w:r>
          </w:p>
        </w:tc>
        <w:tc>
          <w:tcPr>
            <w:tcW w:w="952" w:type="dxa"/>
            <w:shd w:val="clear" w:color="auto" w:fill="auto"/>
          </w:tcPr>
          <w:p w:rsidR="0036368A" w:rsidRPr="00797B1A" w:rsidRDefault="0036368A" w:rsidP="0036368A">
            <w:pPr>
              <w:tabs>
                <w:tab w:val="left" w:pos="274"/>
                <w:tab w:val="decimal" w:pos="612"/>
              </w:tabs>
              <w:jc w:val="both"/>
              <w:rPr>
                <w:rFonts w:eastAsia="Calibri"/>
                <w:sz w:val="22"/>
                <w:szCs w:val="22"/>
              </w:rPr>
            </w:pPr>
            <w:r w:rsidRPr="00797B1A">
              <w:rPr>
                <w:rFonts w:eastAsia="Calibri"/>
                <w:sz w:val="22"/>
                <w:szCs w:val="22"/>
              </w:rPr>
              <w:tab/>
            </w:r>
            <w:r w:rsidRPr="00797B1A">
              <w:rPr>
                <w:rFonts w:eastAsia="Calibri"/>
                <w:sz w:val="22"/>
                <w:szCs w:val="22"/>
              </w:rPr>
              <w:tab/>
              <w:t>59%</w:t>
            </w: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rPr>
            </w:pPr>
            <w:r w:rsidRPr="00797B1A">
              <w:rPr>
                <w:rFonts w:eastAsia="Calibri"/>
                <w:sz w:val="22"/>
                <w:szCs w:val="22"/>
              </w:rPr>
              <w:tab/>
            </w:r>
            <w:r w:rsidRPr="00797B1A">
              <w:rPr>
                <w:rFonts w:eastAsia="Calibri"/>
                <w:sz w:val="22"/>
                <w:szCs w:val="22"/>
              </w:rPr>
              <w:tab/>
              <w:t>66%</w:t>
            </w:r>
          </w:p>
        </w:tc>
        <w:tc>
          <w:tcPr>
            <w:tcW w:w="854" w:type="dxa"/>
            <w:shd w:val="clear" w:color="auto" w:fill="auto"/>
          </w:tcPr>
          <w:p w:rsidR="0036368A" w:rsidRPr="00797B1A" w:rsidRDefault="0036368A" w:rsidP="0036368A">
            <w:pPr>
              <w:tabs>
                <w:tab w:val="left" w:pos="108"/>
                <w:tab w:val="decimal" w:pos="504"/>
              </w:tabs>
              <w:jc w:val="both"/>
              <w:rPr>
                <w:rFonts w:eastAsia="Calibri"/>
                <w:sz w:val="22"/>
                <w:szCs w:val="22"/>
              </w:rPr>
            </w:pPr>
            <w:r w:rsidRPr="00797B1A">
              <w:rPr>
                <w:rFonts w:eastAsia="Calibri"/>
                <w:sz w:val="22"/>
                <w:szCs w:val="22"/>
              </w:rPr>
              <w:tab/>
            </w:r>
            <w:r w:rsidRPr="00797B1A">
              <w:rPr>
                <w:rFonts w:eastAsia="Calibri"/>
                <w:sz w:val="22"/>
                <w:szCs w:val="22"/>
              </w:rPr>
              <w:tab/>
              <w:t>55%</w:t>
            </w:r>
          </w:p>
        </w:tc>
        <w:tc>
          <w:tcPr>
            <w:tcW w:w="1129" w:type="dxa"/>
            <w:shd w:val="clear" w:color="auto" w:fill="auto"/>
          </w:tcPr>
          <w:p w:rsidR="0036368A" w:rsidRPr="00797B1A" w:rsidRDefault="0036368A" w:rsidP="0036368A">
            <w:pPr>
              <w:tabs>
                <w:tab w:val="left" w:pos="244"/>
                <w:tab w:val="decimal" w:pos="685"/>
              </w:tabs>
              <w:jc w:val="both"/>
              <w:rPr>
                <w:rFonts w:eastAsia="Calibri"/>
                <w:sz w:val="22"/>
                <w:szCs w:val="22"/>
              </w:rPr>
            </w:pPr>
            <w:r w:rsidRPr="00797B1A">
              <w:rPr>
                <w:rFonts w:eastAsia="Calibri"/>
                <w:sz w:val="22"/>
                <w:szCs w:val="22"/>
              </w:rPr>
              <w:tab/>
            </w:r>
            <w:r w:rsidRPr="00797B1A">
              <w:rPr>
                <w:rFonts w:eastAsia="Calibri"/>
                <w:sz w:val="22"/>
                <w:szCs w:val="22"/>
              </w:rPr>
              <w:tab/>
              <w:t>65%</w:t>
            </w:r>
          </w:p>
        </w:tc>
        <w:tc>
          <w:tcPr>
            <w:tcW w:w="1129" w:type="dxa"/>
          </w:tcPr>
          <w:p w:rsidR="0036368A" w:rsidRPr="00797B1A" w:rsidRDefault="0036368A" w:rsidP="0036368A">
            <w:pPr>
              <w:tabs>
                <w:tab w:val="left" w:pos="263"/>
                <w:tab w:val="decimal" w:pos="638"/>
              </w:tabs>
              <w:jc w:val="both"/>
              <w:rPr>
                <w:rFonts w:eastAsia="Calibri"/>
                <w:sz w:val="22"/>
                <w:szCs w:val="22"/>
              </w:rPr>
            </w:pPr>
            <w:r w:rsidRPr="00797B1A">
              <w:rPr>
                <w:rFonts w:eastAsia="Calibri"/>
                <w:sz w:val="22"/>
                <w:szCs w:val="22"/>
              </w:rPr>
              <w:tab/>
            </w:r>
            <w:r w:rsidRPr="00797B1A">
              <w:rPr>
                <w:rFonts w:eastAsia="Calibri"/>
                <w:sz w:val="22"/>
                <w:szCs w:val="22"/>
              </w:rPr>
              <w:tab/>
              <w:t>50%</w:t>
            </w:r>
          </w:p>
        </w:tc>
        <w:tc>
          <w:tcPr>
            <w:tcW w:w="1129" w:type="dxa"/>
          </w:tcPr>
          <w:p w:rsidR="0036368A" w:rsidRPr="00797B1A" w:rsidRDefault="0036368A" w:rsidP="0036368A">
            <w:pPr>
              <w:tabs>
                <w:tab w:val="left" w:pos="360"/>
              </w:tabs>
              <w:jc w:val="center"/>
              <w:rPr>
                <w:rFonts w:eastAsia="Calibri"/>
                <w:sz w:val="22"/>
                <w:szCs w:val="22"/>
              </w:rPr>
            </w:pPr>
            <w:r w:rsidRPr="00797B1A">
              <w:rPr>
                <w:rFonts w:eastAsia="Calibri"/>
                <w:sz w:val="22"/>
                <w:szCs w:val="22"/>
              </w:rPr>
              <w:t>N/A</w:t>
            </w:r>
          </w:p>
        </w:tc>
      </w:tr>
      <w:tr w:rsidR="0036368A" w:rsidRPr="00797B1A" w:rsidTr="00797B1A">
        <w:trPr>
          <w:trHeight w:val="273"/>
        </w:trPr>
        <w:tc>
          <w:tcPr>
            <w:tcW w:w="1207" w:type="dxa"/>
            <w:shd w:val="clear" w:color="auto" w:fill="auto"/>
          </w:tcPr>
          <w:p w:rsidR="0036368A" w:rsidRPr="00797B1A" w:rsidRDefault="0036368A" w:rsidP="0036368A">
            <w:pPr>
              <w:tabs>
                <w:tab w:val="left" w:pos="360"/>
              </w:tabs>
              <w:jc w:val="both"/>
              <w:rPr>
                <w:rFonts w:eastAsia="Calibri"/>
                <w:sz w:val="22"/>
                <w:szCs w:val="22"/>
              </w:rPr>
            </w:pPr>
            <w:r w:rsidRPr="00797B1A">
              <w:rPr>
                <w:rFonts w:eastAsia="Calibri"/>
                <w:sz w:val="22"/>
                <w:szCs w:val="22"/>
              </w:rPr>
              <w:t>NF - MCR</w:t>
            </w: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rPr>
            </w:pPr>
            <w:r w:rsidRPr="00797B1A">
              <w:rPr>
                <w:rFonts w:eastAsia="Calibri"/>
                <w:sz w:val="22"/>
                <w:szCs w:val="22"/>
              </w:rPr>
              <w:tab/>
            </w:r>
            <w:r w:rsidRPr="00797B1A">
              <w:rPr>
                <w:rFonts w:eastAsia="Calibri"/>
                <w:sz w:val="22"/>
                <w:szCs w:val="22"/>
              </w:rPr>
              <w:tab/>
              <w:t>22</w:t>
            </w:r>
          </w:p>
        </w:tc>
        <w:tc>
          <w:tcPr>
            <w:tcW w:w="1053" w:type="dxa"/>
            <w:shd w:val="clear" w:color="auto" w:fill="auto"/>
          </w:tcPr>
          <w:p w:rsidR="0036368A" w:rsidRPr="00797B1A" w:rsidRDefault="0036368A" w:rsidP="0036368A">
            <w:pPr>
              <w:tabs>
                <w:tab w:val="left" w:pos="311"/>
                <w:tab w:val="decimal" w:pos="701"/>
              </w:tabs>
              <w:jc w:val="both"/>
              <w:rPr>
                <w:rFonts w:eastAsia="Calibri"/>
                <w:sz w:val="22"/>
                <w:szCs w:val="22"/>
              </w:rPr>
            </w:pPr>
            <w:r w:rsidRPr="00797B1A">
              <w:rPr>
                <w:rFonts w:eastAsia="Calibri"/>
                <w:sz w:val="22"/>
                <w:szCs w:val="22"/>
              </w:rPr>
              <w:tab/>
            </w:r>
            <w:r w:rsidRPr="00797B1A">
              <w:rPr>
                <w:rFonts w:eastAsia="Calibri"/>
                <w:sz w:val="22"/>
                <w:szCs w:val="22"/>
              </w:rPr>
              <w:tab/>
              <w:t>16</w:t>
            </w:r>
          </w:p>
        </w:tc>
        <w:tc>
          <w:tcPr>
            <w:tcW w:w="952" w:type="dxa"/>
            <w:shd w:val="clear" w:color="auto" w:fill="auto"/>
          </w:tcPr>
          <w:p w:rsidR="0036368A" w:rsidRPr="00797B1A" w:rsidRDefault="0036368A" w:rsidP="0036368A">
            <w:pPr>
              <w:tabs>
                <w:tab w:val="left" w:pos="274"/>
                <w:tab w:val="decimal" w:pos="612"/>
              </w:tabs>
              <w:jc w:val="both"/>
              <w:rPr>
                <w:rFonts w:eastAsia="Calibri"/>
                <w:sz w:val="22"/>
                <w:szCs w:val="22"/>
              </w:rPr>
            </w:pPr>
            <w:r w:rsidRPr="00797B1A">
              <w:rPr>
                <w:rFonts w:eastAsia="Calibri"/>
                <w:sz w:val="22"/>
                <w:szCs w:val="22"/>
              </w:rPr>
              <w:tab/>
            </w:r>
            <w:r w:rsidRPr="00797B1A">
              <w:rPr>
                <w:rFonts w:eastAsia="Calibri"/>
                <w:sz w:val="22"/>
                <w:szCs w:val="22"/>
              </w:rPr>
              <w:tab/>
              <w:t>21</w:t>
            </w: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rPr>
            </w:pPr>
            <w:r w:rsidRPr="00797B1A">
              <w:rPr>
                <w:rFonts w:eastAsia="Calibri"/>
                <w:sz w:val="22"/>
                <w:szCs w:val="22"/>
              </w:rPr>
              <w:tab/>
            </w:r>
            <w:r w:rsidRPr="00797B1A">
              <w:rPr>
                <w:rFonts w:eastAsia="Calibri"/>
                <w:sz w:val="22"/>
                <w:szCs w:val="22"/>
              </w:rPr>
              <w:tab/>
              <w:t>14</w:t>
            </w:r>
          </w:p>
        </w:tc>
        <w:tc>
          <w:tcPr>
            <w:tcW w:w="854" w:type="dxa"/>
            <w:shd w:val="clear" w:color="auto" w:fill="auto"/>
          </w:tcPr>
          <w:p w:rsidR="0036368A" w:rsidRPr="00797B1A" w:rsidRDefault="0036368A" w:rsidP="0036368A">
            <w:pPr>
              <w:tabs>
                <w:tab w:val="left" w:pos="108"/>
                <w:tab w:val="decimal" w:pos="504"/>
              </w:tabs>
              <w:jc w:val="both"/>
              <w:rPr>
                <w:rFonts w:eastAsia="Calibri"/>
                <w:sz w:val="22"/>
                <w:szCs w:val="22"/>
              </w:rPr>
            </w:pPr>
            <w:r w:rsidRPr="00797B1A">
              <w:rPr>
                <w:rFonts w:eastAsia="Calibri"/>
                <w:sz w:val="22"/>
                <w:szCs w:val="22"/>
              </w:rPr>
              <w:tab/>
            </w:r>
            <w:r w:rsidRPr="00797B1A">
              <w:rPr>
                <w:rFonts w:eastAsia="Calibri"/>
                <w:sz w:val="22"/>
                <w:szCs w:val="22"/>
              </w:rPr>
              <w:tab/>
              <w:t>22</w:t>
            </w:r>
          </w:p>
        </w:tc>
        <w:tc>
          <w:tcPr>
            <w:tcW w:w="1129" w:type="dxa"/>
            <w:shd w:val="clear" w:color="auto" w:fill="auto"/>
          </w:tcPr>
          <w:p w:rsidR="0036368A" w:rsidRPr="00797B1A" w:rsidRDefault="0036368A" w:rsidP="0036368A">
            <w:pPr>
              <w:tabs>
                <w:tab w:val="left" w:pos="244"/>
                <w:tab w:val="decimal" w:pos="685"/>
              </w:tabs>
              <w:jc w:val="both"/>
              <w:rPr>
                <w:rFonts w:eastAsia="Calibri"/>
                <w:sz w:val="22"/>
                <w:szCs w:val="22"/>
              </w:rPr>
            </w:pPr>
            <w:r w:rsidRPr="00797B1A">
              <w:rPr>
                <w:rFonts w:eastAsia="Calibri"/>
                <w:sz w:val="22"/>
                <w:szCs w:val="22"/>
              </w:rPr>
              <w:tab/>
            </w:r>
            <w:r w:rsidRPr="00797B1A">
              <w:rPr>
                <w:rFonts w:eastAsia="Calibri"/>
                <w:sz w:val="22"/>
                <w:szCs w:val="22"/>
              </w:rPr>
              <w:tab/>
              <w:t>15</w:t>
            </w:r>
          </w:p>
        </w:tc>
        <w:tc>
          <w:tcPr>
            <w:tcW w:w="1129" w:type="dxa"/>
          </w:tcPr>
          <w:p w:rsidR="0036368A" w:rsidRPr="00797B1A" w:rsidRDefault="0036368A" w:rsidP="0036368A">
            <w:pPr>
              <w:tabs>
                <w:tab w:val="left" w:pos="263"/>
                <w:tab w:val="decimal" w:pos="638"/>
              </w:tabs>
              <w:jc w:val="both"/>
              <w:rPr>
                <w:rFonts w:eastAsia="Calibri"/>
                <w:sz w:val="22"/>
                <w:szCs w:val="22"/>
              </w:rPr>
            </w:pPr>
            <w:r w:rsidRPr="00797B1A">
              <w:rPr>
                <w:rFonts w:eastAsia="Calibri"/>
                <w:sz w:val="22"/>
                <w:szCs w:val="22"/>
              </w:rPr>
              <w:tab/>
            </w:r>
            <w:r w:rsidRPr="00797B1A">
              <w:rPr>
                <w:rFonts w:eastAsia="Calibri"/>
                <w:sz w:val="22"/>
                <w:szCs w:val="22"/>
              </w:rPr>
              <w:tab/>
              <w:t>22</w:t>
            </w:r>
          </w:p>
        </w:tc>
        <w:tc>
          <w:tcPr>
            <w:tcW w:w="1129" w:type="dxa"/>
          </w:tcPr>
          <w:p w:rsidR="0036368A" w:rsidRPr="00797B1A" w:rsidRDefault="0036368A" w:rsidP="0036368A">
            <w:pPr>
              <w:tabs>
                <w:tab w:val="left" w:pos="360"/>
              </w:tabs>
              <w:jc w:val="center"/>
              <w:rPr>
                <w:rFonts w:eastAsia="Calibri"/>
                <w:sz w:val="22"/>
                <w:szCs w:val="22"/>
              </w:rPr>
            </w:pPr>
            <w:r w:rsidRPr="00797B1A">
              <w:rPr>
                <w:rFonts w:eastAsia="Calibri"/>
                <w:sz w:val="22"/>
                <w:szCs w:val="22"/>
              </w:rPr>
              <w:t>N/A</w:t>
            </w:r>
          </w:p>
        </w:tc>
      </w:tr>
      <w:tr w:rsidR="0036368A" w:rsidRPr="00797B1A" w:rsidTr="00797B1A">
        <w:trPr>
          <w:trHeight w:val="273"/>
        </w:trPr>
        <w:tc>
          <w:tcPr>
            <w:tcW w:w="1207" w:type="dxa"/>
            <w:shd w:val="clear" w:color="auto" w:fill="auto"/>
          </w:tcPr>
          <w:p w:rsidR="0036368A" w:rsidRPr="00797B1A" w:rsidRDefault="0036368A" w:rsidP="0036368A">
            <w:pPr>
              <w:tabs>
                <w:tab w:val="left" w:pos="360"/>
              </w:tabs>
              <w:jc w:val="both"/>
              <w:rPr>
                <w:rFonts w:eastAsia="Calibri"/>
                <w:sz w:val="22"/>
                <w:szCs w:val="22"/>
              </w:rPr>
            </w:pPr>
            <w:r w:rsidRPr="00797B1A">
              <w:rPr>
                <w:rFonts w:eastAsia="Calibri"/>
                <w:sz w:val="22"/>
                <w:szCs w:val="22"/>
              </w:rPr>
              <w:t>NF - Other</w:t>
            </w: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u w:val="single"/>
              </w:rPr>
            </w:pPr>
            <w:r w:rsidRPr="00797B1A">
              <w:rPr>
                <w:rFonts w:eastAsia="Calibri"/>
                <w:sz w:val="22"/>
                <w:szCs w:val="22"/>
              </w:rPr>
              <w:tab/>
            </w:r>
            <w:r w:rsidRPr="00797B1A">
              <w:rPr>
                <w:rFonts w:eastAsia="Calibri"/>
                <w:sz w:val="22"/>
                <w:szCs w:val="22"/>
                <w:u w:val="single"/>
              </w:rPr>
              <w:tab/>
              <w:t>18</w:t>
            </w:r>
          </w:p>
        </w:tc>
        <w:tc>
          <w:tcPr>
            <w:tcW w:w="1053" w:type="dxa"/>
            <w:shd w:val="clear" w:color="auto" w:fill="auto"/>
          </w:tcPr>
          <w:p w:rsidR="0036368A" w:rsidRPr="00797B1A" w:rsidRDefault="0036368A" w:rsidP="0036368A">
            <w:pPr>
              <w:tabs>
                <w:tab w:val="left" w:pos="311"/>
                <w:tab w:val="decimal" w:pos="701"/>
              </w:tabs>
              <w:jc w:val="both"/>
              <w:rPr>
                <w:rFonts w:eastAsia="Calibri"/>
                <w:sz w:val="22"/>
                <w:szCs w:val="22"/>
                <w:u w:val="single"/>
              </w:rPr>
            </w:pPr>
            <w:r w:rsidRPr="00797B1A">
              <w:rPr>
                <w:rFonts w:eastAsia="Calibri"/>
                <w:sz w:val="22"/>
                <w:szCs w:val="22"/>
              </w:rPr>
              <w:tab/>
            </w:r>
            <w:r w:rsidRPr="00797B1A">
              <w:rPr>
                <w:rFonts w:eastAsia="Calibri"/>
                <w:sz w:val="22"/>
                <w:szCs w:val="22"/>
                <w:u w:val="single"/>
              </w:rPr>
              <w:tab/>
              <w:t>20</w:t>
            </w:r>
          </w:p>
        </w:tc>
        <w:tc>
          <w:tcPr>
            <w:tcW w:w="952" w:type="dxa"/>
            <w:shd w:val="clear" w:color="auto" w:fill="auto"/>
          </w:tcPr>
          <w:p w:rsidR="0036368A" w:rsidRPr="00797B1A" w:rsidRDefault="0036368A" w:rsidP="0036368A">
            <w:pPr>
              <w:tabs>
                <w:tab w:val="left" w:pos="274"/>
                <w:tab w:val="decimal" w:pos="612"/>
              </w:tabs>
              <w:jc w:val="both"/>
              <w:rPr>
                <w:rFonts w:eastAsia="Calibri"/>
                <w:sz w:val="22"/>
                <w:szCs w:val="22"/>
                <w:u w:val="single"/>
              </w:rPr>
            </w:pPr>
            <w:r w:rsidRPr="00797B1A">
              <w:rPr>
                <w:rFonts w:eastAsia="Calibri"/>
                <w:sz w:val="22"/>
                <w:szCs w:val="22"/>
              </w:rPr>
              <w:tab/>
            </w:r>
            <w:r w:rsidRPr="00797B1A">
              <w:rPr>
                <w:rFonts w:eastAsia="Calibri"/>
                <w:sz w:val="22"/>
                <w:szCs w:val="22"/>
                <w:u w:val="single"/>
              </w:rPr>
              <w:tab/>
              <w:t>20</w:t>
            </w: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u w:val="single"/>
              </w:rPr>
            </w:pPr>
            <w:r w:rsidRPr="00797B1A">
              <w:rPr>
                <w:rFonts w:eastAsia="Calibri"/>
                <w:sz w:val="22"/>
                <w:szCs w:val="22"/>
              </w:rPr>
              <w:tab/>
            </w:r>
            <w:r w:rsidRPr="00797B1A">
              <w:rPr>
                <w:rFonts w:eastAsia="Calibri"/>
                <w:sz w:val="22"/>
                <w:szCs w:val="22"/>
                <w:u w:val="single"/>
              </w:rPr>
              <w:tab/>
              <w:t>20</w:t>
            </w:r>
          </w:p>
        </w:tc>
        <w:tc>
          <w:tcPr>
            <w:tcW w:w="854" w:type="dxa"/>
            <w:shd w:val="clear" w:color="auto" w:fill="auto"/>
          </w:tcPr>
          <w:p w:rsidR="0036368A" w:rsidRPr="00797B1A" w:rsidRDefault="0036368A" w:rsidP="0036368A">
            <w:pPr>
              <w:tabs>
                <w:tab w:val="left" w:pos="108"/>
                <w:tab w:val="decimal" w:pos="504"/>
              </w:tabs>
              <w:jc w:val="both"/>
              <w:rPr>
                <w:rFonts w:eastAsia="Calibri"/>
                <w:sz w:val="22"/>
                <w:szCs w:val="22"/>
                <w:u w:val="single"/>
              </w:rPr>
            </w:pPr>
            <w:r w:rsidRPr="00797B1A">
              <w:rPr>
                <w:rFonts w:eastAsia="Calibri"/>
                <w:sz w:val="22"/>
                <w:szCs w:val="22"/>
              </w:rPr>
              <w:tab/>
            </w:r>
            <w:r w:rsidRPr="00797B1A">
              <w:rPr>
                <w:rFonts w:eastAsia="Calibri"/>
                <w:sz w:val="22"/>
                <w:szCs w:val="22"/>
                <w:u w:val="single"/>
              </w:rPr>
              <w:tab/>
              <w:t>23</w:t>
            </w:r>
          </w:p>
        </w:tc>
        <w:tc>
          <w:tcPr>
            <w:tcW w:w="1129" w:type="dxa"/>
            <w:shd w:val="clear" w:color="auto" w:fill="auto"/>
          </w:tcPr>
          <w:p w:rsidR="0036368A" w:rsidRPr="00797B1A" w:rsidRDefault="0036368A" w:rsidP="0036368A">
            <w:pPr>
              <w:tabs>
                <w:tab w:val="left" w:pos="244"/>
                <w:tab w:val="decimal" w:pos="685"/>
              </w:tabs>
              <w:jc w:val="both"/>
              <w:rPr>
                <w:rFonts w:eastAsia="Calibri"/>
                <w:sz w:val="22"/>
                <w:szCs w:val="22"/>
                <w:u w:val="single"/>
              </w:rPr>
            </w:pPr>
            <w:r w:rsidRPr="00797B1A">
              <w:rPr>
                <w:rFonts w:eastAsia="Calibri"/>
                <w:sz w:val="22"/>
                <w:szCs w:val="22"/>
              </w:rPr>
              <w:tab/>
            </w:r>
            <w:r w:rsidRPr="00797B1A">
              <w:rPr>
                <w:rFonts w:eastAsia="Calibri"/>
                <w:sz w:val="22"/>
                <w:szCs w:val="22"/>
              </w:rPr>
              <w:tab/>
            </w:r>
            <w:r w:rsidRPr="00797B1A">
              <w:rPr>
                <w:rFonts w:eastAsia="Calibri"/>
                <w:sz w:val="22"/>
                <w:szCs w:val="22"/>
                <w:u w:val="single"/>
              </w:rPr>
              <w:t xml:space="preserve">  20</w:t>
            </w:r>
          </w:p>
        </w:tc>
        <w:tc>
          <w:tcPr>
            <w:tcW w:w="1129" w:type="dxa"/>
          </w:tcPr>
          <w:p w:rsidR="0036368A" w:rsidRPr="00797B1A" w:rsidRDefault="0036368A" w:rsidP="0036368A">
            <w:pPr>
              <w:tabs>
                <w:tab w:val="left" w:pos="263"/>
                <w:tab w:val="decimal" w:pos="638"/>
              </w:tabs>
              <w:jc w:val="both"/>
              <w:rPr>
                <w:rFonts w:eastAsia="Calibri"/>
                <w:sz w:val="22"/>
                <w:szCs w:val="22"/>
                <w:u w:val="single"/>
              </w:rPr>
            </w:pPr>
            <w:r w:rsidRPr="00797B1A">
              <w:rPr>
                <w:rFonts w:eastAsia="Calibri"/>
                <w:sz w:val="22"/>
                <w:szCs w:val="22"/>
              </w:rPr>
              <w:tab/>
            </w:r>
            <w:r w:rsidRPr="00797B1A">
              <w:rPr>
                <w:rFonts w:eastAsia="Calibri"/>
                <w:sz w:val="22"/>
                <w:szCs w:val="22"/>
                <w:u w:val="single"/>
              </w:rPr>
              <w:tab/>
              <w:t>28</w:t>
            </w:r>
          </w:p>
        </w:tc>
        <w:tc>
          <w:tcPr>
            <w:tcW w:w="1129" w:type="dxa"/>
          </w:tcPr>
          <w:p w:rsidR="0036368A" w:rsidRPr="00797B1A" w:rsidRDefault="0036368A" w:rsidP="0036368A">
            <w:pPr>
              <w:tabs>
                <w:tab w:val="left" w:pos="360"/>
              </w:tabs>
              <w:jc w:val="center"/>
              <w:rPr>
                <w:rFonts w:eastAsia="Calibri"/>
                <w:sz w:val="22"/>
                <w:szCs w:val="22"/>
              </w:rPr>
            </w:pPr>
            <w:r w:rsidRPr="00797B1A">
              <w:rPr>
                <w:rFonts w:eastAsia="Calibri"/>
                <w:sz w:val="22"/>
                <w:szCs w:val="22"/>
              </w:rPr>
              <w:t>N/A</w:t>
            </w:r>
          </w:p>
        </w:tc>
      </w:tr>
      <w:tr w:rsidR="0036368A" w:rsidRPr="00797B1A" w:rsidTr="00797B1A">
        <w:trPr>
          <w:trHeight w:val="273"/>
        </w:trPr>
        <w:tc>
          <w:tcPr>
            <w:tcW w:w="1207" w:type="dxa"/>
            <w:shd w:val="clear" w:color="auto" w:fill="auto"/>
          </w:tcPr>
          <w:p w:rsidR="0036368A" w:rsidRPr="00797B1A" w:rsidRDefault="0036368A" w:rsidP="0036368A">
            <w:pPr>
              <w:tabs>
                <w:tab w:val="left" w:pos="360"/>
              </w:tabs>
              <w:jc w:val="both"/>
              <w:rPr>
                <w:rFonts w:eastAsia="Calibri"/>
                <w:sz w:val="22"/>
                <w:szCs w:val="22"/>
              </w:rPr>
            </w:pP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rPr>
            </w:pPr>
          </w:p>
        </w:tc>
        <w:tc>
          <w:tcPr>
            <w:tcW w:w="1053" w:type="dxa"/>
            <w:shd w:val="clear" w:color="auto" w:fill="auto"/>
          </w:tcPr>
          <w:p w:rsidR="0036368A" w:rsidRPr="00797B1A" w:rsidRDefault="0036368A" w:rsidP="0036368A">
            <w:pPr>
              <w:tabs>
                <w:tab w:val="left" w:pos="311"/>
                <w:tab w:val="decimal" w:pos="701"/>
              </w:tabs>
              <w:jc w:val="both"/>
              <w:rPr>
                <w:rFonts w:eastAsia="Calibri"/>
                <w:sz w:val="22"/>
                <w:szCs w:val="22"/>
              </w:rPr>
            </w:pPr>
          </w:p>
        </w:tc>
        <w:tc>
          <w:tcPr>
            <w:tcW w:w="952" w:type="dxa"/>
            <w:shd w:val="clear" w:color="auto" w:fill="auto"/>
          </w:tcPr>
          <w:p w:rsidR="0036368A" w:rsidRPr="00797B1A" w:rsidRDefault="0036368A" w:rsidP="0036368A">
            <w:pPr>
              <w:tabs>
                <w:tab w:val="left" w:pos="274"/>
                <w:tab w:val="decimal" w:pos="612"/>
              </w:tabs>
              <w:jc w:val="both"/>
              <w:rPr>
                <w:rFonts w:eastAsia="Calibri"/>
                <w:sz w:val="22"/>
                <w:szCs w:val="22"/>
              </w:rPr>
            </w:pP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rPr>
            </w:pPr>
          </w:p>
        </w:tc>
        <w:tc>
          <w:tcPr>
            <w:tcW w:w="854" w:type="dxa"/>
            <w:shd w:val="clear" w:color="auto" w:fill="auto"/>
          </w:tcPr>
          <w:p w:rsidR="0036368A" w:rsidRPr="00797B1A" w:rsidRDefault="0036368A" w:rsidP="0036368A">
            <w:pPr>
              <w:tabs>
                <w:tab w:val="left" w:pos="108"/>
                <w:tab w:val="decimal" w:pos="504"/>
              </w:tabs>
              <w:jc w:val="both"/>
              <w:rPr>
                <w:rFonts w:eastAsia="Calibri"/>
                <w:sz w:val="22"/>
                <w:szCs w:val="22"/>
              </w:rPr>
            </w:pPr>
          </w:p>
        </w:tc>
        <w:tc>
          <w:tcPr>
            <w:tcW w:w="1129" w:type="dxa"/>
            <w:shd w:val="clear" w:color="auto" w:fill="auto"/>
          </w:tcPr>
          <w:p w:rsidR="0036368A" w:rsidRPr="00797B1A" w:rsidRDefault="0036368A" w:rsidP="0036368A">
            <w:pPr>
              <w:tabs>
                <w:tab w:val="left" w:pos="244"/>
                <w:tab w:val="decimal" w:pos="685"/>
              </w:tabs>
              <w:jc w:val="both"/>
              <w:rPr>
                <w:rFonts w:eastAsia="Calibri"/>
                <w:sz w:val="22"/>
                <w:szCs w:val="22"/>
              </w:rPr>
            </w:pPr>
          </w:p>
        </w:tc>
        <w:tc>
          <w:tcPr>
            <w:tcW w:w="1129" w:type="dxa"/>
          </w:tcPr>
          <w:p w:rsidR="0036368A" w:rsidRPr="00797B1A" w:rsidRDefault="0036368A" w:rsidP="0036368A">
            <w:pPr>
              <w:tabs>
                <w:tab w:val="left" w:pos="263"/>
                <w:tab w:val="decimal" w:pos="638"/>
              </w:tabs>
              <w:jc w:val="both"/>
              <w:rPr>
                <w:rFonts w:eastAsia="Calibri"/>
                <w:sz w:val="22"/>
                <w:szCs w:val="22"/>
              </w:rPr>
            </w:pPr>
          </w:p>
        </w:tc>
        <w:tc>
          <w:tcPr>
            <w:tcW w:w="1129" w:type="dxa"/>
          </w:tcPr>
          <w:p w:rsidR="0036368A" w:rsidRPr="00797B1A" w:rsidRDefault="0036368A" w:rsidP="0036368A">
            <w:pPr>
              <w:tabs>
                <w:tab w:val="left" w:pos="360"/>
              </w:tabs>
              <w:jc w:val="center"/>
              <w:rPr>
                <w:rFonts w:eastAsia="Calibri"/>
                <w:sz w:val="22"/>
                <w:szCs w:val="22"/>
              </w:rPr>
            </w:pPr>
          </w:p>
        </w:tc>
      </w:tr>
      <w:tr w:rsidR="0036368A" w:rsidRPr="00797B1A" w:rsidTr="00797B1A">
        <w:trPr>
          <w:trHeight w:val="291"/>
        </w:trPr>
        <w:tc>
          <w:tcPr>
            <w:tcW w:w="1207" w:type="dxa"/>
            <w:shd w:val="clear" w:color="auto" w:fill="auto"/>
          </w:tcPr>
          <w:p w:rsidR="0036368A" w:rsidRPr="00797B1A" w:rsidRDefault="0036368A" w:rsidP="0036368A">
            <w:pPr>
              <w:tabs>
                <w:tab w:val="left" w:pos="360"/>
              </w:tabs>
              <w:jc w:val="both"/>
              <w:rPr>
                <w:rFonts w:eastAsia="Calibri"/>
                <w:sz w:val="22"/>
                <w:szCs w:val="22"/>
              </w:rPr>
            </w:pPr>
            <w:r w:rsidRPr="00797B1A">
              <w:rPr>
                <w:rFonts w:eastAsia="Calibri"/>
                <w:sz w:val="22"/>
                <w:szCs w:val="22"/>
              </w:rPr>
              <w:t xml:space="preserve"> Total</w:t>
            </w: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rPr>
            </w:pPr>
            <w:r w:rsidRPr="00797B1A">
              <w:rPr>
                <w:rFonts w:eastAsia="Calibri"/>
                <w:sz w:val="22"/>
                <w:szCs w:val="22"/>
              </w:rPr>
              <w:tab/>
            </w:r>
            <w:r w:rsidRPr="00797B1A">
              <w:rPr>
                <w:rFonts w:eastAsia="Calibri"/>
                <w:sz w:val="22"/>
                <w:szCs w:val="22"/>
                <w:u w:val="double"/>
              </w:rPr>
              <w:tab/>
              <w:t>100</w:t>
            </w:r>
            <w:r w:rsidRPr="00797B1A">
              <w:rPr>
                <w:rFonts w:eastAsia="Calibri"/>
                <w:sz w:val="22"/>
                <w:szCs w:val="22"/>
              </w:rPr>
              <w:t>%</w:t>
            </w:r>
          </w:p>
        </w:tc>
        <w:tc>
          <w:tcPr>
            <w:tcW w:w="1053" w:type="dxa"/>
            <w:shd w:val="clear" w:color="auto" w:fill="auto"/>
          </w:tcPr>
          <w:p w:rsidR="0036368A" w:rsidRPr="00797B1A" w:rsidRDefault="0036368A" w:rsidP="0036368A">
            <w:pPr>
              <w:tabs>
                <w:tab w:val="left" w:pos="311"/>
                <w:tab w:val="decimal" w:pos="701"/>
              </w:tabs>
              <w:jc w:val="right"/>
              <w:rPr>
                <w:rFonts w:eastAsia="Calibri"/>
                <w:sz w:val="22"/>
                <w:szCs w:val="22"/>
              </w:rPr>
            </w:pPr>
            <w:r w:rsidRPr="00797B1A">
              <w:rPr>
                <w:rFonts w:eastAsia="Calibri"/>
                <w:sz w:val="22"/>
                <w:szCs w:val="22"/>
                <w:u w:val="double"/>
              </w:rPr>
              <w:t xml:space="preserve">   100</w:t>
            </w:r>
            <w:r w:rsidRPr="00797B1A">
              <w:rPr>
                <w:rFonts w:eastAsia="Calibri"/>
                <w:sz w:val="22"/>
                <w:szCs w:val="22"/>
              </w:rPr>
              <w:t>%</w:t>
            </w:r>
          </w:p>
        </w:tc>
        <w:tc>
          <w:tcPr>
            <w:tcW w:w="952" w:type="dxa"/>
            <w:shd w:val="clear" w:color="auto" w:fill="auto"/>
          </w:tcPr>
          <w:p w:rsidR="0036368A" w:rsidRPr="00797B1A" w:rsidRDefault="0036368A" w:rsidP="0036368A">
            <w:pPr>
              <w:tabs>
                <w:tab w:val="left" w:pos="274"/>
                <w:tab w:val="decimal" w:pos="612"/>
              </w:tabs>
              <w:jc w:val="both"/>
              <w:rPr>
                <w:rFonts w:eastAsia="Calibri"/>
                <w:sz w:val="22"/>
                <w:szCs w:val="22"/>
              </w:rPr>
            </w:pPr>
            <w:r w:rsidRPr="00797B1A">
              <w:rPr>
                <w:rFonts w:eastAsia="Calibri"/>
                <w:sz w:val="22"/>
                <w:szCs w:val="22"/>
              </w:rPr>
              <w:tab/>
            </w:r>
            <w:r w:rsidRPr="00797B1A">
              <w:rPr>
                <w:rFonts w:eastAsia="Calibri"/>
                <w:sz w:val="22"/>
                <w:szCs w:val="22"/>
                <w:u w:val="double"/>
              </w:rPr>
              <w:tab/>
              <w:t>100</w:t>
            </w:r>
            <w:r w:rsidRPr="00797B1A">
              <w:rPr>
                <w:rFonts w:eastAsia="Calibri"/>
                <w:sz w:val="22"/>
                <w:szCs w:val="22"/>
              </w:rPr>
              <w:t>%</w:t>
            </w: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rPr>
            </w:pPr>
            <w:r w:rsidRPr="00797B1A">
              <w:rPr>
                <w:rFonts w:eastAsia="Calibri"/>
                <w:sz w:val="22"/>
                <w:szCs w:val="22"/>
              </w:rPr>
              <w:tab/>
            </w:r>
            <w:r w:rsidRPr="00797B1A">
              <w:rPr>
                <w:rFonts w:eastAsia="Calibri"/>
                <w:sz w:val="22"/>
                <w:szCs w:val="22"/>
              </w:rPr>
              <w:tab/>
            </w:r>
            <w:r w:rsidRPr="00797B1A">
              <w:rPr>
                <w:rFonts w:eastAsia="Calibri"/>
                <w:sz w:val="22"/>
                <w:szCs w:val="22"/>
                <w:u w:val="double"/>
              </w:rPr>
              <w:t>100</w:t>
            </w:r>
            <w:r w:rsidRPr="00797B1A">
              <w:rPr>
                <w:rFonts w:eastAsia="Calibri"/>
                <w:sz w:val="22"/>
                <w:szCs w:val="22"/>
              </w:rPr>
              <w:t>%</w:t>
            </w:r>
          </w:p>
        </w:tc>
        <w:tc>
          <w:tcPr>
            <w:tcW w:w="854" w:type="dxa"/>
            <w:shd w:val="clear" w:color="auto" w:fill="auto"/>
          </w:tcPr>
          <w:p w:rsidR="0036368A" w:rsidRPr="00797B1A" w:rsidRDefault="0036368A" w:rsidP="0036368A">
            <w:pPr>
              <w:tabs>
                <w:tab w:val="left" w:pos="108"/>
                <w:tab w:val="decimal" w:pos="504"/>
              </w:tabs>
              <w:jc w:val="both"/>
              <w:rPr>
                <w:rFonts w:eastAsia="Calibri"/>
                <w:sz w:val="22"/>
                <w:szCs w:val="22"/>
              </w:rPr>
            </w:pPr>
            <w:r w:rsidRPr="00797B1A">
              <w:rPr>
                <w:rFonts w:eastAsia="Calibri"/>
                <w:sz w:val="22"/>
                <w:szCs w:val="22"/>
              </w:rPr>
              <w:tab/>
            </w:r>
            <w:r w:rsidRPr="00797B1A">
              <w:rPr>
                <w:rFonts w:eastAsia="Calibri"/>
                <w:sz w:val="22"/>
                <w:szCs w:val="22"/>
                <w:u w:val="double"/>
              </w:rPr>
              <w:tab/>
              <w:t>100</w:t>
            </w:r>
            <w:r w:rsidRPr="00797B1A">
              <w:rPr>
                <w:rFonts w:eastAsia="Calibri"/>
                <w:sz w:val="22"/>
                <w:szCs w:val="22"/>
              </w:rPr>
              <w:t>%</w:t>
            </w:r>
          </w:p>
        </w:tc>
        <w:tc>
          <w:tcPr>
            <w:tcW w:w="1129" w:type="dxa"/>
            <w:shd w:val="clear" w:color="auto" w:fill="auto"/>
          </w:tcPr>
          <w:p w:rsidR="0036368A" w:rsidRPr="00797B1A" w:rsidRDefault="0036368A" w:rsidP="0036368A">
            <w:pPr>
              <w:tabs>
                <w:tab w:val="left" w:pos="244"/>
                <w:tab w:val="decimal" w:pos="685"/>
              </w:tabs>
              <w:jc w:val="both"/>
              <w:rPr>
                <w:rFonts w:eastAsia="Calibri"/>
                <w:sz w:val="22"/>
                <w:szCs w:val="22"/>
              </w:rPr>
            </w:pPr>
            <w:r w:rsidRPr="00797B1A">
              <w:rPr>
                <w:rFonts w:eastAsia="Calibri"/>
                <w:sz w:val="22"/>
                <w:szCs w:val="22"/>
              </w:rPr>
              <w:tab/>
            </w:r>
            <w:r w:rsidRPr="00797B1A">
              <w:rPr>
                <w:rFonts w:eastAsia="Calibri"/>
                <w:sz w:val="22"/>
                <w:szCs w:val="22"/>
              </w:rPr>
              <w:tab/>
            </w:r>
            <w:r w:rsidRPr="00797B1A">
              <w:rPr>
                <w:rFonts w:eastAsia="Calibri"/>
                <w:sz w:val="22"/>
                <w:szCs w:val="22"/>
                <w:u w:val="double"/>
              </w:rPr>
              <w:t>100</w:t>
            </w:r>
            <w:r w:rsidRPr="00797B1A">
              <w:rPr>
                <w:rFonts w:eastAsia="Calibri"/>
                <w:sz w:val="22"/>
                <w:szCs w:val="22"/>
              </w:rPr>
              <w:t>%</w:t>
            </w:r>
          </w:p>
        </w:tc>
        <w:tc>
          <w:tcPr>
            <w:tcW w:w="1129" w:type="dxa"/>
          </w:tcPr>
          <w:p w:rsidR="0036368A" w:rsidRPr="00797B1A" w:rsidRDefault="0036368A" w:rsidP="0036368A">
            <w:pPr>
              <w:tabs>
                <w:tab w:val="left" w:pos="263"/>
                <w:tab w:val="decimal" w:pos="638"/>
              </w:tabs>
              <w:jc w:val="both"/>
              <w:rPr>
                <w:rFonts w:eastAsia="Calibri"/>
                <w:sz w:val="22"/>
                <w:szCs w:val="22"/>
              </w:rPr>
            </w:pPr>
            <w:r w:rsidRPr="00797B1A">
              <w:rPr>
                <w:rFonts w:eastAsia="Calibri"/>
                <w:sz w:val="22"/>
                <w:szCs w:val="22"/>
              </w:rPr>
              <w:tab/>
            </w:r>
            <w:r w:rsidRPr="00797B1A">
              <w:rPr>
                <w:rFonts w:eastAsia="Calibri"/>
                <w:sz w:val="22"/>
                <w:szCs w:val="22"/>
                <w:u w:val="double"/>
              </w:rPr>
              <w:tab/>
              <w:t>100</w:t>
            </w:r>
            <w:r w:rsidRPr="00797B1A">
              <w:rPr>
                <w:rFonts w:eastAsia="Calibri"/>
                <w:sz w:val="22"/>
                <w:szCs w:val="22"/>
              </w:rPr>
              <w:t>%</w:t>
            </w:r>
          </w:p>
        </w:tc>
        <w:tc>
          <w:tcPr>
            <w:tcW w:w="1129" w:type="dxa"/>
          </w:tcPr>
          <w:p w:rsidR="0036368A" w:rsidRPr="00797B1A" w:rsidRDefault="0036368A" w:rsidP="0036368A">
            <w:pPr>
              <w:tabs>
                <w:tab w:val="left" w:pos="360"/>
              </w:tabs>
              <w:jc w:val="center"/>
              <w:rPr>
                <w:rFonts w:eastAsia="Calibri"/>
                <w:sz w:val="22"/>
                <w:szCs w:val="22"/>
              </w:rPr>
            </w:pPr>
            <w:r w:rsidRPr="00797B1A">
              <w:rPr>
                <w:rFonts w:eastAsia="Calibri"/>
                <w:sz w:val="22"/>
                <w:szCs w:val="22"/>
              </w:rPr>
              <w:t>N/A</w:t>
            </w:r>
          </w:p>
        </w:tc>
      </w:tr>
      <w:tr w:rsidR="0036368A" w:rsidRPr="00797B1A" w:rsidTr="00797B1A">
        <w:trPr>
          <w:trHeight w:val="273"/>
        </w:trPr>
        <w:tc>
          <w:tcPr>
            <w:tcW w:w="1207" w:type="dxa"/>
            <w:shd w:val="clear" w:color="auto" w:fill="auto"/>
          </w:tcPr>
          <w:p w:rsidR="0036368A" w:rsidRPr="00797B1A" w:rsidRDefault="0036368A" w:rsidP="0036368A">
            <w:pPr>
              <w:tabs>
                <w:tab w:val="left" w:pos="360"/>
              </w:tabs>
              <w:jc w:val="both"/>
              <w:rPr>
                <w:rFonts w:eastAsia="Calibri"/>
                <w:sz w:val="22"/>
                <w:szCs w:val="22"/>
              </w:rPr>
            </w:pP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rPr>
            </w:pPr>
          </w:p>
        </w:tc>
        <w:tc>
          <w:tcPr>
            <w:tcW w:w="1053" w:type="dxa"/>
            <w:shd w:val="clear" w:color="auto" w:fill="auto"/>
          </w:tcPr>
          <w:p w:rsidR="0036368A" w:rsidRPr="00797B1A" w:rsidRDefault="0036368A" w:rsidP="0036368A">
            <w:pPr>
              <w:tabs>
                <w:tab w:val="left" w:pos="311"/>
                <w:tab w:val="decimal" w:pos="701"/>
              </w:tabs>
              <w:jc w:val="both"/>
              <w:rPr>
                <w:rFonts w:eastAsia="Calibri"/>
                <w:sz w:val="22"/>
                <w:szCs w:val="22"/>
              </w:rPr>
            </w:pPr>
          </w:p>
        </w:tc>
        <w:tc>
          <w:tcPr>
            <w:tcW w:w="952" w:type="dxa"/>
            <w:shd w:val="clear" w:color="auto" w:fill="auto"/>
          </w:tcPr>
          <w:p w:rsidR="0036368A" w:rsidRPr="00797B1A" w:rsidRDefault="0036368A" w:rsidP="0036368A">
            <w:pPr>
              <w:tabs>
                <w:tab w:val="left" w:pos="274"/>
                <w:tab w:val="decimal" w:pos="612"/>
              </w:tabs>
              <w:jc w:val="both"/>
              <w:rPr>
                <w:rFonts w:eastAsia="Calibri"/>
                <w:sz w:val="22"/>
                <w:szCs w:val="22"/>
              </w:rPr>
            </w:pP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rPr>
            </w:pPr>
          </w:p>
        </w:tc>
        <w:tc>
          <w:tcPr>
            <w:tcW w:w="854" w:type="dxa"/>
            <w:shd w:val="clear" w:color="auto" w:fill="auto"/>
          </w:tcPr>
          <w:p w:rsidR="0036368A" w:rsidRPr="00797B1A" w:rsidRDefault="0036368A" w:rsidP="0036368A">
            <w:pPr>
              <w:tabs>
                <w:tab w:val="left" w:pos="108"/>
                <w:tab w:val="decimal" w:pos="504"/>
              </w:tabs>
              <w:jc w:val="both"/>
              <w:rPr>
                <w:rFonts w:eastAsia="Calibri"/>
                <w:sz w:val="22"/>
                <w:szCs w:val="22"/>
              </w:rPr>
            </w:pPr>
          </w:p>
        </w:tc>
        <w:tc>
          <w:tcPr>
            <w:tcW w:w="1129" w:type="dxa"/>
            <w:shd w:val="clear" w:color="auto" w:fill="auto"/>
          </w:tcPr>
          <w:p w:rsidR="0036368A" w:rsidRPr="00797B1A" w:rsidRDefault="0036368A" w:rsidP="0036368A">
            <w:pPr>
              <w:tabs>
                <w:tab w:val="left" w:pos="244"/>
                <w:tab w:val="decimal" w:pos="685"/>
              </w:tabs>
              <w:jc w:val="both"/>
              <w:rPr>
                <w:rFonts w:eastAsia="Calibri"/>
                <w:sz w:val="22"/>
                <w:szCs w:val="22"/>
              </w:rPr>
            </w:pPr>
          </w:p>
        </w:tc>
        <w:tc>
          <w:tcPr>
            <w:tcW w:w="1129" w:type="dxa"/>
          </w:tcPr>
          <w:p w:rsidR="0036368A" w:rsidRPr="00797B1A" w:rsidRDefault="0036368A" w:rsidP="0036368A">
            <w:pPr>
              <w:tabs>
                <w:tab w:val="left" w:pos="263"/>
                <w:tab w:val="decimal" w:pos="638"/>
              </w:tabs>
              <w:jc w:val="both"/>
              <w:rPr>
                <w:rFonts w:eastAsia="Calibri"/>
                <w:sz w:val="22"/>
                <w:szCs w:val="22"/>
              </w:rPr>
            </w:pPr>
          </w:p>
        </w:tc>
        <w:tc>
          <w:tcPr>
            <w:tcW w:w="1129" w:type="dxa"/>
          </w:tcPr>
          <w:p w:rsidR="0036368A" w:rsidRPr="00797B1A" w:rsidRDefault="0036368A" w:rsidP="0036368A">
            <w:pPr>
              <w:tabs>
                <w:tab w:val="left" w:pos="360"/>
              </w:tabs>
              <w:jc w:val="center"/>
              <w:rPr>
                <w:rFonts w:eastAsia="Calibri"/>
                <w:sz w:val="22"/>
                <w:szCs w:val="22"/>
              </w:rPr>
            </w:pPr>
          </w:p>
        </w:tc>
      </w:tr>
      <w:tr w:rsidR="0036368A" w:rsidRPr="00797B1A" w:rsidTr="00797B1A">
        <w:trPr>
          <w:trHeight w:val="273"/>
        </w:trPr>
        <w:tc>
          <w:tcPr>
            <w:tcW w:w="1207" w:type="dxa"/>
            <w:shd w:val="clear" w:color="auto" w:fill="auto"/>
          </w:tcPr>
          <w:p w:rsidR="0036368A" w:rsidRPr="00797B1A" w:rsidRDefault="0036368A" w:rsidP="0036368A">
            <w:pPr>
              <w:tabs>
                <w:tab w:val="left" w:pos="360"/>
              </w:tabs>
              <w:jc w:val="both"/>
              <w:rPr>
                <w:rFonts w:eastAsia="Calibri"/>
                <w:sz w:val="22"/>
                <w:szCs w:val="22"/>
              </w:rPr>
            </w:pPr>
            <w:r w:rsidRPr="00797B1A">
              <w:rPr>
                <w:rFonts w:eastAsia="Calibri"/>
                <w:sz w:val="22"/>
                <w:szCs w:val="22"/>
              </w:rPr>
              <w:t>Occupancy</w:t>
            </w: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rPr>
            </w:pPr>
            <w:r w:rsidRPr="00797B1A">
              <w:rPr>
                <w:rFonts w:eastAsia="Calibri"/>
                <w:sz w:val="22"/>
                <w:szCs w:val="22"/>
              </w:rPr>
              <w:tab/>
            </w:r>
            <w:r w:rsidRPr="00797B1A">
              <w:rPr>
                <w:rFonts w:eastAsia="Calibri"/>
                <w:sz w:val="22"/>
                <w:szCs w:val="22"/>
              </w:rPr>
              <w:tab/>
              <w:t>92%</w:t>
            </w:r>
          </w:p>
        </w:tc>
        <w:tc>
          <w:tcPr>
            <w:tcW w:w="1053" w:type="dxa"/>
            <w:shd w:val="clear" w:color="auto" w:fill="auto"/>
          </w:tcPr>
          <w:p w:rsidR="0036368A" w:rsidRPr="00797B1A" w:rsidRDefault="0036368A" w:rsidP="0036368A">
            <w:pPr>
              <w:tabs>
                <w:tab w:val="left" w:pos="311"/>
                <w:tab w:val="decimal" w:pos="701"/>
              </w:tabs>
              <w:jc w:val="both"/>
              <w:rPr>
                <w:rFonts w:eastAsia="Calibri"/>
                <w:sz w:val="22"/>
                <w:szCs w:val="22"/>
              </w:rPr>
            </w:pPr>
            <w:r w:rsidRPr="00797B1A">
              <w:rPr>
                <w:rFonts w:eastAsia="Calibri"/>
                <w:sz w:val="22"/>
                <w:szCs w:val="22"/>
              </w:rPr>
              <w:tab/>
            </w:r>
            <w:r w:rsidRPr="00797B1A">
              <w:rPr>
                <w:rFonts w:eastAsia="Calibri"/>
                <w:sz w:val="22"/>
                <w:szCs w:val="22"/>
              </w:rPr>
              <w:tab/>
              <w:t>92%</w:t>
            </w:r>
          </w:p>
        </w:tc>
        <w:tc>
          <w:tcPr>
            <w:tcW w:w="952" w:type="dxa"/>
            <w:shd w:val="clear" w:color="auto" w:fill="auto"/>
          </w:tcPr>
          <w:p w:rsidR="0036368A" w:rsidRPr="00797B1A" w:rsidRDefault="0036368A" w:rsidP="0036368A">
            <w:pPr>
              <w:tabs>
                <w:tab w:val="left" w:pos="274"/>
                <w:tab w:val="decimal" w:pos="612"/>
              </w:tabs>
              <w:jc w:val="both"/>
              <w:rPr>
                <w:rFonts w:eastAsia="Calibri"/>
                <w:sz w:val="22"/>
                <w:szCs w:val="22"/>
              </w:rPr>
            </w:pPr>
            <w:r w:rsidRPr="00797B1A">
              <w:rPr>
                <w:rFonts w:eastAsia="Calibri"/>
                <w:sz w:val="22"/>
                <w:szCs w:val="22"/>
              </w:rPr>
              <w:tab/>
            </w:r>
            <w:r w:rsidRPr="00797B1A">
              <w:rPr>
                <w:rFonts w:eastAsia="Calibri"/>
                <w:sz w:val="22"/>
                <w:szCs w:val="22"/>
              </w:rPr>
              <w:tab/>
              <w:t>94%</w:t>
            </w: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rPr>
            </w:pPr>
            <w:r w:rsidRPr="00797B1A">
              <w:rPr>
                <w:rFonts w:eastAsia="Calibri"/>
                <w:sz w:val="22"/>
                <w:szCs w:val="22"/>
              </w:rPr>
              <w:tab/>
            </w:r>
            <w:r w:rsidRPr="00797B1A">
              <w:rPr>
                <w:rFonts w:eastAsia="Calibri"/>
                <w:sz w:val="22"/>
                <w:szCs w:val="22"/>
              </w:rPr>
              <w:tab/>
              <w:t>93%</w:t>
            </w:r>
          </w:p>
        </w:tc>
        <w:tc>
          <w:tcPr>
            <w:tcW w:w="854" w:type="dxa"/>
            <w:shd w:val="clear" w:color="auto" w:fill="auto"/>
          </w:tcPr>
          <w:p w:rsidR="0036368A" w:rsidRPr="00797B1A" w:rsidRDefault="0036368A" w:rsidP="0036368A">
            <w:pPr>
              <w:tabs>
                <w:tab w:val="left" w:pos="108"/>
                <w:tab w:val="decimal" w:pos="504"/>
              </w:tabs>
              <w:jc w:val="both"/>
              <w:rPr>
                <w:rFonts w:eastAsia="Calibri"/>
                <w:sz w:val="22"/>
                <w:szCs w:val="22"/>
              </w:rPr>
            </w:pPr>
            <w:r w:rsidRPr="00797B1A">
              <w:rPr>
                <w:rFonts w:eastAsia="Calibri"/>
                <w:sz w:val="22"/>
                <w:szCs w:val="22"/>
              </w:rPr>
              <w:tab/>
            </w:r>
            <w:r w:rsidRPr="00797B1A">
              <w:rPr>
                <w:rFonts w:eastAsia="Calibri"/>
                <w:sz w:val="22"/>
                <w:szCs w:val="22"/>
              </w:rPr>
              <w:tab/>
              <w:t>93%</w:t>
            </w:r>
          </w:p>
        </w:tc>
        <w:tc>
          <w:tcPr>
            <w:tcW w:w="1129" w:type="dxa"/>
            <w:shd w:val="clear" w:color="auto" w:fill="auto"/>
          </w:tcPr>
          <w:p w:rsidR="0036368A" w:rsidRPr="00797B1A" w:rsidRDefault="0036368A" w:rsidP="0036368A">
            <w:pPr>
              <w:tabs>
                <w:tab w:val="left" w:pos="244"/>
                <w:tab w:val="decimal" w:pos="685"/>
              </w:tabs>
              <w:jc w:val="both"/>
              <w:rPr>
                <w:rFonts w:eastAsia="Calibri"/>
                <w:sz w:val="22"/>
                <w:szCs w:val="22"/>
              </w:rPr>
            </w:pPr>
            <w:r w:rsidRPr="00797B1A">
              <w:rPr>
                <w:rFonts w:eastAsia="Calibri"/>
                <w:sz w:val="22"/>
                <w:szCs w:val="22"/>
              </w:rPr>
              <w:tab/>
            </w:r>
            <w:r w:rsidRPr="00797B1A">
              <w:rPr>
                <w:rFonts w:eastAsia="Calibri"/>
                <w:sz w:val="22"/>
                <w:szCs w:val="22"/>
              </w:rPr>
              <w:tab/>
              <w:t>91%</w:t>
            </w:r>
          </w:p>
        </w:tc>
        <w:tc>
          <w:tcPr>
            <w:tcW w:w="1129" w:type="dxa"/>
          </w:tcPr>
          <w:p w:rsidR="0036368A" w:rsidRPr="00797B1A" w:rsidRDefault="0036368A" w:rsidP="0036368A">
            <w:pPr>
              <w:tabs>
                <w:tab w:val="left" w:pos="263"/>
                <w:tab w:val="decimal" w:pos="638"/>
              </w:tabs>
              <w:jc w:val="both"/>
              <w:rPr>
                <w:rFonts w:eastAsia="Calibri"/>
                <w:sz w:val="22"/>
                <w:szCs w:val="22"/>
              </w:rPr>
            </w:pPr>
            <w:r w:rsidRPr="00797B1A">
              <w:rPr>
                <w:rFonts w:eastAsia="Calibri"/>
                <w:sz w:val="22"/>
                <w:szCs w:val="22"/>
              </w:rPr>
              <w:tab/>
            </w:r>
            <w:r w:rsidRPr="00797B1A">
              <w:rPr>
                <w:rFonts w:eastAsia="Calibri"/>
                <w:sz w:val="22"/>
                <w:szCs w:val="22"/>
              </w:rPr>
              <w:tab/>
              <w:t>93%</w:t>
            </w:r>
          </w:p>
        </w:tc>
        <w:tc>
          <w:tcPr>
            <w:tcW w:w="1129" w:type="dxa"/>
          </w:tcPr>
          <w:p w:rsidR="0036368A" w:rsidRPr="00797B1A" w:rsidRDefault="0036368A" w:rsidP="0036368A">
            <w:pPr>
              <w:tabs>
                <w:tab w:val="left" w:pos="360"/>
              </w:tabs>
              <w:jc w:val="center"/>
              <w:rPr>
                <w:rFonts w:eastAsia="Calibri"/>
                <w:sz w:val="22"/>
                <w:szCs w:val="22"/>
              </w:rPr>
            </w:pPr>
            <w:r w:rsidRPr="00797B1A">
              <w:rPr>
                <w:rFonts w:eastAsia="Calibri"/>
                <w:sz w:val="22"/>
                <w:szCs w:val="22"/>
              </w:rPr>
              <w:t>N/A</w:t>
            </w:r>
          </w:p>
        </w:tc>
      </w:tr>
      <w:tr w:rsidR="0036368A" w:rsidRPr="00797B1A" w:rsidTr="00797B1A">
        <w:trPr>
          <w:trHeight w:val="273"/>
        </w:trPr>
        <w:tc>
          <w:tcPr>
            <w:tcW w:w="1207" w:type="dxa"/>
            <w:shd w:val="clear" w:color="auto" w:fill="auto"/>
          </w:tcPr>
          <w:p w:rsidR="0036368A" w:rsidRPr="00797B1A" w:rsidRDefault="0036368A" w:rsidP="0036368A">
            <w:pPr>
              <w:tabs>
                <w:tab w:val="left" w:pos="360"/>
              </w:tabs>
              <w:jc w:val="both"/>
              <w:rPr>
                <w:rFonts w:eastAsia="Calibri"/>
                <w:sz w:val="22"/>
                <w:szCs w:val="22"/>
              </w:rPr>
            </w:pPr>
          </w:p>
        </w:tc>
        <w:tc>
          <w:tcPr>
            <w:tcW w:w="1086" w:type="dxa"/>
            <w:shd w:val="clear" w:color="auto" w:fill="auto"/>
          </w:tcPr>
          <w:p w:rsidR="0036368A" w:rsidRPr="00797B1A" w:rsidRDefault="0036368A" w:rsidP="0036368A">
            <w:pPr>
              <w:tabs>
                <w:tab w:val="left" w:pos="162"/>
                <w:tab w:val="decimal" w:pos="537"/>
              </w:tabs>
              <w:jc w:val="both"/>
              <w:rPr>
                <w:rFonts w:eastAsia="Calibri"/>
                <w:sz w:val="22"/>
                <w:szCs w:val="22"/>
              </w:rPr>
            </w:pPr>
          </w:p>
        </w:tc>
        <w:tc>
          <w:tcPr>
            <w:tcW w:w="1053" w:type="dxa"/>
            <w:shd w:val="clear" w:color="auto" w:fill="auto"/>
          </w:tcPr>
          <w:p w:rsidR="0036368A" w:rsidRPr="00797B1A" w:rsidRDefault="0036368A" w:rsidP="0036368A">
            <w:pPr>
              <w:tabs>
                <w:tab w:val="left" w:pos="311"/>
                <w:tab w:val="decimal" w:pos="701"/>
              </w:tabs>
              <w:jc w:val="both"/>
              <w:rPr>
                <w:rFonts w:eastAsia="Calibri"/>
                <w:sz w:val="22"/>
                <w:szCs w:val="22"/>
              </w:rPr>
            </w:pPr>
          </w:p>
        </w:tc>
        <w:tc>
          <w:tcPr>
            <w:tcW w:w="952" w:type="dxa"/>
            <w:shd w:val="clear" w:color="auto" w:fill="auto"/>
          </w:tcPr>
          <w:p w:rsidR="0036368A" w:rsidRPr="00797B1A" w:rsidRDefault="0036368A" w:rsidP="0036368A">
            <w:pPr>
              <w:tabs>
                <w:tab w:val="left" w:pos="274"/>
                <w:tab w:val="decimal" w:pos="649"/>
              </w:tabs>
              <w:jc w:val="both"/>
              <w:rPr>
                <w:rFonts w:eastAsia="Calibri"/>
                <w:sz w:val="22"/>
                <w:szCs w:val="22"/>
              </w:rPr>
            </w:pPr>
          </w:p>
        </w:tc>
        <w:tc>
          <w:tcPr>
            <w:tcW w:w="988" w:type="dxa"/>
            <w:shd w:val="clear" w:color="auto" w:fill="auto"/>
          </w:tcPr>
          <w:p w:rsidR="0036368A" w:rsidRPr="00797B1A" w:rsidRDefault="0036368A" w:rsidP="0036368A">
            <w:pPr>
              <w:tabs>
                <w:tab w:val="left" w:pos="210"/>
                <w:tab w:val="decimal" w:pos="600"/>
              </w:tabs>
              <w:jc w:val="both"/>
              <w:rPr>
                <w:rFonts w:eastAsia="Calibri"/>
                <w:sz w:val="22"/>
                <w:szCs w:val="22"/>
              </w:rPr>
            </w:pPr>
          </w:p>
        </w:tc>
        <w:tc>
          <w:tcPr>
            <w:tcW w:w="854" w:type="dxa"/>
            <w:shd w:val="clear" w:color="auto" w:fill="auto"/>
          </w:tcPr>
          <w:p w:rsidR="0036368A" w:rsidRPr="00797B1A" w:rsidRDefault="0036368A" w:rsidP="0036368A">
            <w:pPr>
              <w:tabs>
                <w:tab w:val="left" w:pos="263"/>
                <w:tab w:val="decimal" w:pos="638"/>
              </w:tabs>
              <w:jc w:val="both"/>
              <w:rPr>
                <w:rFonts w:eastAsia="Calibri"/>
                <w:sz w:val="22"/>
                <w:szCs w:val="22"/>
              </w:rPr>
            </w:pPr>
          </w:p>
        </w:tc>
        <w:tc>
          <w:tcPr>
            <w:tcW w:w="1129" w:type="dxa"/>
            <w:shd w:val="clear" w:color="auto" w:fill="auto"/>
          </w:tcPr>
          <w:p w:rsidR="0036368A" w:rsidRPr="00797B1A" w:rsidRDefault="0036368A" w:rsidP="0036368A">
            <w:pPr>
              <w:tabs>
                <w:tab w:val="left" w:pos="360"/>
              </w:tabs>
              <w:jc w:val="center"/>
              <w:rPr>
                <w:rFonts w:eastAsia="Calibri"/>
                <w:sz w:val="22"/>
                <w:szCs w:val="22"/>
              </w:rPr>
            </w:pPr>
          </w:p>
        </w:tc>
        <w:tc>
          <w:tcPr>
            <w:tcW w:w="1129" w:type="dxa"/>
          </w:tcPr>
          <w:p w:rsidR="0036368A" w:rsidRPr="00797B1A" w:rsidRDefault="0036368A" w:rsidP="0036368A">
            <w:pPr>
              <w:tabs>
                <w:tab w:val="left" w:pos="263"/>
                <w:tab w:val="decimal" w:pos="638"/>
              </w:tabs>
              <w:jc w:val="both"/>
              <w:rPr>
                <w:rFonts w:eastAsia="Calibri"/>
                <w:sz w:val="22"/>
                <w:szCs w:val="22"/>
              </w:rPr>
            </w:pPr>
          </w:p>
        </w:tc>
        <w:tc>
          <w:tcPr>
            <w:tcW w:w="1129" w:type="dxa"/>
          </w:tcPr>
          <w:p w:rsidR="0036368A" w:rsidRPr="00797B1A" w:rsidRDefault="0036368A" w:rsidP="0036368A">
            <w:pPr>
              <w:tabs>
                <w:tab w:val="left" w:pos="360"/>
              </w:tabs>
              <w:jc w:val="center"/>
              <w:rPr>
                <w:rFonts w:eastAsia="Calibri"/>
                <w:sz w:val="22"/>
                <w:szCs w:val="22"/>
              </w:rPr>
            </w:pPr>
          </w:p>
        </w:tc>
      </w:tr>
    </w:tbl>
    <w:p w:rsidR="0036368A" w:rsidRPr="00797B1A" w:rsidRDefault="0036368A" w:rsidP="0036368A">
      <w:pPr>
        <w:tabs>
          <w:tab w:val="left" w:pos="360"/>
        </w:tabs>
        <w:ind w:left="1080"/>
        <w:contextualSpacing/>
        <w:jc w:val="both"/>
        <w:rPr>
          <w:rFonts w:eastAsia="Calibri"/>
          <w:sz w:val="22"/>
          <w:szCs w:val="22"/>
        </w:rPr>
      </w:pPr>
    </w:p>
    <w:p w:rsidR="0036368A" w:rsidRPr="00797B1A" w:rsidRDefault="0036368A" w:rsidP="0036368A">
      <w:pPr>
        <w:tabs>
          <w:tab w:val="left" w:pos="360"/>
        </w:tabs>
        <w:ind w:left="360"/>
        <w:contextualSpacing/>
        <w:jc w:val="both"/>
        <w:rPr>
          <w:rFonts w:eastAsia="Calibri"/>
          <w:sz w:val="22"/>
          <w:szCs w:val="22"/>
        </w:rPr>
      </w:pPr>
      <w:r w:rsidRPr="00797B1A">
        <w:rPr>
          <w:rFonts w:eastAsia="Calibri"/>
          <w:sz w:val="22"/>
          <w:szCs w:val="22"/>
        </w:rPr>
        <w:t>Sources:  2011, 2012, 2013 and 2014 as filed cost reports were utilized for occupancy and payor mix percentages. BerryDunn’s database which is a compilation of all non-hospital-based as filed cost reports was utilized for Region 2 averages.</w:t>
      </w:r>
      <w:r w:rsidR="00475E8E">
        <w:rPr>
          <w:rFonts w:eastAsia="Calibri"/>
          <w:sz w:val="22"/>
          <w:szCs w:val="22"/>
        </w:rPr>
        <w:t>”</w:t>
      </w:r>
      <w:r w:rsidRPr="00797B1A">
        <w:rPr>
          <w:rFonts w:eastAsia="Calibri"/>
          <w:sz w:val="22"/>
          <w:szCs w:val="22"/>
        </w:rPr>
        <w:t xml:space="preserve"> </w:t>
      </w:r>
    </w:p>
    <w:p w:rsidR="0036368A" w:rsidRPr="00797B1A" w:rsidRDefault="0036368A" w:rsidP="0036368A">
      <w:pPr>
        <w:tabs>
          <w:tab w:val="left" w:pos="360"/>
        </w:tabs>
        <w:jc w:val="both"/>
        <w:rPr>
          <w:rFonts w:eastAsia="Calibri"/>
          <w:sz w:val="22"/>
          <w:szCs w:val="22"/>
        </w:rPr>
      </w:pPr>
    </w:p>
    <w:p w:rsidR="0036368A" w:rsidRPr="00797B1A" w:rsidRDefault="00475E8E" w:rsidP="0036368A">
      <w:pPr>
        <w:tabs>
          <w:tab w:val="left" w:pos="360"/>
        </w:tabs>
        <w:jc w:val="both"/>
        <w:rPr>
          <w:rFonts w:eastAsia="Calibri"/>
          <w:sz w:val="22"/>
          <w:szCs w:val="22"/>
        </w:rPr>
      </w:pPr>
      <w:r>
        <w:rPr>
          <w:rFonts w:eastAsia="Calibri"/>
          <w:sz w:val="22"/>
          <w:szCs w:val="22"/>
        </w:rPr>
        <w:t>“</w:t>
      </w:r>
      <w:r w:rsidR="0036368A" w:rsidRPr="00797B1A">
        <w:rPr>
          <w:rFonts w:eastAsia="Calibri"/>
          <w:sz w:val="22"/>
          <w:szCs w:val="22"/>
        </w:rPr>
        <w:t>As evidenced in the table above, Durgin Pines is meeting a need in the community as well as in the region it services. Occupancy rates for 2011 through 2013 were comparable to, or better than, regional averages and MaineCare utilization has historically been lower than the region due to the community Durgin Pines serves. In addition, 2014 occupancy continued to remain strong as does the 2015 occupancy. On May 1, 2015, Muskie School of Public Service released report “MDM-NF13: Occupancy and Distribution of Assessments by Sources of Payment” for roster date February 15, 2015 in which Durgin Pines’ occupancy was 92.59% compared to the statewide average of 92.75%.</w:t>
      </w:r>
      <w:r>
        <w:rPr>
          <w:rFonts w:eastAsia="Calibri"/>
          <w:sz w:val="22"/>
          <w:szCs w:val="22"/>
        </w:rPr>
        <w:t>”</w:t>
      </w:r>
    </w:p>
    <w:p w:rsidR="0036368A" w:rsidRPr="00797B1A" w:rsidRDefault="0036368A" w:rsidP="0036368A">
      <w:pPr>
        <w:tabs>
          <w:tab w:val="left" w:pos="360"/>
        </w:tabs>
        <w:jc w:val="both"/>
        <w:rPr>
          <w:rFonts w:eastAsia="Calibri"/>
          <w:sz w:val="22"/>
          <w:szCs w:val="22"/>
        </w:rPr>
      </w:pPr>
    </w:p>
    <w:p w:rsidR="0036368A" w:rsidRPr="00797B1A" w:rsidRDefault="00475E8E" w:rsidP="0036368A">
      <w:pPr>
        <w:tabs>
          <w:tab w:val="left" w:pos="360"/>
        </w:tabs>
        <w:jc w:val="both"/>
        <w:rPr>
          <w:rFonts w:eastAsia="Calibri"/>
          <w:noProof/>
          <w:sz w:val="22"/>
          <w:szCs w:val="22"/>
        </w:rPr>
      </w:pPr>
      <w:r>
        <w:rPr>
          <w:rFonts w:eastAsia="Calibri"/>
          <w:sz w:val="22"/>
          <w:szCs w:val="22"/>
        </w:rPr>
        <w:t>“</w:t>
      </w:r>
      <w:r w:rsidR="0036368A" w:rsidRPr="00797B1A">
        <w:rPr>
          <w:rFonts w:eastAsia="Calibri"/>
          <w:sz w:val="22"/>
          <w:szCs w:val="22"/>
        </w:rPr>
        <w:t>Management expects both occupancy and payor mix to remain consistent with historical results as the population in the surrounding communities continues to age. In addition, the following population chart provided by the State demonstrates the need for long-term care providers currently providing services in Kittery and surrounding communities to continue services as 15.8% of the population of Kittery and surrounding communities is 65 years and older, 4.9% of individuals are within 100% of federal poverty limits and 19.3% are within 200% of federal poverty limits.</w:t>
      </w:r>
      <w:r>
        <w:rPr>
          <w:rFonts w:eastAsia="Calibri"/>
          <w:sz w:val="22"/>
          <w:szCs w:val="22"/>
        </w:rPr>
        <w:t>”</w:t>
      </w:r>
      <w:r w:rsidR="0036368A" w:rsidRPr="00797B1A">
        <w:rPr>
          <w:rFonts w:eastAsia="Calibri"/>
          <w:noProof/>
          <w:sz w:val="22"/>
          <w:szCs w:val="22"/>
        </w:rPr>
        <w:t xml:space="preserve"> </w:t>
      </w:r>
      <w:r w:rsidR="0036368A" w:rsidRPr="00797B1A">
        <w:rPr>
          <w:rFonts w:eastAsia="Calibri"/>
          <w:noProof/>
          <w:sz w:val="22"/>
          <w:szCs w:val="22"/>
        </w:rPr>
        <w:br w:type="page"/>
      </w:r>
    </w:p>
    <w:p w:rsidR="0036368A" w:rsidRPr="00797B1A" w:rsidRDefault="0036368A" w:rsidP="00797B1A">
      <w:pPr>
        <w:tabs>
          <w:tab w:val="left" w:pos="360"/>
        </w:tabs>
        <w:jc w:val="both"/>
        <w:rPr>
          <w:rFonts w:eastAsia="Calibri"/>
          <w:sz w:val="22"/>
          <w:szCs w:val="22"/>
        </w:rPr>
      </w:pPr>
      <w:r w:rsidRPr="00797B1A">
        <w:rPr>
          <w:rFonts w:eastAsia="Calibri"/>
          <w:noProof/>
          <w:sz w:val="22"/>
          <w:szCs w:val="22"/>
        </w:rPr>
        <w:lastRenderedPageBreak/>
        <w:drawing>
          <wp:inline distT="0" distB="0" distL="0" distR="0" wp14:anchorId="3E9A2675" wp14:editId="3AC22BD9">
            <wp:extent cx="5943600" cy="191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5316" cy="1914525"/>
                    </a:xfrm>
                    <a:prstGeom prst="rect">
                      <a:avLst/>
                    </a:prstGeom>
                  </pic:spPr>
                </pic:pic>
              </a:graphicData>
            </a:graphic>
          </wp:inline>
        </w:drawing>
      </w:r>
    </w:p>
    <w:p w:rsidR="0036368A" w:rsidRPr="00797B1A" w:rsidRDefault="0036368A" w:rsidP="0036368A">
      <w:pPr>
        <w:tabs>
          <w:tab w:val="left" w:pos="360"/>
        </w:tabs>
        <w:jc w:val="both"/>
        <w:rPr>
          <w:rFonts w:eastAsia="Calibri"/>
          <w:sz w:val="22"/>
          <w:szCs w:val="22"/>
        </w:rPr>
      </w:pPr>
    </w:p>
    <w:p w:rsidR="0036368A" w:rsidRPr="00797B1A" w:rsidRDefault="00475E8E" w:rsidP="0036368A">
      <w:pPr>
        <w:jc w:val="both"/>
        <w:rPr>
          <w:rFonts w:eastAsia="Calibri"/>
          <w:sz w:val="22"/>
          <w:szCs w:val="22"/>
        </w:rPr>
      </w:pPr>
      <w:r>
        <w:rPr>
          <w:rFonts w:eastAsia="Calibri"/>
          <w:sz w:val="22"/>
          <w:szCs w:val="22"/>
        </w:rPr>
        <w:t>“</w:t>
      </w:r>
      <w:r w:rsidR="0036368A" w:rsidRPr="00797B1A">
        <w:rPr>
          <w:rFonts w:eastAsia="Calibri"/>
          <w:sz w:val="22"/>
          <w:szCs w:val="22"/>
        </w:rPr>
        <w:t>Durgin Pines operates a total of 81 licensed beds with 26 assigned for short-term rehabilitation that are dually certified (skilled) and 55 beds assigned for long-term care which are not dually certified. The proposed plan will not impact licensed beds.</w:t>
      </w:r>
      <w:r>
        <w:rPr>
          <w:rFonts w:eastAsia="Calibri"/>
          <w:sz w:val="22"/>
          <w:szCs w:val="22"/>
        </w:rPr>
        <w:t>”</w:t>
      </w:r>
      <w:r w:rsidR="0036368A" w:rsidRPr="00797B1A">
        <w:rPr>
          <w:rFonts w:eastAsia="Calibri"/>
          <w:sz w:val="22"/>
          <w:szCs w:val="22"/>
        </w:rPr>
        <w:t xml:space="preserve"> </w:t>
      </w:r>
    </w:p>
    <w:p w:rsidR="0036368A" w:rsidRPr="00797B1A" w:rsidRDefault="0036368A" w:rsidP="0036368A">
      <w:pPr>
        <w:jc w:val="both"/>
        <w:rPr>
          <w:rFonts w:eastAsia="Calibri"/>
          <w:sz w:val="22"/>
          <w:szCs w:val="22"/>
        </w:rPr>
      </w:pPr>
    </w:p>
    <w:p w:rsidR="0036368A" w:rsidRPr="00797B1A" w:rsidRDefault="00475E8E" w:rsidP="0036368A">
      <w:pPr>
        <w:jc w:val="both"/>
        <w:rPr>
          <w:rFonts w:eastAsia="Calibri"/>
          <w:sz w:val="22"/>
          <w:szCs w:val="22"/>
        </w:rPr>
      </w:pPr>
      <w:r>
        <w:rPr>
          <w:rFonts w:eastAsia="Calibri"/>
          <w:sz w:val="22"/>
          <w:szCs w:val="22"/>
        </w:rPr>
        <w:t>“</w:t>
      </w:r>
      <w:r w:rsidR="0036368A" w:rsidRPr="00797B1A">
        <w:rPr>
          <w:rFonts w:eastAsia="Calibri"/>
          <w:sz w:val="22"/>
          <w:szCs w:val="22"/>
        </w:rPr>
        <w:t>Management is considering building an addition which will house a larger rehabilitation gym space as well as office space. With this expansion, there may be an opportunity to provide outpatient services that are not currently offered to non-residents of the home. The target population to be served will remain unchanged and includes the communities primarily within a 20-mile radius and almost exclusively the geriatric population.</w:t>
      </w:r>
      <w:r>
        <w:rPr>
          <w:rFonts w:eastAsia="Calibri"/>
          <w:sz w:val="22"/>
          <w:szCs w:val="22"/>
        </w:rPr>
        <w:t>”</w:t>
      </w:r>
      <w:r w:rsidR="0036368A" w:rsidRPr="00797B1A">
        <w:rPr>
          <w:rFonts w:eastAsia="Calibri"/>
          <w:sz w:val="22"/>
          <w:szCs w:val="22"/>
        </w:rPr>
        <w:t xml:space="preserve"> </w:t>
      </w:r>
    </w:p>
    <w:p w:rsidR="0036368A" w:rsidRPr="00797B1A" w:rsidRDefault="0036368A" w:rsidP="0036368A">
      <w:pPr>
        <w:jc w:val="both"/>
        <w:rPr>
          <w:rFonts w:eastAsia="Calibri"/>
          <w:sz w:val="22"/>
          <w:szCs w:val="22"/>
        </w:rPr>
      </w:pPr>
    </w:p>
    <w:p w:rsidR="0036368A" w:rsidRPr="00797B1A" w:rsidRDefault="00475E8E" w:rsidP="0036368A">
      <w:pPr>
        <w:jc w:val="both"/>
        <w:rPr>
          <w:rFonts w:eastAsia="Calibri"/>
          <w:sz w:val="22"/>
          <w:szCs w:val="22"/>
        </w:rPr>
      </w:pPr>
      <w:r>
        <w:rPr>
          <w:rFonts w:eastAsia="Calibri"/>
          <w:sz w:val="22"/>
          <w:szCs w:val="22"/>
        </w:rPr>
        <w:t>“</w:t>
      </w:r>
      <w:r w:rsidR="0036368A" w:rsidRPr="00797B1A">
        <w:rPr>
          <w:rFonts w:eastAsia="Calibri"/>
          <w:sz w:val="22"/>
          <w:szCs w:val="22"/>
        </w:rPr>
        <w:t>The aim is to provide short-term rehabilitative services as needed as well as meet long-term care needs of the communities Durgin Pines serves. As Durgin Pines is able to accept individuals with Medicare, Medicaid, multiple managed care products, and private payor sources, there is substantial access available to its services. There are no geographic barriers to services other than proximity to the New Hampshire state border and the ocean. In regards to the short-term rehabilitative needs in the community, historically the diagnoses primarily treated on the skilled unit have been: orthopedic aftercare (i.e., status post total hip replacement, total knee replacement, hip fracture); post cardiac surgery; pulmonary (i.e., COPD exacerbation, pneumonia); and failure to thrive. Durgin Pines’ skilled unit has the slogan of “Getting Better, Going Home” and has achieved this goal at a rate of approximately 85-90% of residents served returning to their prior living arrangement since opening in 2008.</w:t>
      </w:r>
      <w:r>
        <w:rPr>
          <w:rFonts w:eastAsia="Calibri"/>
          <w:sz w:val="22"/>
          <w:szCs w:val="22"/>
        </w:rPr>
        <w:t>”</w:t>
      </w:r>
    </w:p>
    <w:p w:rsidR="0036368A" w:rsidRPr="00797B1A" w:rsidRDefault="0036368A" w:rsidP="0036368A">
      <w:pPr>
        <w:jc w:val="both"/>
        <w:rPr>
          <w:rFonts w:eastAsia="Calibri"/>
          <w:sz w:val="22"/>
          <w:szCs w:val="22"/>
        </w:rPr>
      </w:pPr>
      <w:r w:rsidRPr="00797B1A">
        <w:rPr>
          <w:rFonts w:eastAsia="Calibri"/>
          <w:sz w:val="22"/>
          <w:szCs w:val="22"/>
        </w:rPr>
        <w:tab/>
      </w:r>
    </w:p>
    <w:p w:rsidR="0036368A" w:rsidRPr="00797B1A" w:rsidRDefault="00475E8E" w:rsidP="0036368A">
      <w:pPr>
        <w:jc w:val="both"/>
        <w:rPr>
          <w:rFonts w:eastAsia="Calibri"/>
          <w:sz w:val="22"/>
          <w:szCs w:val="22"/>
        </w:rPr>
      </w:pPr>
      <w:r>
        <w:rPr>
          <w:rFonts w:eastAsia="Calibri"/>
          <w:sz w:val="22"/>
          <w:szCs w:val="22"/>
        </w:rPr>
        <w:t>“</w:t>
      </w:r>
      <w:r w:rsidR="0036368A" w:rsidRPr="00797B1A">
        <w:rPr>
          <w:rFonts w:eastAsia="Calibri"/>
          <w:sz w:val="22"/>
          <w:szCs w:val="22"/>
        </w:rPr>
        <w:t>Durgin Pines has demonstrated significant quality benchmarks and recognition for this work. In July of 2012, starting at a level of 25% antipsychotic medication usage, an initiative to reduce the use of antipsychotics in treating dementia-related behaviors was started. Within one year, a 0% usage rate was achieved and a usage rate of less than 5% has been maintained since that time. This has been acknowledged as a quality improvement/indicator on both a state and national level. The hospital readmission data per the QA reports for the previous four full quarters reviewed indicates a total readmission rate average of 5.59% overall and a 0.29% rate for currently penalized diagnoses. The in- house acquired infection rates for the last four quarters reviewed per the QA reports averages 3.82 per 1,000 with a national average benchmark of 2 - 7 per 1,000. The QIS Survey for 2014 resulted in a deficiency free perfect survey.</w:t>
      </w:r>
      <w:r>
        <w:rPr>
          <w:rFonts w:eastAsia="Calibri"/>
          <w:sz w:val="22"/>
          <w:szCs w:val="22"/>
        </w:rPr>
        <w:t>”</w:t>
      </w:r>
    </w:p>
    <w:p w:rsidR="0036368A" w:rsidRPr="00797B1A" w:rsidRDefault="0036368A" w:rsidP="0036368A">
      <w:pPr>
        <w:contextualSpacing/>
        <w:jc w:val="both"/>
        <w:rPr>
          <w:rFonts w:eastAsia="Calibri"/>
          <w:sz w:val="22"/>
          <w:szCs w:val="22"/>
        </w:rPr>
      </w:pPr>
    </w:p>
    <w:p w:rsidR="00797B1A" w:rsidRDefault="00797B1A" w:rsidP="0036368A">
      <w:pPr>
        <w:contextualSpacing/>
        <w:jc w:val="both"/>
        <w:rPr>
          <w:rFonts w:eastAsia="Calibri"/>
          <w:sz w:val="22"/>
          <w:szCs w:val="22"/>
        </w:rPr>
        <w:sectPr w:rsidR="00797B1A" w:rsidSect="009530A6">
          <w:headerReference w:type="default" r:id="rId17"/>
          <w:pgSz w:w="12240" w:h="15840"/>
          <w:pgMar w:top="1440" w:right="1080" w:bottom="1440" w:left="1800" w:header="720" w:footer="720" w:gutter="0"/>
          <w:cols w:space="720"/>
          <w:docGrid w:linePitch="360"/>
        </w:sectPr>
      </w:pPr>
    </w:p>
    <w:p w:rsidR="00797B1A" w:rsidRDefault="00797B1A" w:rsidP="0036368A">
      <w:pPr>
        <w:contextualSpacing/>
        <w:jc w:val="both"/>
        <w:rPr>
          <w:rFonts w:eastAsia="Calibri"/>
          <w:sz w:val="22"/>
          <w:szCs w:val="22"/>
        </w:rPr>
      </w:pPr>
    </w:p>
    <w:p w:rsidR="0036368A" w:rsidRPr="00797B1A" w:rsidRDefault="00475E8E" w:rsidP="0036368A">
      <w:pPr>
        <w:contextualSpacing/>
        <w:jc w:val="both"/>
        <w:rPr>
          <w:rFonts w:eastAsia="Calibri"/>
          <w:sz w:val="22"/>
          <w:szCs w:val="22"/>
        </w:rPr>
      </w:pPr>
      <w:r>
        <w:rPr>
          <w:rFonts w:eastAsia="Calibri"/>
          <w:sz w:val="22"/>
          <w:szCs w:val="22"/>
        </w:rPr>
        <w:t>“</w:t>
      </w:r>
      <w:r w:rsidR="0036368A" w:rsidRPr="00797B1A">
        <w:rPr>
          <w:rFonts w:eastAsia="Calibri"/>
          <w:sz w:val="22"/>
          <w:szCs w:val="22"/>
        </w:rPr>
        <w:t xml:space="preserve">Durgin Pines has been recognized in the industry as a leader in programming and quality and has been awarded and recognized for the following over the past 2 years:  2013 Maine Health Care Association Quality Award; 2013 Maine Health Care Association Innovative Programming Award; 2014 Maine Health Care Association Innovative Programming Award; 2013 American Health Care Association Tier III Award Winner; 2014 American Health Care Association Tier IV Award Winner (1 of 3 homes in Maine); 2014 Deficiency Free Perfect Survey; 2014 QAPI Accreditation; 2014 </w:t>
      </w:r>
      <w:r w:rsidR="005555D2" w:rsidRPr="00797B1A">
        <w:rPr>
          <w:rFonts w:eastAsia="Calibri"/>
          <w:sz w:val="22"/>
          <w:szCs w:val="22"/>
        </w:rPr>
        <w:t>Providing</w:t>
      </w:r>
      <w:r w:rsidR="0036368A" w:rsidRPr="00797B1A">
        <w:rPr>
          <w:rFonts w:eastAsia="Calibri"/>
          <w:sz w:val="22"/>
          <w:szCs w:val="22"/>
        </w:rPr>
        <w:t xml:space="preserve"> Quality Award Winner (only home in US &amp; Canada to achieve award in all 3 areas); Multiple caregivers have received state recognition through “Excellence in Caregiving” awards; Nursing Home Compare “5 Star” Facility during all of 2014 and into 2015; Administrator, Nick Bridges was selected as a 2014 American Health Care Association Future Leader in LTC (1 of 35 selected nationally) as well as a 2014 and 2015 American College of Health Care Administrators (ACHCA) Eli Pick Award Winner.</w:t>
      </w:r>
      <w:r>
        <w:rPr>
          <w:rFonts w:eastAsia="Calibri"/>
          <w:sz w:val="22"/>
          <w:szCs w:val="22"/>
        </w:rPr>
        <w:t>”</w:t>
      </w:r>
    </w:p>
    <w:p w:rsidR="0036368A" w:rsidRDefault="0036368A" w:rsidP="0036368A">
      <w:pPr>
        <w:contextualSpacing/>
        <w:jc w:val="both"/>
        <w:rPr>
          <w:rFonts w:ascii="Arial" w:eastAsia="Calibri" w:hAnsi="Arial"/>
          <w:sz w:val="22"/>
          <w:szCs w:val="22"/>
        </w:rPr>
      </w:pPr>
    </w:p>
    <w:p w:rsidR="008E41AC" w:rsidRPr="005F7C09" w:rsidRDefault="00555A69" w:rsidP="0036368A">
      <w:pPr>
        <w:contextualSpacing/>
        <w:jc w:val="both"/>
        <w:rPr>
          <w:b/>
        </w:rPr>
      </w:pPr>
      <w:r w:rsidRPr="005F7C09">
        <w:rPr>
          <w:b/>
        </w:rPr>
        <w:t xml:space="preserve">B. </w:t>
      </w:r>
      <w:r w:rsidR="006A7CB7" w:rsidRPr="00797B1A">
        <w:rPr>
          <w:b/>
          <w:u w:val="single"/>
        </w:rPr>
        <w:t>Certificate of Need Unit</w:t>
      </w:r>
      <w:r w:rsidR="008E41AC" w:rsidRPr="00797B1A">
        <w:rPr>
          <w:b/>
          <w:u w:val="single"/>
        </w:rPr>
        <w:t xml:space="preserve"> Discussion </w:t>
      </w:r>
    </w:p>
    <w:p w:rsidR="008E41AC" w:rsidRPr="005F7C09" w:rsidRDefault="008E41AC" w:rsidP="005F7C09">
      <w:pPr>
        <w:jc w:val="both"/>
        <w:rPr>
          <w:b/>
        </w:rPr>
      </w:pPr>
    </w:p>
    <w:p w:rsidR="008E41AC" w:rsidRPr="00797B1A" w:rsidRDefault="001C5ECE" w:rsidP="00797B1A">
      <w:pPr>
        <w:pStyle w:val="ListParagraph"/>
        <w:numPr>
          <w:ilvl w:val="0"/>
          <w:numId w:val="36"/>
        </w:numPr>
        <w:ind w:left="720"/>
        <w:jc w:val="both"/>
        <w:rPr>
          <w:b/>
        </w:rPr>
      </w:pPr>
      <w:r w:rsidRPr="00797B1A">
        <w:rPr>
          <w:b/>
        </w:rPr>
        <w:t>C</w:t>
      </w:r>
      <w:r w:rsidR="00797B1A">
        <w:rPr>
          <w:b/>
        </w:rPr>
        <w:t>ON St</w:t>
      </w:r>
      <w:r w:rsidR="00E7467A" w:rsidRPr="00797B1A">
        <w:rPr>
          <w:b/>
        </w:rPr>
        <w:t>andard</w:t>
      </w:r>
      <w:r w:rsidR="008E41AC" w:rsidRPr="00797B1A">
        <w:rPr>
          <w:b/>
        </w:rPr>
        <w:t xml:space="preserve"> </w:t>
      </w:r>
    </w:p>
    <w:p w:rsidR="008E41AC" w:rsidRPr="005F7C09" w:rsidRDefault="008E41AC" w:rsidP="005F7C09">
      <w:pPr>
        <w:jc w:val="both"/>
        <w:rPr>
          <w:b/>
          <w:sz w:val="16"/>
          <w:szCs w:val="16"/>
        </w:rPr>
      </w:pPr>
    </w:p>
    <w:p w:rsidR="008E41AC" w:rsidRPr="005F7C09" w:rsidRDefault="008E41AC" w:rsidP="005F7C09">
      <w:pPr>
        <w:jc w:val="both"/>
      </w:pPr>
      <w:r w:rsidRPr="005F7C09">
        <w:t xml:space="preserve">Relevant </w:t>
      </w:r>
      <w:r w:rsidR="00E7467A" w:rsidRPr="005F7C09">
        <w:t>standard</w:t>
      </w:r>
      <w:r w:rsidR="00F223C3" w:rsidRPr="005F7C09">
        <w:t>s</w:t>
      </w:r>
      <w:r w:rsidRPr="005F7C09">
        <w:t xml:space="preserve"> for inclusion in this section are specific to the determination there is a public need for the proposed services as demonstrated by certain factors,</w:t>
      </w:r>
      <w:r w:rsidR="002C0659" w:rsidRPr="005F7C09">
        <w:t xml:space="preserve"> including, but not limited to:</w:t>
      </w:r>
    </w:p>
    <w:p w:rsidR="008E41AC" w:rsidRPr="005F7C09" w:rsidRDefault="008E41AC" w:rsidP="005F7C09">
      <w:pPr>
        <w:jc w:val="both"/>
      </w:pPr>
    </w:p>
    <w:p w:rsidR="008E41AC" w:rsidRPr="005F7C09" w:rsidRDefault="008E41AC" w:rsidP="005F7C09">
      <w:pPr>
        <w:numPr>
          <w:ilvl w:val="0"/>
          <w:numId w:val="2"/>
        </w:numPr>
        <w:jc w:val="both"/>
      </w:pPr>
      <w:r w:rsidRPr="005F7C09">
        <w:t>Whether, and the extent to which, the project will substantially address specific health problems as measured by health needs in the area to be served by the project;</w:t>
      </w:r>
    </w:p>
    <w:p w:rsidR="008E41AC" w:rsidRPr="005F7C09" w:rsidRDefault="008E41AC" w:rsidP="005F7C09">
      <w:pPr>
        <w:numPr>
          <w:ilvl w:val="0"/>
          <w:numId w:val="2"/>
        </w:numPr>
        <w:jc w:val="both"/>
      </w:pPr>
      <w:r w:rsidRPr="005F7C09">
        <w:t>Whether the project will have a positive impact on the health status indicators of the population to be served;</w:t>
      </w:r>
    </w:p>
    <w:p w:rsidR="008E41AC" w:rsidRPr="005F7C09" w:rsidRDefault="008E41AC" w:rsidP="005F7C09">
      <w:pPr>
        <w:numPr>
          <w:ilvl w:val="0"/>
          <w:numId w:val="2"/>
        </w:numPr>
        <w:jc w:val="both"/>
        <w:rPr>
          <w:b/>
        </w:rPr>
      </w:pPr>
      <w:r w:rsidRPr="005F7C09">
        <w:t xml:space="preserve">Whether the services affected by the project will be accessible to all residents of the area proposed to be served; and </w:t>
      </w:r>
    </w:p>
    <w:p w:rsidR="008E41AC" w:rsidRDefault="008E41AC" w:rsidP="005F7C09">
      <w:pPr>
        <w:numPr>
          <w:ilvl w:val="0"/>
          <w:numId w:val="2"/>
        </w:numPr>
        <w:jc w:val="both"/>
      </w:pPr>
      <w:r w:rsidRPr="005F7C09">
        <w:t>Whether the project will provide demonstrable improvements in quality and outcome measures applicable to the services proposed in the project.</w:t>
      </w:r>
    </w:p>
    <w:p w:rsidR="005F7C09" w:rsidRPr="005F7C09" w:rsidRDefault="005F7C09" w:rsidP="005F7C09">
      <w:pPr>
        <w:ind w:left="720"/>
        <w:jc w:val="both"/>
      </w:pPr>
    </w:p>
    <w:p w:rsidR="008E41AC" w:rsidRPr="00797B1A" w:rsidRDefault="00D908D5" w:rsidP="00797B1A">
      <w:pPr>
        <w:pStyle w:val="ListParagraph"/>
        <w:numPr>
          <w:ilvl w:val="0"/>
          <w:numId w:val="36"/>
        </w:numPr>
        <w:ind w:left="720"/>
        <w:jc w:val="both"/>
        <w:rPr>
          <w:b/>
        </w:rPr>
      </w:pPr>
      <w:r w:rsidRPr="00797B1A">
        <w:rPr>
          <w:b/>
        </w:rPr>
        <w:t>C</w:t>
      </w:r>
      <w:r w:rsidR="00797B1A">
        <w:rPr>
          <w:b/>
        </w:rPr>
        <w:t>ON Unit</w:t>
      </w:r>
      <w:r w:rsidR="000A06C5" w:rsidRPr="00797B1A">
        <w:rPr>
          <w:b/>
        </w:rPr>
        <w:t xml:space="preserve"> </w:t>
      </w:r>
      <w:r w:rsidR="008E41AC" w:rsidRPr="00797B1A">
        <w:rPr>
          <w:b/>
        </w:rPr>
        <w:t>Analysis</w:t>
      </w:r>
    </w:p>
    <w:p w:rsidR="008E41AC" w:rsidRPr="005F7C09" w:rsidRDefault="008E41AC" w:rsidP="005F7C09">
      <w:pPr>
        <w:jc w:val="both"/>
        <w:rPr>
          <w:b/>
          <w:sz w:val="16"/>
          <w:szCs w:val="16"/>
        </w:rPr>
      </w:pPr>
    </w:p>
    <w:p w:rsidR="00691004" w:rsidRPr="005F7C09" w:rsidRDefault="00827DB8" w:rsidP="005F7C09">
      <w:pPr>
        <w:jc w:val="both"/>
      </w:pPr>
      <w:r w:rsidRPr="005F7C09">
        <w:t xml:space="preserve">In order to determine public need, CONU </w:t>
      </w:r>
      <w:r w:rsidR="00A8281F" w:rsidRPr="005F7C09">
        <w:t xml:space="preserve">reviewed the </w:t>
      </w:r>
      <w:r w:rsidRPr="005F7C09">
        <w:t xml:space="preserve">demographic and service use trends in </w:t>
      </w:r>
      <w:r w:rsidR="009E1129">
        <w:t>Durgin Pines</w:t>
      </w:r>
      <w:r w:rsidRPr="005F7C09">
        <w:t xml:space="preserve"> service area (</w:t>
      </w:r>
      <w:r w:rsidR="009E1129">
        <w:t>York</w:t>
      </w:r>
      <w:r w:rsidRPr="005F7C09">
        <w:t xml:space="preserve"> County, Maine). </w:t>
      </w:r>
      <w:r w:rsidR="001930D4" w:rsidRPr="005F7C09">
        <w:t xml:space="preserve">CONU utilized the </w:t>
      </w:r>
      <w:r w:rsidR="001930D4" w:rsidRPr="005F7C09">
        <w:rPr>
          <w:u w:val="single"/>
        </w:rPr>
        <w:t>Older Adults with Physical Disabilities: Population and Service Use Trends in Maine, 2012 Edition</w:t>
      </w:r>
      <w:r w:rsidR="001930D4" w:rsidRPr="005F7C09">
        <w:t xml:space="preserve">, prepared by the Muskie School of Public Service and the U.S. Census Bureau’s website located at </w:t>
      </w:r>
      <w:hyperlink r:id="rId18" w:history="1">
        <w:r w:rsidR="001930D4" w:rsidRPr="005F7C09">
          <w:rPr>
            <w:rStyle w:val="Hyperlink"/>
          </w:rPr>
          <w:t>http://quickfacts.census.gov</w:t>
        </w:r>
      </w:hyperlink>
      <w:r w:rsidR="002C0659" w:rsidRPr="005F7C09">
        <w:t>.</w:t>
      </w:r>
    </w:p>
    <w:p w:rsidR="00691004" w:rsidRPr="005F7C09" w:rsidRDefault="00691004" w:rsidP="005F7C09">
      <w:pPr>
        <w:jc w:val="both"/>
      </w:pPr>
    </w:p>
    <w:p w:rsidR="00223F75" w:rsidRPr="005F7C09" w:rsidRDefault="00020E77" w:rsidP="005F7C09">
      <w:pPr>
        <w:jc w:val="both"/>
      </w:pPr>
      <w:r>
        <w:t>York</w:t>
      </w:r>
      <w:r w:rsidR="0077169A" w:rsidRPr="005F7C09">
        <w:t xml:space="preserve"> County is the </w:t>
      </w:r>
      <w:r>
        <w:t>southern-</w:t>
      </w:r>
      <w:r w:rsidR="00E73A51" w:rsidRPr="005F7C09">
        <w:t xml:space="preserve">most county in Maine with a population of </w:t>
      </w:r>
      <w:r w:rsidR="00C17C06">
        <w:t>200</w:t>
      </w:r>
      <w:r w:rsidR="00681BA3">
        <w:t>,</w:t>
      </w:r>
      <w:r w:rsidR="00C17C06">
        <w:t>710</w:t>
      </w:r>
      <w:r w:rsidR="00E73A51" w:rsidRPr="005F7C09">
        <w:t xml:space="preserve">. Approximately </w:t>
      </w:r>
      <w:r w:rsidR="00C17C06">
        <w:t>17.3%</w:t>
      </w:r>
      <w:r w:rsidR="00E73A51" w:rsidRPr="005F7C09">
        <w:t xml:space="preserve"> of the population is 65 and over. The 65 and over population is expected to experience a </w:t>
      </w:r>
      <w:r w:rsidR="009E34E0">
        <w:t>77.7%</w:t>
      </w:r>
      <w:r w:rsidR="00E73A51" w:rsidRPr="005F7C09">
        <w:t xml:space="preserve"> </w:t>
      </w:r>
      <w:r w:rsidR="00E76B96" w:rsidRPr="005F7C09">
        <w:t xml:space="preserve">increase </w:t>
      </w:r>
      <w:r w:rsidR="006F04F7" w:rsidRPr="005F7C09">
        <w:t>by 2022.</w:t>
      </w:r>
      <w:r w:rsidR="00E73A51" w:rsidRPr="005F7C09">
        <w:t xml:space="preserve"> This coincides with the State of Maine as a whole where the 65 and above population continues to grow at a rate faster than New England and the United States as a whole. </w:t>
      </w:r>
      <w:r w:rsidR="001930D4" w:rsidRPr="005F7C09">
        <w:t xml:space="preserve">Statewide nursing home utilization declined between 2000 </w:t>
      </w:r>
      <w:r w:rsidR="002444EC" w:rsidRPr="005F7C09">
        <w:t xml:space="preserve">and </w:t>
      </w:r>
      <w:r w:rsidR="002C0659" w:rsidRPr="005F7C09">
        <w:t>2008 but leveled off in 2010.</w:t>
      </w:r>
    </w:p>
    <w:p w:rsidR="00223F75" w:rsidRPr="005F7C09" w:rsidRDefault="00223F75" w:rsidP="005F7C09">
      <w:pPr>
        <w:jc w:val="both"/>
      </w:pPr>
    </w:p>
    <w:p w:rsidR="00797B1A" w:rsidRDefault="00797B1A" w:rsidP="005F7C09">
      <w:pPr>
        <w:jc w:val="both"/>
        <w:sectPr w:rsidR="00797B1A" w:rsidSect="009530A6">
          <w:pgSz w:w="12240" w:h="15840"/>
          <w:pgMar w:top="1440" w:right="1080" w:bottom="1440" w:left="1800" w:header="720" w:footer="720" w:gutter="0"/>
          <w:cols w:space="720"/>
          <w:docGrid w:linePitch="360"/>
        </w:sectPr>
      </w:pPr>
    </w:p>
    <w:p w:rsidR="00797B1A" w:rsidRDefault="00797B1A" w:rsidP="005F7C09">
      <w:pPr>
        <w:jc w:val="both"/>
      </w:pPr>
    </w:p>
    <w:p w:rsidR="00BF0185" w:rsidRDefault="009E34E0" w:rsidP="005F7C09">
      <w:pPr>
        <w:jc w:val="both"/>
      </w:pPr>
      <w:r>
        <w:t>York</w:t>
      </w:r>
      <w:r w:rsidR="00223F75" w:rsidRPr="005F7C09">
        <w:t xml:space="preserve"> County had </w:t>
      </w:r>
      <w:r>
        <w:t>24</w:t>
      </w:r>
      <w:r w:rsidR="00223F75" w:rsidRPr="005F7C09">
        <w:t xml:space="preserve"> nursing home beds per 1,000 persons age 65 and above which is </w:t>
      </w:r>
      <w:r>
        <w:t>lower</w:t>
      </w:r>
      <w:r w:rsidR="00223F75" w:rsidRPr="005F7C09">
        <w:t xml:space="preserve"> than the State average of 33 beds per 1,000</w:t>
      </w:r>
      <w:r w:rsidR="00836A05" w:rsidRPr="005F7C09">
        <w:t>.</w:t>
      </w:r>
      <w:r w:rsidR="00223F75" w:rsidRPr="005F7C09">
        <w:t xml:space="preserve"> </w:t>
      </w:r>
      <w:r w:rsidR="00BF0185" w:rsidRPr="005F7C09">
        <w:t>CONU</w:t>
      </w:r>
      <w:r w:rsidR="007506B6" w:rsidRPr="005F7C09">
        <w:t xml:space="preserve"> pr</w:t>
      </w:r>
      <w:r w:rsidR="00BF0185" w:rsidRPr="005F7C09">
        <w:t>epared</w:t>
      </w:r>
      <w:r w:rsidR="007506B6" w:rsidRPr="005F7C09">
        <w:t xml:space="preserve"> a </w:t>
      </w:r>
      <w:r w:rsidR="00BF0185" w:rsidRPr="005F7C09">
        <w:t>summary of occupancy data for</w:t>
      </w:r>
      <w:r w:rsidR="007506B6" w:rsidRPr="005F7C09">
        <w:t xml:space="preserve"> </w:t>
      </w:r>
      <w:r>
        <w:t>Durgin Pines</w:t>
      </w:r>
      <w:r w:rsidR="00BF0185" w:rsidRPr="005F7C09">
        <w:t xml:space="preserve"> and other </w:t>
      </w:r>
      <w:r>
        <w:t xml:space="preserve">York </w:t>
      </w:r>
      <w:r w:rsidR="00BF0185" w:rsidRPr="005F7C09">
        <w:t>County nursing facilities using the latest data available (</w:t>
      </w:r>
      <w:r w:rsidR="00713363">
        <w:t>3</w:t>
      </w:r>
      <w:r w:rsidR="00BF0185" w:rsidRPr="005F7C09">
        <w:t>/15/201</w:t>
      </w:r>
      <w:r w:rsidR="00C17C06">
        <w:t>5</w:t>
      </w:r>
      <w:r w:rsidR="00BF0185" w:rsidRPr="005F7C09">
        <w:t>):</w:t>
      </w:r>
    </w:p>
    <w:p w:rsidR="002205A0" w:rsidRPr="005F7C09" w:rsidRDefault="002205A0" w:rsidP="005F7C09">
      <w:pPr>
        <w:jc w:val="both"/>
      </w:pPr>
    </w:p>
    <w:tbl>
      <w:tblPr>
        <w:tblW w:w="9483" w:type="dxa"/>
        <w:tblInd w:w="93" w:type="dxa"/>
        <w:tblLook w:val="04A0" w:firstRow="1" w:lastRow="0" w:firstColumn="1" w:lastColumn="0" w:noHBand="0" w:noVBand="1"/>
      </w:tblPr>
      <w:tblGrid>
        <w:gridCol w:w="4411"/>
        <w:gridCol w:w="1555"/>
        <w:gridCol w:w="886"/>
        <w:gridCol w:w="1363"/>
        <w:gridCol w:w="1268"/>
      </w:tblGrid>
      <w:tr w:rsidR="00E2169F" w:rsidTr="0079298B">
        <w:trPr>
          <w:trHeight w:val="300"/>
        </w:trPr>
        <w:tc>
          <w:tcPr>
            <w:tcW w:w="4413" w:type="dxa"/>
            <w:tcBorders>
              <w:top w:val="single" w:sz="4" w:space="0" w:color="auto"/>
              <w:left w:val="single" w:sz="4" w:space="0" w:color="auto"/>
              <w:bottom w:val="nil"/>
              <w:right w:val="nil"/>
            </w:tcBorders>
            <w:shd w:val="clear" w:color="auto" w:fill="auto"/>
            <w:noWrap/>
            <w:vAlign w:val="bottom"/>
            <w:hideMark/>
          </w:tcPr>
          <w:p w:rsidR="00E2169F" w:rsidRPr="0079298B" w:rsidRDefault="00E2169F">
            <w:pPr>
              <w:rPr>
                <w:b/>
                <w:bCs/>
                <w:color w:val="000000"/>
                <w:sz w:val="22"/>
                <w:szCs w:val="22"/>
              </w:rPr>
            </w:pPr>
            <w:r w:rsidRPr="0079298B">
              <w:rPr>
                <w:b/>
                <w:bCs/>
                <w:color w:val="000000"/>
                <w:sz w:val="22"/>
                <w:szCs w:val="22"/>
              </w:rPr>
              <w:t> </w:t>
            </w:r>
          </w:p>
        </w:tc>
        <w:tc>
          <w:tcPr>
            <w:tcW w:w="1556" w:type="dxa"/>
            <w:tcBorders>
              <w:top w:val="single" w:sz="4" w:space="0" w:color="auto"/>
              <w:left w:val="single" w:sz="4" w:space="0" w:color="auto"/>
              <w:bottom w:val="nil"/>
              <w:right w:val="nil"/>
            </w:tcBorders>
            <w:shd w:val="clear" w:color="auto" w:fill="auto"/>
            <w:noWrap/>
            <w:vAlign w:val="bottom"/>
            <w:hideMark/>
          </w:tcPr>
          <w:p w:rsidR="00E2169F" w:rsidRPr="0079298B" w:rsidRDefault="00E2169F">
            <w:pPr>
              <w:rPr>
                <w:b/>
                <w:bCs/>
                <w:color w:val="000000"/>
                <w:sz w:val="22"/>
                <w:szCs w:val="22"/>
              </w:rPr>
            </w:pPr>
            <w:r w:rsidRPr="0079298B">
              <w:rPr>
                <w:b/>
                <w:bCs/>
                <w:color w:val="000000"/>
                <w:sz w:val="22"/>
                <w:szCs w:val="22"/>
              </w:rPr>
              <w:t> </w:t>
            </w:r>
          </w:p>
        </w:tc>
        <w:tc>
          <w:tcPr>
            <w:tcW w:w="886" w:type="dxa"/>
            <w:tcBorders>
              <w:top w:val="single" w:sz="4" w:space="0" w:color="auto"/>
              <w:left w:val="single" w:sz="4" w:space="0" w:color="auto"/>
              <w:bottom w:val="nil"/>
              <w:right w:val="single" w:sz="4" w:space="0" w:color="auto"/>
            </w:tcBorders>
            <w:shd w:val="clear" w:color="auto" w:fill="auto"/>
            <w:noWrap/>
            <w:vAlign w:val="bottom"/>
            <w:hideMark/>
          </w:tcPr>
          <w:p w:rsidR="00E2169F" w:rsidRPr="0079298B" w:rsidRDefault="00E2169F">
            <w:pPr>
              <w:jc w:val="center"/>
              <w:rPr>
                <w:b/>
                <w:bCs/>
                <w:color w:val="000000"/>
                <w:sz w:val="22"/>
                <w:szCs w:val="22"/>
              </w:rPr>
            </w:pPr>
            <w:r w:rsidRPr="0079298B">
              <w:rPr>
                <w:b/>
                <w:bCs/>
                <w:color w:val="000000"/>
                <w:sz w:val="22"/>
                <w:szCs w:val="22"/>
              </w:rPr>
              <w:t>Total</w:t>
            </w:r>
          </w:p>
        </w:tc>
        <w:tc>
          <w:tcPr>
            <w:tcW w:w="1363" w:type="dxa"/>
            <w:tcBorders>
              <w:top w:val="single" w:sz="4" w:space="0" w:color="auto"/>
              <w:left w:val="nil"/>
              <w:bottom w:val="nil"/>
              <w:right w:val="single" w:sz="4" w:space="0" w:color="auto"/>
            </w:tcBorders>
            <w:shd w:val="clear" w:color="auto" w:fill="auto"/>
            <w:noWrap/>
            <w:vAlign w:val="bottom"/>
            <w:hideMark/>
          </w:tcPr>
          <w:p w:rsidR="00E2169F" w:rsidRPr="0079298B" w:rsidRDefault="00E2169F">
            <w:pPr>
              <w:jc w:val="center"/>
              <w:rPr>
                <w:b/>
                <w:bCs/>
                <w:color w:val="000000"/>
                <w:sz w:val="22"/>
                <w:szCs w:val="22"/>
              </w:rPr>
            </w:pPr>
            <w:r w:rsidRPr="0079298B">
              <w:rPr>
                <w:b/>
                <w:bCs/>
                <w:color w:val="000000"/>
                <w:sz w:val="22"/>
                <w:szCs w:val="22"/>
              </w:rPr>
              <w:t>Total</w:t>
            </w:r>
          </w:p>
        </w:tc>
        <w:tc>
          <w:tcPr>
            <w:tcW w:w="1265" w:type="dxa"/>
            <w:tcBorders>
              <w:top w:val="single" w:sz="4" w:space="0" w:color="auto"/>
              <w:left w:val="nil"/>
              <w:bottom w:val="nil"/>
              <w:right w:val="single" w:sz="4" w:space="0" w:color="auto"/>
            </w:tcBorders>
            <w:shd w:val="clear" w:color="auto" w:fill="auto"/>
            <w:noWrap/>
            <w:vAlign w:val="bottom"/>
            <w:hideMark/>
          </w:tcPr>
          <w:p w:rsidR="00E2169F" w:rsidRPr="0079298B" w:rsidRDefault="00E2169F">
            <w:pPr>
              <w:jc w:val="center"/>
              <w:rPr>
                <w:b/>
                <w:bCs/>
                <w:color w:val="000000"/>
                <w:sz w:val="22"/>
                <w:szCs w:val="22"/>
              </w:rPr>
            </w:pPr>
            <w:r w:rsidRPr="0079298B">
              <w:rPr>
                <w:b/>
                <w:bCs/>
                <w:color w:val="000000"/>
                <w:sz w:val="22"/>
                <w:szCs w:val="22"/>
              </w:rPr>
              <w:t>Occupancy</w:t>
            </w:r>
          </w:p>
        </w:tc>
      </w:tr>
      <w:tr w:rsidR="00E2169F" w:rsidTr="0079298B">
        <w:trPr>
          <w:trHeight w:val="300"/>
        </w:trPr>
        <w:tc>
          <w:tcPr>
            <w:tcW w:w="4413" w:type="dxa"/>
            <w:tcBorders>
              <w:top w:val="nil"/>
              <w:left w:val="single" w:sz="4" w:space="0" w:color="auto"/>
              <w:bottom w:val="single" w:sz="4" w:space="0" w:color="auto"/>
              <w:right w:val="nil"/>
            </w:tcBorders>
            <w:shd w:val="clear" w:color="auto" w:fill="auto"/>
            <w:noWrap/>
            <w:vAlign w:val="bottom"/>
            <w:hideMark/>
          </w:tcPr>
          <w:p w:rsidR="00E2169F" w:rsidRPr="0079298B" w:rsidRDefault="00E2169F">
            <w:pPr>
              <w:rPr>
                <w:b/>
                <w:bCs/>
                <w:color w:val="000000"/>
                <w:sz w:val="22"/>
                <w:szCs w:val="22"/>
              </w:rPr>
            </w:pPr>
            <w:r w:rsidRPr="0079298B">
              <w:rPr>
                <w:b/>
                <w:bCs/>
                <w:color w:val="000000"/>
                <w:sz w:val="22"/>
                <w:szCs w:val="22"/>
              </w:rPr>
              <w:t>Nursing Facilities: York County</w:t>
            </w:r>
          </w:p>
        </w:tc>
        <w:tc>
          <w:tcPr>
            <w:tcW w:w="1556" w:type="dxa"/>
            <w:tcBorders>
              <w:top w:val="nil"/>
              <w:left w:val="single" w:sz="4" w:space="0" w:color="auto"/>
              <w:bottom w:val="single" w:sz="4" w:space="0" w:color="auto"/>
              <w:right w:val="nil"/>
            </w:tcBorders>
            <w:shd w:val="clear" w:color="auto" w:fill="auto"/>
            <w:noWrap/>
            <w:vAlign w:val="bottom"/>
            <w:hideMark/>
          </w:tcPr>
          <w:p w:rsidR="00E2169F" w:rsidRPr="0079298B" w:rsidRDefault="00E2169F">
            <w:pPr>
              <w:jc w:val="center"/>
              <w:rPr>
                <w:b/>
                <w:bCs/>
                <w:color w:val="000000"/>
                <w:sz w:val="22"/>
                <w:szCs w:val="22"/>
              </w:rPr>
            </w:pPr>
            <w:r w:rsidRPr="0079298B">
              <w:rPr>
                <w:b/>
                <w:bCs/>
                <w:color w:val="000000"/>
                <w:sz w:val="22"/>
                <w:szCs w:val="22"/>
              </w:rPr>
              <w:t>City/Town</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jc w:val="center"/>
              <w:rPr>
                <w:b/>
                <w:bCs/>
                <w:color w:val="000000"/>
                <w:sz w:val="22"/>
                <w:szCs w:val="22"/>
              </w:rPr>
            </w:pPr>
            <w:r w:rsidRPr="0079298B">
              <w:rPr>
                <w:b/>
                <w:bCs/>
                <w:color w:val="000000"/>
                <w:sz w:val="22"/>
                <w:szCs w:val="22"/>
              </w:rPr>
              <w:t>Beds</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center"/>
              <w:rPr>
                <w:b/>
                <w:bCs/>
                <w:color w:val="000000"/>
                <w:sz w:val="22"/>
                <w:szCs w:val="22"/>
              </w:rPr>
            </w:pPr>
            <w:r w:rsidRPr="0079298B">
              <w:rPr>
                <w:b/>
                <w:bCs/>
                <w:color w:val="000000"/>
                <w:sz w:val="22"/>
                <w:szCs w:val="22"/>
              </w:rPr>
              <w:t>Occupancy</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center"/>
              <w:rPr>
                <w:b/>
                <w:bCs/>
                <w:color w:val="000000"/>
                <w:sz w:val="22"/>
                <w:szCs w:val="22"/>
              </w:rPr>
            </w:pPr>
            <w:r w:rsidRPr="0079298B">
              <w:rPr>
                <w:b/>
                <w:bCs/>
                <w:color w:val="000000"/>
                <w:sz w:val="22"/>
                <w:szCs w:val="22"/>
              </w:rPr>
              <w:t>%</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Seal Rock Health Care</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Saco</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105</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100</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95.24%</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b/>
                <w:bCs/>
                <w:color w:val="000000"/>
                <w:sz w:val="22"/>
                <w:szCs w:val="22"/>
              </w:rPr>
            </w:pPr>
            <w:r w:rsidRPr="0079298B">
              <w:rPr>
                <w:b/>
                <w:bCs/>
                <w:color w:val="000000"/>
                <w:sz w:val="22"/>
                <w:szCs w:val="22"/>
              </w:rPr>
              <w:t>Durgin Pines</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b/>
                <w:bCs/>
                <w:color w:val="000000"/>
                <w:sz w:val="22"/>
                <w:szCs w:val="22"/>
              </w:rPr>
            </w:pPr>
            <w:r w:rsidRPr="0079298B">
              <w:rPr>
                <w:b/>
                <w:bCs/>
                <w:color w:val="000000"/>
                <w:sz w:val="22"/>
                <w:szCs w:val="22"/>
              </w:rPr>
              <w:t>Kittery</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b/>
                <w:bCs/>
                <w:color w:val="000000"/>
                <w:sz w:val="22"/>
                <w:szCs w:val="22"/>
              </w:rPr>
            </w:pPr>
            <w:r w:rsidRPr="0079298B">
              <w:rPr>
                <w:b/>
                <w:bCs/>
                <w:color w:val="000000"/>
                <w:sz w:val="22"/>
                <w:szCs w:val="22"/>
              </w:rPr>
              <w:t>81</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b/>
                <w:bCs/>
                <w:color w:val="000000"/>
                <w:sz w:val="22"/>
                <w:szCs w:val="22"/>
              </w:rPr>
            </w:pPr>
            <w:r w:rsidRPr="0079298B">
              <w:rPr>
                <w:b/>
                <w:bCs/>
                <w:color w:val="000000"/>
                <w:sz w:val="22"/>
                <w:szCs w:val="22"/>
              </w:rPr>
              <w:t>73</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b/>
                <w:bCs/>
                <w:color w:val="000000"/>
                <w:sz w:val="22"/>
                <w:szCs w:val="22"/>
              </w:rPr>
            </w:pPr>
            <w:r w:rsidRPr="0079298B">
              <w:rPr>
                <w:b/>
                <w:bCs/>
                <w:color w:val="000000"/>
                <w:sz w:val="22"/>
                <w:szCs w:val="22"/>
              </w:rPr>
              <w:t>90.12%</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St Andre Health Care Facility</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Biddeford</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96</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86</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89.58%</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Kennebunk Center For Health &amp; Rehabilitation</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Kennebunk</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78</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81</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103.85%</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Greenwood Center</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Sanford</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86</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70</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81.40%</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The Newton Ctr For Rehab &amp; Nur</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Sanford</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74</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62</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83.78%</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Varney Crossing NCC</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North Berwick</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64</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57</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89.06%</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River Ridge Center</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Kennebunk</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62</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58</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93.55%</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Evergreen Manor</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Saco</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42</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37</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88.10%</w:t>
            </w:r>
          </w:p>
        </w:tc>
      </w:tr>
      <w:tr w:rsidR="00E2169F" w:rsidTr="0079298B">
        <w:trPr>
          <w:trHeight w:val="300"/>
        </w:trPr>
        <w:tc>
          <w:tcPr>
            <w:tcW w:w="4413" w:type="dxa"/>
            <w:tcBorders>
              <w:top w:val="nil"/>
              <w:left w:val="single" w:sz="4" w:space="0" w:color="auto"/>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Southridge Rehab &amp; Living Ctr</w:t>
            </w:r>
          </w:p>
        </w:tc>
        <w:tc>
          <w:tcPr>
            <w:tcW w:w="155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rPr>
                <w:color w:val="000000"/>
                <w:sz w:val="22"/>
                <w:szCs w:val="22"/>
              </w:rPr>
            </w:pPr>
            <w:r w:rsidRPr="0079298B">
              <w:rPr>
                <w:color w:val="000000"/>
                <w:sz w:val="22"/>
                <w:szCs w:val="22"/>
              </w:rPr>
              <w:t>Biddeford</w:t>
            </w:r>
          </w:p>
        </w:tc>
        <w:tc>
          <w:tcPr>
            <w:tcW w:w="886"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65</w:t>
            </w:r>
          </w:p>
        </w:tc>
        <w:tc>
          <w:tcPr>
            <w:tcW w:w="1363"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56</w:t>
            </w:r>
          </w:p>
        </w:tc>
        <w:tc>
          <w:tcPr>
            <w:tcW w:w="1265" w:type="dxa"/>
            <w:tcBorders>
              <w:top w:val="nil"/>
              <w:left w:val="nil"/>
              <w:bottom w:val="single" w:sz="4" w:space="0" w:color="auto"/>
              <w:right w:val="single" w:sz="4" w:space="0" w:color="auto"/>
            </w:tcBorders>
            <w:shd w:val="clear" w:color="auto" w:fill="auto"/>
            <w:noWrap/>
            <w:vAlign w:val="bottom"/>
            <w:hideMark/>
          </w:tcPr>
          <w:p w:rsidR="00E2169F" w:rsidRPr="0079298B" w:rsidRDefault="00E2169F">
            <w:pPr>
              <w:jc w:val="right"/>
              <w:rPr>
                <w:color w:val="000000"/>
                <w:sz w:val="22"/>
                <w:szCs w:val="22"/>
              </w:rPr>
            </w:pPr>
            <w:r w:rsidRPr="0079298B">
              <w:rPr>
                <w:color w:val="000000"/>
                <w:sz w:val="22"/>
                <w:szCs w:val="22"/>
              </w:rPr>
              <w:t>86.15%</w:t>
            </w:r>
          </w:p>
        </w:tc>
      </w:tr>
    </w:tbl>
    <w:p w:rsidR="00BF0185" w:rsidRPr="005F7C09" w:rsidRDefault="00BF0185" w:rsidP="005F7C09">
      <w:pPr>
        <w:jc w:val="both"/>
        <w:rPr>
          <w:sz w:val="16"/>
          <w:szCs w:val="16"/>
          <w:highlight w:val="yellow"/>
        </w:rPr>
      </w:pPr>
    </w:p>
    <w:p w:rsidR="008C7487" w:rsidRPr="005F7C09" w:rsidRDefault="008C2C87" w:rsidP="005F7C09">
      <w:pPr>
        <w:jc w:val="both"/>
      </w:pPr>
      <w:r>
        <w:t>Durgin Pines</w:t>
      </w:r>
      <w:r w:rsidR="007506B6" w:rsidRPr="005F7C09">
        <w:t xml:space="preserve"> occupancy rates compare favorably with other providers </w:t>
      </w:r>
      <w:r w:rsidR="00E87D20" w:rsidRPr="005F7C09">
        <w:t>at 9</w:t>
      </w:r>
      <w:r w:rsidR="00E2169F">
        <w:t>0.12</w:t>
      </w:r>
      <w:r>
        <w:t>%</w:t>
      </w:r>
      <w:r w:rsidR="00E87D20" w:rsidRPr="005F7C09">
        <w:t>.</w:t>
      </w:r>
      <w:r w:rsidR="007506B6" w:rsidRPr="005F7C09">
        <w:t xml:space="preserve"> </w:t>
      </w:r>
      <w:r w:rsidR="008D61DE">
        <w:t xml:space="preserve">Data submitted by the applicant shows an occupancy rate of over 90% since 2011. </w:t>
      </w:r>
      <w:r w:rsidR="008C7487" w:rsidRPr="005F7C09">
        <w:t xml:space="preserve">This transaction involves the change of ownership of </w:t>
      </w:r>
      <w:r>
        <w:t>Durgin Pines</w:t>
      </w:r>
      <w:r w:rsidR="008C7487" w:rsidRPr="005F7C09">
        <w:t xml:space="preserve"> which has served the </w:t>
      </w:r>
      <w:r>
        <w:t>York</w:t>
      </w:r>
      <w:r w:rsidR="008C7487" w:rsidRPr="005F7C09">
        <w:t xml:space="preserve"> County area </w:t>
      </w:r>
      <w:r>
        <w:t>since 2008.</w:t>
      </w:r>
      <w:r w:rsidR="008C7487" w:rsidRPr="005F7C09">
        <w:t xml:space="preserve"> The demographics of </w:t>
      </w:r>
      <w:r>
        <w:t>York</w:t>
      </w:r>
      <w:r w:rsidR="008C7487" w:rsidRPr="005F7C09">
        <w:t xml:space="preserve"> County along with </w:t>
      </w:r>
      <w:r w:rsidR="008D61DE">
        <w:t>Durgin Pines</w:t>
      </w:r>
      <w:r w:rsidR="008C7487" w:rsidRPr="005F7C09">
        <w:t xml:space="preserve"> occupancy data clearly demonstrate a need for SNF/NF</w:t>
      </w:r>
      <w:r w:rsidR="00E87D20" w:rsidRPr="005F7C09">
        <w:t xml:space="preserve"> services in the area.</w:t>
      </w:r>
      <w:r w:rsidR="00131E2F" w:rsidRPr="005F7C09">
        <w:t xml:space="preserve"> </w:t>
      </w:r>
      <w:r w:rsidR="00D53D4F">
        <w:t>(Note: Both G</w:t>
      </w:r>
      <w:r w:rsidR="00713363">
        <w:t xml:space="preserve">reenwood Center </w:t>
      </w:r>
      <w:r w:rsidR="00D53D4F">
        <w:t>and The Newton Center exceed an 85% occupancy during the majority of the past six months)</w:t>
      </w:r>
      <w:r w:rsidR="00A17EDB">
        <w:t xml:space="preserve">. </w:t>
      </w:r>
      <w:r w:rsidR="00681BA3">
        <w:t>The</w:t>
      </w:r>
      <w:r w:rsidR="00131E2F" w:rsidRPr="005F7C09">
        <w:t xml:space="preserve"> occupancy data included above demonstrates that the </w:t>
      </w:r>
      <w:r w:rsidR="005631A1">
        <w:t xml:space="preserve">York </w:t>
      </w:r>
      <w:r w:rsidR="00131E2F" w:rsidRPr="005F7C09">
        <w:t xml:space="preserve">County facilities average greater than </w:t>
      </w:r>
      <w:r w:rsidR="00317A77" w:rsidRPr="005F7C09">
        <w:t>a</w:t>
      </w:r>
      <w:r w:rsidR="00131E2F" w:rsidRPr="005F7C09">
        <w:t xml:space="preserve"> </w:t>
      </w:r>
      <w:r>
        <w:t>9</w:t>
      </w:r>
      <w:r w:rsidR="00E2169F">
        <w:t>0</w:t>
      </w:r>
      <w:r>
        <w:t>%</w:t>
      </w:r>
      <w:r w:rsidR="00131E2F" w:rsidRPr="005F7C09">
        <w:t xml:space="preserve"> occupancy.</w:t>
      </w:r>
    </w:p>
    <w:p w:rsidR="00A8281F" w:rsidRPr="005F7C09" w:rsidRDefault="00A8281F" w:rsidP="005F7C09">
      <w:pPr>
        <w:jc w:val="both"/>
        <w:rPr>
          <w:sz w:val="16"/>
          <w:szCs w:val="16"/>
        </w:rPr>
      </w:pPr>
    </w:p>
    <w:p w:rsidR="008C7487" w:rsidRPr="005F7C09" w:rsidRDefault="008C7487" w:rsidP="005F7C09">
      <w:pPr>
        <w:jc w:val="both"/>
      </w:pPr>
      <w:r w:rsidRPr="005F7C09">
        <w:t>Retaining needed SNF/NF</w:t>
      </w:r>
      <w:r w:rsidR="00975CF1">
        <w:t xml:space="preserve"> </w:t>
      </w:r>
      <w:r w:rsidRPr="005F7C09">
        <w:t>services will have a positive impact on the health status indicators of the population to be served. Th</w:t>
      </w:r>
      <w:r w:rsidR="00975CF1">
        <w:t>e skilled unit</w:t>
      </w:r>
      <w:r w:rsidRPr="005F7C09">
        <w:t xml:space="preserve"> enables residents to remain close to home and family while receiving services.</w:t>
      </w:r>
      <w:r w:rsidR="002C2748" w:rsidRPr="005F7C09">
        <w:t xml:space="preserve"> </w:t>
      </w:r>
      <w:r w:rsidR="00975CF1">
        <w:t>Approximately 85-90% of residents served returned to their prior livi</w:t>
      </w:r>
      <w:r w:rsidR="0079298B">
        <w:t>ng arrangement after treatment.</w:t>
      </w:r>
    </w:p>
    <w:p w:rsidR="008C7487" w:rsidRPr="005F7C09" w:rsidRDefault="008C7487" w:rsidP="005F7C09">
      <w:pPr>
        <w:jc w:val="both"/>
        <w:rPr>
          <w:sz w:val="16"/>
          <w:szCs w:val="16"/>
        </w:rPr>
      </w:pPr>
    </w:p>
    <w:p w:rsidR="002C2748" w:rsidRDefault="00C009B9" w:rsidP="005F7C09">
      <w:pPr>
        <w:jc w:val="both"/>
      </w:pPr>
      <w:r>
        <w:t>No services will be affected by this project and both skilled and long-term care services will be</w:t>
      </w:r>
      <w:r w:rsidR="008C7487" w:rsidRPr="005F7C09">
        <w:t xml:space="preserve"> accessibl</w:t>
      </w:r>
      <w:r w:rsidR="002C0659" w:rsidRPr="005F7C09">
        <w:t>e to all residents in the area.</w:t>
      </w:r>
    </w:p>
    <w:p w:rsidR="00C009B9" w:rsidRDefault="00C009B9" w:rsidP="005F7C09">
      <w:pPr>
        <w:jc w:val="both"/>
      </w:pPr>
    </w:p>
    <w:p w:rsidR="0082312D" w:rsidRDefault="0082312D" w:rsidP="005F7C09">
      <w:pPr>
        <w:jc w:val="both"/>
      </w:pPr>
      <w:r>
        <w:t xml:space="preserve">As stated by the applicant this facility strives to provide quality services in the York County area. </w:t>
      </w:r>
      <w:r w:rsidR="005C6542">
        <w:t>The facility has achieved several quality benchmarks and has received recognition from numerous organizations in regards to quality and the array of services the facility offers.</w:t>
      </w:r>
    </w:p>
    <w:p w:rsidR="00691004" w:rsidRPr="005F7C09" w:rsidRDefault="00691004" w:rsidP="005F7C09">
      <w:pPr>
        <w:jc w:val="both"/>
        <w:rPr>
          <w:sz w:val="16"/>
          <w:szCs w:val="16"/>
        </w:rPr>
      </w:pPr>
    </w:p>
    <w:p w:rsidR="002E65D9" w:rsidRDefault="002E65D9" w:rsidP="005F7C09">
      <w:pPr>
        <w:jc w:val="both"/>
        <w:rPr>
          <w:b/>
        </w:rPr>
      </w:pPr>
    </w:p>
    <w:p w:rsidR="00B132AC" w:rsidRPr="005F7C09" w:rsidRDefault="008E41AC" w:rsidP="00797B1A">
      <w:pPr>
        <w:pStyle w:val="ListParagraph"/>
        <w:numPr>
          <w:ilvl w:val="0"/>
          <w:numId w:val="36"/>
        </w:numPr>
        <w:ind w:left="720"/>
        <w:jc w:val="both"/>
      </w:pPr>
      <w:r w:rsidRPr="00797B1A">
        <w:rPr>
          <w:b/>
        </w:rPr>
        <w:t xml:space="preserve">Conclusion </w:t>
      </w:r>
    </w:p>
    <w:p w:rsidR="00D77F04" w:rsidRPr="005F7C09" w:rsidRDefault="00D77F04" w:rsidP="005F7C09">
      <w:pPr>
        <w:jc w:val="both"/>
        <w:rPr>
          <w:sz w:val="16"/>
          <w:szCs w:val="16"/>
        </w:rPr>
      </w:pPr>
    </w:p>
    <w:p w:rsidR="00D77F04" w:rsidRPr="005F7C09" w:rsidRDefault="00604E26" w:rsidP="005F7C09">
      <w:pPr>
        <w:jc w:val="both"/>
      </w:pPr>
      <w:r w:rsidRPr="005F7C09">
        <w:t>C</w:t>
      </w:r>
      <w:r w:rsidR="0079298B">
        <w:t>ON</w:t>
      </w:r>
      <w:r w:rsidRPr="005F7C09">
        <w:t xml:space="preserve"> Unit</w:t>
      </w:r>
      <w:r w:rsidR="00D77F04" w:rsidRPr="005F7C09">
        <w:t xml:space="preserve"> recommends that </w:t>
      </w:r>
      <w:r w:rsidR="004D00D7" w:rsidRPr="005F7C09">
        <w:t>the Commissioner find</w:t>
      </w:r>
      <w:r w:rsidR="00D77F04" w:rsidRPr="005F7C09">
        <w:t xml:space="preserve"> </w:t>
      </w:r>
      <w:r w:rsidR="00DF01D6" w:rsidRPr="005F7C09">
        <w:t xml:space="preserve">that </w:t>
      </w:r>
      <w:r w:rsidR="00797D9C" w:rsidRPr="005F7C09">
        <w:t xml:space="preserve">the applicant </w:t>
      </w:r>
      <w:r w:rsidR="00C91110" w:rsidRPr="005F7C09">
        <w:t>ha</w:t>
      </w:r>
      <w:r w:rsidR="00797D9C" w:rsidRPr="005F7C09">
        <w:t>s</w:t>
      </w:r>
      <w:r w:rsidR="00C91110" w:rsidRPr="005F7C09">
        <w:t xml:space="preserve"> met their</w:t>
      </w:r>
      <w:r w:rsidR="00D77F04" w:rsidRPr="005F7C09">
        <w:t xml:space="preserve"> burden to show that </w:t>
      </w:r>
      <w:r w:rsidR="00390593" w:rsidRPr="005F7C09">
        <w:t>there is a publi</w:t>
      </w:r>
      <w:r w:rsidR="00DF2477" w:rsidRPr="005F7C09">
        <w:t>c need for the proposed project</w:t>
      </w:r>
      <w:r w:rsidR="00390593" w:rsidRPr="005F7C09">
        <w:t xml:space="preserve">. </w:t>
      </w:r>
    </w:p>
    <w:p w:rsidR="00816CFD" w:rsidRPr="005F7C09" w:rsidRDefault="00816CFD" w:rsidP="005F7C09">
      <w:pPr>
        <w:jc w:val="both"/>
      </w:pPr>
    </w:p>
    <w:p w:rsidR="00D77F04" w:rsidRPr="005F7C09" w:rsidRDefault="00D77F04" w:rsidP="005F7C09">
      <w:pPr>
        <w:jc w:val="both"/>
        <w:sectPr w:rsidR="00D77F04" w:rsidRPr="005F7C09" w:rsidSect="009530A6">
          <w:pgSz w:w="12240" w:h="15840"/>
          <w:pgMar w:top="1440" w:right="1080" w:bottom="1440" w:left="1800" w:header="720" w:footer="720" w:gutter="0"/>
          <w:cols w:space="720"/>
          <w:docGrid w:linePitch="360"/>
        </w:sectPr>
      </w:pPr>
    </w:p>
    <w:p w:rsidR="004336AF" w:rsidRPr="00797B1A" w:rsidRDefault="004336AF" w:rsidP="00797B1A">
      <w:pPr>
        <w:pStyle w:val="Heading1"/>
        <w:spacing w:before="100" w:beforeAutospacing="1" w:after="0"/>
        <w:jc w:val="both"/>
        <w:rPr>
          <w:rFonts w:ascii="Times New Roman" w:hAnsi="Times New Roman" w:cs="Times New Roman"/>
        </w:rPr>
      </w:pPr>
      <w:bookmarkStart w:id="16" w:name="_Ref195319951"/>
      <w:r w:rsidRPr="00797B1A">
        <w:rPr>
          <w:rFonts w:ascii="Times New Roman" w:hAnsi="Times New Roman" w:cs="Times New Roman"/>
        </w:rPr>
        <w:lastRenderedPageBreak/>
        <w:t xml:space="preserve">V. </w:t>
      </w:r>
      <w:bookmarkEnd w:id="16"/>
      <w:r w:rsidR="00CF12AC" w:rsidRPr="00797B1A">
        <w:rPr>
          <w:rFonts w:ascii="Times New Roman" w:hAnsi="Times New Roman" w:cs="Times New Roman"/>
        </w:rPr>
        <w:t>Orderly and Economic Development</w:t>
      </w:r>
    </w:p>
    <w:p w:rsidR="00C841B6" w:rsidRPr="0079298B" w:rsidRDefault="00C841B6" w:rsidP="005F7C09">
      <w:pPr>
        <w:jc w:val="both"/>
      </w:pPr>
    </w:p>
    <w:p w:rsidR="00664296" w:rsidRPr="005F7C09" w:rsidRDefault="00555A69" w:rsidP="00797B1A">
      <w:pPr>
        <w:jc w:val="both"/>
        <w:rPr>
          <w:b/>
        </w:rPr>
      </w:pPr>
      <w:r w:rsidRPr="005F7C09">
        <w:rPr>
          <w:b/>
        </w:rPr>
        <w:t xml:space="preserve">A. </w:t>
      </w:r>
      <w:r w:rsidR="000B726F">
        <w:rPr>
          <w:b/>
        </w:rPr>
        <w:tab/>
      </w:r>
      <w:r w:rsidR="00797B1A">
        <w:rPr>
          <w:b/>
        </w:rPr>
        <w:t>From Applicant</w:t>
      </w:r>
    </w:p>
    <w:p w:rsidR="00E46A96" w:rsidRPr="0079298B" w:rsidRDefault="00E46A96" w:rsidP="005F7C09">
      <w:pPr>
        <w:jc w:val="both"/>
      </w:pPr>
    </w:p>
    <w:p w:rsidR="00DD0FC0" w:rsidRPr="00797B1A" w:rsidRDefault="00475E8E" w:rsidP="00DD0FC0">
      <w:pPr>
        <w:widowControl w:val="0"/>
        <w:tabs>
          <w:tab w:val="left" w:pos="450"/>
        </w:tabs>
        <w:autoSpaceDE w:val="0"/>
        <w:autoSpaceDN w:val="0"/>
        <w:adjustRightInd w:val="0"/>
        <w:jc w:val="both"/>
        <w:rPr>
          <w:rFonts w:eastAsia="Calibri"/>
          <w:sz w:val="22"/>
          <w:szCs w:val="22"/>
        </w:rPr>
      </w:pPr>
      <w:r>
        <w:rPr>
          <w:rFonts w:eastAsia="Calibri"/>
          <w:sz w:val="22"/>
          <w:szCs w:val="22"/>
        </w:rPr>
        <w:t>“</w:t>
      </w:r>
      <w:r w:rsidR="00DD0FC0" w:rsidRPr="00797B1A">
        <w:rPr>
          <w:rFonts w:eastAsia="Calibri"/>
          <w:sz w:val="22"/>
          <w:szCs w:val="22"/>
        </w:rPr>
        <w:t>There are no anticipated changes to the MaineCare direct and routine rates paid to Durgin Pines as a result of the proposed change of ownership. The assumption of current rates, no changes to bed licenses, no anticipated increases in total or MaineCare occupancy and no planned capital expenditures significantly impacting MaineCare reimbursement or above Certificate of Need review limitations as a result of this change of ownership demonstrates MaineCare neutrality. In addition, the anticipated refinancing is not expected to negatively impact MaineCare neutrality requirements.</w:t>
      </w:r>
      <w:r>
        <w:rPr>
          <w:rFonts w:eastAsia="Calibri"/>
          <w:sz w:val="22"/>
          <w:szCs w:val="22"/>
        </w:rPr>
        <w:t>”</w:t>
      </w:r>
    </w:p>
    <w:p w:rsidR="00DD0FC0" w:rsidRPr="00797B1A" w:rsidRDefault="00DD0FC0" w:rsidP="00DD0FC0">
      <w:pPr>
        <w:widowControl w:val="0"/>
        <w:tabs>
          <w:tab w:val="left" w:pos="450"/>
        </w:tabs>
        <w:autoSpaceDE w:val="0"/>
        <w:autoSpaceDN w:val="0"/>
        <w:adjustRightInd w:val="0"/>
        <w:jc w:val="both"/>
        <w:rPr>
          <w:rFonts w:eastAsia="Calibri"/>
          <w:sz w:val="22"/>
          <w:szCs w:val="22"/>
        </w:rPr>
      </w:pPr>
    </w:p>
    <w:p w:rsidR="00DD0FC0" w:rsidRPr="00797B1A" w:rsidRDefault="00475E8E" w:rsidP="00DD0FC0">
      <w:pPr>
        <w:widowControl w:val="0"/>
        <w:tabs>
          <w:tab w:val="left" w:pos="450"/>
        </w:tabs>
        <w:autoSpaceDE w:val="0"/>
        <w:autoSpaceDN w:val="0"/>
        <w:adjustRightInd w:val="0"/>
        <w:jc w:val="both"/>
        <w:rPr>
          <w:rFonts w:eastAsia="Calibri"/>
          <w:sz w:val="22"/>
          <w:szCs w:val="22"/>
        </w:rPr>
      </w:pPr>
      <w:r>
        <w:rPr>
          <w:rFonts w:eastAsia="Calibri"/>
          <w:sz w:val="22"/>
          <w:szCs w:val="22"/>
        </w:rPr>
        <w:t>“</w:t>
      </w:r>
      <w:r w:rsidR="00DD0FC0" w:rsidRPr="00797B1A">
        <w:rPr>
          <w:rFonts w:eastAsia="Calibri"/>
          <w:sz w:val="22"/>
          <w:szCs w:val="22"/>
        </w:rPr>
        <w:t xml:space="preserve">Management is currently evaluating an expansion to Durgin Pines primarily for a rehabilitation gym with office space on the second level. The impetus for this expansion is a response to the need for a larger treatment space given the volume of rehabilitative services provided at Durgin Pines. The current gym space is not meeting the need of the resident population or fostering the ability to improve the quality and scope of rehabilitation offerings. The current rehabilitation gym will be repurposed into a multipurpose room, primarily for patient activities and staff education/meetings. This project is in the preliminary scoping phase. Management plans to obtain final estimates relative to this project and begin construction in 2016. Although the current rehabilitation space will become allowable under the MaineCare Principles of Reimbursement because of its repurposed use, the majority of the expanded square footage will be </w:t>
      </w:r>
      <w:r w:rsidR="005555D2" w:rsidRPr="00797B1A">
        <w:rPr>
          <w:rFonts w:eastAsia="Calibri"/>
          <w:sz w:val="22"/>
          <w:szCs w:val="22"/>
        </w:rPr>
        <w:t>non</w:t>
      </w:r>
      <w:r w:rsidR="005555D2">
        <w:rPr>
          <w:rFonts w:eastAsia="Calibri"/>
          <w:sz w:val="22"/>
          <w:szCs w:val="22"/>
        </w:rPr>
        <w:t>-</w:t>
      </w:r>
      <w:r w:rsidR="005555D2" w:rsidRPr="00797B1A">
        <w:rPr>
          <w:rFonts w:eastAsia="Calibri"/>
          <w:sz w:val="22"/>
          <w:szCs w:val="22"/>
        </w:rPr>
        <w:t>reimburseable</w:t>
      </w:r>
      <w:r w:rsidR="00DD0FC0" w:rsidRPr="00797B1A">
        <w:rPr>
          <w:rFonts w:eastAsia="Calibri"/>
          <w:sz w:val="22"/>
          <w:szCs w:val="22"/>
        </w:rPr>
        <w:t xml:space="preserve"> for MaineCare purposes. In addition, overall project costs are anticipated to be well below the Certificate of Need review threshold. Due to these factors in addition to the very preliminary phase of the project, costs related to this expansion are not included in the pro forma cost report or related assumptions included in Exhibits C and C.1. Funds for this project may be available from the HUD-insured refinancing; however, the details have not yet been determined.</w:t>
      </w:r>
      <w:r>
        <w:rPr>
          <w:rFonts w:eastAsia="Calibri"/>
          <w:sz w:val="22"/>
          <w:szCs w:val="22"/>
        </w:rPr>
        <w:t>”</w:t>
      </w:r>
    </w:p>
    <w:p w:rsidR="00DD0FC0" w:rsidRPr="00797B1A" w:rsidRDefault="00DD0FC0" w:rsidP="00DD0FC0">
      <w:pPr>
        <w:widowControl w:val="0"/>
        <w:tabs>
          <w:tab w:val="left" w:pos="450"/>
        </w:tabs>
        <w:autoSpaceDE w:val="0"/>
        <w:autoSpaceDN w:val="0"/>
        <w:adjustRightInd w:val="0"/>
        <w:jc w:val="both"/>
        <w:rPr>
          <w:rFonts w:eastAsia="Calibri"/>
          <w:sz w:val="22"/>
          <w:szCs w:val="22"/>
        </w:rPr>
      </w:pPr>
    </w:p>
    <w:p w:rsidR="00797B1A" w:rsidRDefault="00475E8E" w:rsidP="00A209F2">
      <w:pPr>
        <w:widowControl w:val="0"/>
        <w:tabs>
          <w:tab w:val="left" w:pos="450"/>
        </w:tabs>
        <w:autoSpaceDE w:val="0"/>
        <w:autoSpaceDN w:val="0"/>
        <w:adjustRightInd w:val="0"/>
        <w:jc w:val="both"/>
        <w:rPr>
          <w:rFonts w:eastAsia="Calibri"/>
          <w:sz w:val="22"/>
          <w:szCs w:val="22"/>
        </w:rPr>
      </w:pPr>
      <w:r>
        <w:rPr>
          <w:rFonts w:eastAsia="Calibri"/>
          <w:sz w:val="22"/>
          <w:szCs w:val="22"/>
        </w:rPr>
        <w:t>“</w:t>
      </w:r>
      <w:r w:rsidR="00DD0FC0" w:rsidRPr="00797B1A">
        <w:rPr>
          <w:rFonts w:eastAsia="Calibri"/>
          <w:sz w:val="22"/>
          <w:szCs w:val="22"/>
        </w:rPr>
        <w:t xml:space="preserve">There is no practicable alternative to the change of ownership other than the death of one of the partners or the purchase of Durgin Pines by a separate investor. The proposed change in ownership discussed in section </w:t>
      </w:r>
      <w:r w:rsidR="00DD0FC0" w:rsidRPr="00797B1A">
        <w:rPr>
          <w:rFonts w:eastAsia="Calibri"/>
          <w:b/>
          <w:sz w:val="22"/>
          <w:szCs w:val="22"/>
        </w:rPr>
        <w:t>I. Abstract</w:t>
      </w:r>
      <w:r w:rsidR="00DD0FC0" w:rsidRPr="00797B1A">
        <w:rPr>
          <w:rFonts w:eastAsia="Calibri"/>
          <w:sz w:val="22"/>
          <w:szCs w:val="22"/>
        </w:rPr>
        <w:t xml:space="preserve"> is the most seamless to the quality of care initiatives and outcomes at Durgin Pines.</w:t>
      </w:r>
      <w:r>
        <w:rPr>
          <w:rFonts w:eastAsia="Calibri"/>
          <w:sz w:val="22"/>
          <w:szCs w:val="22"/>
        </w:rPr>
        <w:t>”</w:t>
      </w:r>
    </w:p>
    <w:p w:rsidR="00A209F2" w:rsidRDefault="00A209F2" w:rsidP="00A209F2">
      <w:pPr>
        <w:widowControl w:val="0"/>
        <w:tabs>
          <w:tab w:val="left" w:pos="450"/>
        </w:tabs>
        <w:autoSpaceDE w:val="0"/>
        <w:autoSpaceDN w:val="0"/>
        <w:adjustRightInd w:val="0"/>
        <w:jc w:val="both"/>
        <w:rPr>
          <w:b/>
        </w:rPr>
      </w:pPr>
    </w:p>
    <w:p w:rsidR="008E41AC" w:rsidRPr="005F7C09" w:rsidRDefault="00555A69" w:rsidP="00797B1A">
      <w:pPr>
        <w:jc w:val="both"/>
        <w:rPr>
          <w:b/>
        </w:rPr>
      </w:pPr>
      <w:r w:rsidRPr="005F7C09">
        <w:rPr>
          <w:b/>
        </w:rPr>
        <w:t xml:space="preserve">B. </w:t>
      </w:r>
      <w:r w:rsidR="000B726F">
        <w:rPr>
          <w:b/>
        </w:rPr>
        <w:tab/>
      </w:r>
      <w:r w:rsidR="006A7CB7" w:rsidRPr="00C74291">
        <w:rPr>
          <w:b/>
          <w:u w:val="single"/>
        </w:rPr>
        <w:t>Certificate of Need Unit</w:t>
      </w:r>
      <w:r w:rsidR="005F7C09" w:rsidRPr="00C74291">
        <w:rPr>
          <w:b/>
          <w:u w:val="single"/>
        </w:rPr>
        <w:t xml:space="preserve"> Discussion</w:t>
      </w:r>
    </w:p>
    <w:p w:rsidR="008E41AC" w:rsidRPr="00797B1A" w:rsidRDefault="008E41AC" w:rsidP="005F7C09">
      <w:pPr>
        <w:jc w:val="both"/>
      </w:pPr>
    </w:p>
    <w:p w:rsidR="008E41AC" w:rsidRPr="00797B1A" w:rsidRDefault="001C5ECE" w:rsidP="00797B1A">
      <w:pPr>
        <w:pStyle w:val="ListParagraph"/>
        <w:numPr>
          <w:ilvl w:val="0"/>
          <w:numId w:val="37"/>
        </w:numPr>
        <w:ind w:left="720"/>
        <w:jc w:val="both"/>
        <w:rPr>
          <w:b/>
        </w:rPr>
      </w:pPr>
      <w:r w:rsidRPr="00797B1A">
        <w:rPr>
          <w:b/>
        </w:rPr>
        <w:t>C</w:t>
      </w:r>
      <w:r w:rsidR="00797B1A">
        <w:rPr>
          <w:b/>
        </w:rPr>
        <w:t>ON</w:t>
      </w:r>
      <w:r w:rsidRPr="00797B1A">
        <w:rPr>
          <w:b/>
        </w:rPr>
        <w:t xml:space="preserve"> </w:t>
      </w:r>
      <w:r w:rsidR="00E7467A" w:rsidRPr="00797B1A">
        <w:rPr>
          <w:b/>
        </w:rPr>
        <w:t>Standard</w:t>
      </w:r>
      <w:r w:rsidR="008E41AC" w:rsidRPr="00797B1A">
        <w:rPr>
          <w:b/>
        </w:rPr>
        <w:t xml:space="preserve"> </w:t>
      </w:r>
    </w:p>
    <w:p w:rsidR="008E41AC" w:rsidRPr="00797B1A" w:rsidRDefault="008E41AC" w:rsidP="005F7C09">
      <w:pPr>
        <w:jc w:val="both"/>
      </w:pPr>
    </w:p>
    <w:p w:rsidR="008E41AC" w:rsidRPr="00797B1A" w:rsidRDefault="008E41AC" w:rsidP="005F7C09">
      <w:pPr>
        <w:jc w:val="both"/>
      </w:pPr>
      <w:r w:rsidRPr="00797B1A">
        <w:t xml:space="preserve">Relevant </w:t>
      </w:r>
      <w:r w:rsidR="00E7467A" w:rsidRPr="00797B1A">
        <w:t>standard</w:t>
      </w:r>
      <w:r w:rsidR="00343C22" w:rsidRPr="00797B1A">
        <w:t>s</w:t>
      </w:r>
      <w:r w:rsidRPr="00797B1A">
        <w:t xml:space="preserve"> for inclusion in this section are specific to the determination that the proposed services are consistent with the orderly and economic development of health facilities and health resources fo</w:t>
      </w:r>
      <w:r w:rsidR="002C0659" w:rsidRPr="00797B1A">
        <w:t>r the State as demonstrated by:</w:t>
      </w:r>
    </w:p>
    <w:p w:rsidR="008E41AC" w:rsidRPr="00797B1A" w:rsidRDefault="008E41AC" w:rsidP="005F7C09">
      <w:pPr>
        <w:jc w:val="both"/>
      </w:pPr>
    </w:p>
    <w:p w:rsidR="008E41AC" w:rsidRPr="00797B1A" w:rsidRDefault="008E41AC" w:rsidP="005F7C09">
      <w:pPr>
        <w:numPr>
          <w:ilvl w:val="0"/>
          <w:numId w:val="3"/>
        </w:numPr>
        <w:jc w:val="both"/>
      </w:pPr>
      <w:r w:rsidRPr="00797B1A">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8E41AC" w:rsidRPr="00797B1A" w:rsidRDefault="008E41AC" w:rsidP="005F7C09">
      <w:pPr>
        <w:numPr>
          <w:ilvl w:val="0"/>
          <w:numId w:val="3"/>
        </w:numPr>
        <w:jc w:val="both"/>
      </w:pPr>
      <w:r w:rsidRPr="00797B1A">
        <w:t>The availability of state funds to cover any increase in state co</w:t>
      </w:r>
      <w:r w:rsidR="00D05069" w:rsidRPr="00797B1A">
        <w:t xml:space="preserve">sts associated with utilization </w:t>
      </w:r>
      <w:r w:rsidRPr="00797B1A">
        <w:t xml:space="preserve">of the project's services; and </w:t>
      </w:r>
    </w:p>
    <w:p w:rsidR="008E41AC" w:rsidRPr="00797B1A" w:rsidRDefault="008E41AC" w:rsidP="005F7C09">
      <w:pPr>
        <w:numPr>
          <w:ilvl w:val="0"/>
          <w:numId w:val="3"/>
        </w:numPr>
        <w:jc w:val="both"/>
        <w:rPr>
          <w:b/>
        </w:rPr>
      </w:pPr>
      <w:r w:rsidRPr="00797B1A">
        <w:t>The likelihood that more effective, more accessible or less costly alternative technologies or methods of service delivery may become available.</w:t>
      </w:r>
    </w:p>
    <w:p w:rsidR="00DE75CD" w:rsidRPr="00797B1A" w:rsidRDefault="00DE75CD" w:rsidP="005F7C09">
      <w:pPr>
        <w:jc w:val="both"/>
        <w:rPr>
          <w:b/>
        </w:rPr>
      </w:pPr>
    </w:p>
    <w:p w:rsidR="00A209F2" w:rsidRDefault="00A209F2" w:rsidP="00C96CA2">
      <w:pPr>
        <w:pStyle w:val="ListParagraph"/>
        <w:numPr>
          <w:ilvl w:val="0"/>
          <w:numId w:val="37"/>
        </w:numPr>
        <w:ind w:left="720"/>
        <w:jc w:val="both"/>
        <w:rPr>
          <w:b/>
        </w:rPr>
        <w:sectPr w:rsidR="00A209F2" w:rsidSect="001123F4">
          <w:headerReference w:type="default" r:id="rId19"/>
          <w:pgSz w:w="12240" w:h="15840"/>
          <w:pgMar w:top="1440" w:right="1080" w:bottom="1440" w:left="1800" w:header="720" w:footer="720" w:gutter="0"/>
          <w:cols w:space="720"/>
          <w:docGrid w:linePitch="360"/>
        </w:sectPr>
      </w:pPr>
    </w:p>
    <w:p w:rsidR="00A209F2" w:rsidRDefault="00A209F2" w:rsidP="00A209F2">
      <w:pPr>
        <w:pStyle w:val="ListParagraph"/>
        <w:jc w:val="both"/>
        <w:rPr>
          <w:b/>
        </w:rPr>
      </w:pPr>
    </w:p>
    <w:p w:rsidR="008E41AC" w:rsidRPr="00C96CA2" w:rsidRDefault="00CA7FAA" w:rsidP="00C96CA2">
      <w:pPr>
        <w:pStyle w:val="ListParagraph"/>
        <w:numPr>
          <w:ilvl w:val="0"/>
          <w:numId w:val="37"/>
        </w:numPr>
        <w:ind w:left="720"/>
        <w:jc w:val="both"/>
        <w:rPr>
          <w:b/>
        </w:rPr>
      </w:pPr>
      <w:r w:rsidRPr="00C96CA2">
        <w:rPr>
          <w:b/>
        </w:rPr>
        <w:t>C</w:t>
      </w:r>
      <w:r w:rsidR="00C74291">
        <w:rPr>
          <w:b/>
        </w:rPr>
        <w:t>ON Unit</w:t>
      </w:r>
      <w:r w:rsidR="00211D06" w:rsidRPr="00C96CA2">
        <w:rPr>
          <w:b/>
        </w:rPr>
        <w:t xml:space="preserve"> </w:t>
      </w:r>
      <w:r w:rsidR="008E41AC" w:rsidRPr="00C96CA2">
        <w:rPr>
          <w:b/>
        </w:rPr>
        <w:t>Analysis</w:t>
      </w:r>
    </w:p>
    <w:p w:rsidR="008E41AC" w:rsidRPr="00797B1A" w:rsidRDefault="008E41AC" w:rsidP="005F7C09">
      <w:pPr>
        <w:jc w:val="both"/>
        <w:rPr>
          <w:b/>
        </w:rPr>
      </w:pPr>
    </w:p>
    <w:p w:rsidR="008269F5" w:rsidRPr="00797B1A" w:rsidRDefault="001A55FA" w:rsidP="005F7C09">
      <w:pPr>
        <w:tabs>
          <w:tab w:val="left" w:pos="-180"/>
        </w:tabs>
        <w:jc w:val="both"/>
      </w:pPr>
      <w:r w:rsidRPr="00797B1A">
        <w:t>This transaction involves changing ownership of an existing facility. No major changes to services</w:t>
      </w:r>
      <w:r w:rsidR="00B942DF" w:rsidRPr="00797B1A">
        <w:t xml:space="preserve"> or</w:t>
      </w:r>
      <w:r w:rsidR="008269F5" w:rsidRPr="00797B1A">
        <w:t xml:space="preserve"> to bed licenses</w:t>
      </w:r>
      <w:r w:rsidRPr="00797B1A">
        <w:t xml:space="preserve"> are anticipated</w:t>
      </w:r>
      <w:r w:rsidR="008269F5" w:rsidRPr="00797B1A">
        <w:t>. No</w:t>
      </w:r>
      <w:r w:rsidRPr="00797B1A">
        <w:t xml:space="preserve"> additional capital expenditures or borrowings will result</w:t>
      </w:r>
      <w:r w:rsidR="002C0659" w:rsidRPr="00797B1A">
        <w:t xml:space="preserve"> due to this ownership change.</w:t>
      </w:r>
      <w:r w:rsidR="00D571F1" w:rsidRPr="00797B1A">
        <w:t xml:space="preserve"> Because of the nature of this </w:t>
      </w:r>
      <w:r w:rsidR="00317A77" w:rsidRPr="00797B1A">
        <w:t>transaction,</w:t>
      </w:r>
      <w:r w:rsidR="00D571F1" w:rsidRPr="00797B1A">
        <w:t xml:space="preserve"> there will be no impact on total health care expenditures.</w:t>
      </w:r>
    </w:p>
    <w:p w:rsidR="008269F5" w:rsidRPr="00797B1A" w:rsidRDefault="008269F5" w:rsidP="005F7C09">
      <w:pPr>
        <w:tabs>
          <w:tab w:val="left" w:pos="-180"/>
        </w:tabs>
        <w:jc w:val="both"/>
      </w:pPr>
    </w:p>
    <w:p w:rsidR="008269F5" w:rsidRPr="00797B1A" w:rsidRDefault="008269F5" w:rsidP="005F7C09">
      <w:pPr>
        <w:tabs>
          <w:tab w:val="left" w:pos="-180"/>
        </w:tabs>
        <w:jc w:val="both"/>
      </w:pPr>
      <w:r w:rsidRPr="00797B1A">
        <w:t>MaineCare reimbursem</w:t>
      </w:r>
      <w:r w:rsidR="001A55FA" w:rsidRPr="00797B1A">
        <w:t>e</w:t>
      </w:r>
      <w:r w:rsidRPr="00797B1A">
        <w:t>nt rates for direct care and routine services will not change due to this transaction</w:t>
      </w:r>
      <w:r w:rsidR="000357AA" w:rsidRPr="00797B1A">
        <w:t>.  No capital expenditures are required due to this transfer of ownership.</w:t>
      </w:r>
      <w:r w:rsidR="00D571F1" w:rsidRPr="00797B1A">
        <w:t xml:space="preserve"> Since there are no increases in state costs, the question of the availability of state funds to meet increases in state costs is </w:t>
      </w:r>
      <w:r w:rsidR="000357AA" w:rsidRPr="00797B1A">
        <w:t>not applicable to this transaction.</w:t>
      </w:r>
    </w:p>
    <w:p w:rsidR="008269F5" w:rsidRPr="00797B1A" w:rsidRDefault="008269F5" w:rsidP="005F7C09">
      <w:pPr>
        <w:tabs>
          <w:tab w:val="left" w:pos="-180"/>
        </w:tabs>
        <w:jc w:val="both"/>
      </w:pPr>
    </w:p>
    <w:p w:rsidR="001A55FA" w:rsidRPr="00797B1A" w:rsidRDefault="000357AA" w:rsidP="005F7C09">
      <w:pPr>
        <w:tabs>
          <w:tab w:val="left" w:pos="-180"/>
        </w:tabs>
        <w:jc w:val="both"/>
      </w:pPr>
      <w:r w:rsidRPr="00797B1A">
        <w:t xml:space="preserve">Durgin Pines </w:t>
      </w:r>
      <w:r w:rsidR="008269F5" w:rsidRPr="00797B1A">
        <w:t xml:space="preserve">is an existing </w:t>
      </w:r>
      <w:r w:rsidR="00D571F1" w:rsidRPr="00797B1A">
        <w:t xml:space="preserve">nursing </w:t>
      </w:r>
      <w:r w:rsidR="008269F5" w:rsidRPr="00797B1A">
        <w:t xml:space="preserve">facility providing necessary services in the </w:t>
      </w:r>
      <w:r w:rsidRPr="00797B1A">
        <w:t>York</w:t>
      </w:r>
      <w:r w:rsidR="008269F5" w:rsidRPr="00797B1A">
        <w:t xml:space="preserve"> County area. It is highly unlikely that more effective, more accessible or less costly alternative technologies or methods of service delivery will become available.</w:t>
      </w:r>
      <w:r w:rsidR="001A55FA" w:rsidRPr="00797B1A">
        <w:t xml:space="preserve"> </w:t>
      </w:r>
    </w:p>
    <w:p w:rsidR="002E65D9" w:rsidRPr="00797B1A" w:rsidRDefault="002E65D9" w:rsidP="005F7C09">
      <w:pPr>
        <w:jc w:val="both"/>
      </w:pPr>
    </w:p>
    <w:p w:rsidR="004336AF" w:rsidRPr="00C96CA2" w:rsidRDefault="008E41AC" w:rsidP="00C96CA2">
      <w:pPr>
        <w:pStyle w:val="ListParagraph"/>
        <w:numPr>
          <w:ilvl w:val="0"/>
          <w:numId w:val="37"/>
        </w:numPr>
        <w:ind w:left="720"/>
        <w:jc w:val="both"/>
        <w:rPr>
          <w:b/>
        </w:rPr>
      </w:pPr>
      <w:r w:rsidRPr="00C96CA2">
        <w:rPr>
          <w:b/>
        </w:rPr>
        <w:t xml:space="preserve">Conclusion </w:t>
      </w:r>
    </w:p>
    <w:p w:rsidR="00D77F04" w:rsidRPr="00797B1A" w:rsidRDefault="00D77F04" w:rsidP="005F7C09">
      <w:pPr>
        <w:jc w:val="both"/>
        <w:rPr>
          <w:b/>
        </w:rPr>
      </w:pPr>
    </w:p>
    <w:p w:rsidR="00D77F04" w:rsidRPr="00797B1A" w:rsidRDefault="002E22B3" w:rsidP="005F7C09">
      <w:pPr>
        <w:jc w:val="both"/>
      </w:pPr>
      <w:r w:rsidRPr="00797B1A">
        <w:t>C</w:t>
      </w:r>
      <w:r w:rsidR="0079298B">
        <w:t>ON</w:t>
      </w:r>
      <w:r w:rsidRPr="00797B1A">
        <w:t xml:space="preserve"> Unit</w:t>
      </w:r>
      <w:r w:rsidR="00C466B5" w:rsidRPr="00797B1A">
        <w:t xml:space="preserve"> </w:t>
      </w:r>
      <w:r w:rsidR="00D77F04" w:rsidRPr="00797B1A">
        <w:t>recommends</w:t>
      </w:r>
      <w:r w:rsidR="001227AD" w:rsidRPr="00797B1A">
        <w:t xml:space="preserve"> that the Commissioner find</w:t>
      </w:r>
      <w:r w:rsidR="00D77F04" w:rsidRPr="00797B1A">
        <w:t xml:space="preserve"> that </w:t>
      </w:r>
      <w:r w:rsidR="00845A59" w:rsidRPr="00797B1A">
        <w:t>the applicant has met its</w:t>
      </w:r>
      <w:r w:rsidR="00D77F04" w:rsidRPr="00797B1A">
        <w:t xml:space="preserve"> burden to demonstrate that the proposed project is consistent with the orderly and economic development of health facilities and </w:t>
      </w:r>
      <w:r w:rsidR="002C0659" w:rsidRPr="00797B1A">
        <w:t>health resources for the State.</w:t>
      </w:r>
    </w:p>
    <w:p w:rsidR="0095550A" w:rsidRPr="005F7C09" w:rsidRDefault="0095550A" w:rsidP="005F7C09">
      <w:pPr>
        <w:jc w:val="both"/>
        <w:sectPr w:rsidR="0095550A" w:rsidRPr="005F7C09" w:rsidSect="001123F4">
          <w:pgSz w:w="12240" w:h="15840"/>
          <w:pgMar w:top="1440" w:right="1080" w:bottom="1440" w:left="1800" w:header="720" w:footer="720" w:gutter="0"/>
          <w:cols w:space="720"/>
          <w:docGrid w:linePitch="360"/>
        </w:sectPr>
      </w:pPr>
    </w:p>
    <w:p w:rsidR="00496DFB" w:rsidRPr="00C96CA2" w:rsidRDefault="00595EC7" w:rsidP="00C96CA2">
      <w:pPr>
        <w:pStyle w:val="Heading1"/>
        <w:spacing w:before="100" w:beforeAutospacing="1" w:after="0"/>
        <w:jc w:val="both"/>
        <w:rPr>
          <w:rFonts w:ascii="Times New Roman" w:hAnsi="Times New Roman" w:cs="Times New Roman"/>
        </w:rPr>
      </w:pPr>
      <w:bookmarkStart w:id="17" w:name="_Ref195319965"/>
      <w:r w:rsidRPr="00C96CA2">
        <w:rPr>
          <w:rFonts w:ascii="Times New Roman" w:hAnsi="Times New Roman" w:cs="Times New Roman"/>
        </w:rPr>
        <w:lastRenderedPageBreak/>
        <w:t>V</w:t>
      </w:r>
      <w:r w:rsidR="004336AF" w:rsidRPr="00C96CA2">
        <w:rPr>
          <w:rFonts w:ascii="Times New Roman" w:hAnsi="Times New Roman" w:cs="Times New Roman"/>
        </w:rPr>
        <w:t>I. Outcomes and Community Impact</w:t>
      </w:r>
      <w:bookmarkEnd w:id="17"/>
    </w:p>
    <w:p w:rsidR="00E46A96" w:rsidRPr="005F7C09" w:rsidRDefault="00E46A96" w:rsidP="005F7C09">
      <w:pPr>
        <w:jc w:val="both"/>
      </w:pPr>
    </w:p>
    <w:p w:rsidR="00664296" w:rsidRPr="005F7C09" w:rsidRDefault="00555A69" w:rsidP="00C96CA2">
      <w:pPr>
        <w:jc w:val="both"/>
        <w:rPr>
          <w:b/>
        </w:rPr>
      </w:pPr>
      <w:r w:rsidRPr="005F7C09">
        <w:rPr>
          <w:b/>
        </w:rPr>
        <w:t xml:space="preserve">A. </w:t>
      </w:r>
      <w:r w:rsidR="00C96CA2">
        <w:rPr>
          <w:b/>
        </w:rPr>
        <w:tab/>
      </w:r>
      <w:r w:rsidR="005F7C09">
        <w:rPr>
          <w:b/>
        </w:rPr>
        <w:t>From Applicant</w:t>
      </w:r>
    </w:p>
    <w:p w:rsidR="005D1220" w:rsidRPr="0079298B" w:rsidRDefault="005D1220" w:rsidP="005F7C09">
      <w:pPr>
        <w:jc w:val="both"/>
        <w:rPr>
          <w:b/>
          <w:u w:val="single"/>
        </w:rPr>
      </w:pPr>
    </w:p>
    <w:p w:rsidR="00932838" w:rsidRPr="00C96CA2" w:rsidRDefault="00475E8E" w:rsidP="00932838">
      <w:pPr>
        <w:jc w:val="both"/>
        <w:rPr>
          <w:rFonts w:eastAsia="Calibri"/>
          <w:sz w:val="22"/>
          <w:szCs w:val="22"/>
        </w:rPr>
      </w:pPr>
      <w:r>
        <w:rPr>
          <w:rFonts w:eastAsia="Calibri"/>
          <w:sz w:val="22"/>
          <w:szCs w:val="22"/>
        </w:rPr>
        <w:t>“</w:t>
      </w:r>
      <w:r w:rsidR="00932838" w:rsidRPr="00C96CA2">
        <w:rPr>
          <w:rFonts w:eastAsia="Calibri"/>
          <w:sz w:val="22"/>
          <w:szCs w:val="22"/>
        </w:rPr>
        <w:t xml:space="preserve">Section </w:t>
      </w:r>
      <w:r w:rsidR="00932838" w:rsidRPr="00C96CA2">
        <w:rPr>
          <w:rFonts w:eastAsia="Calibri"/>
          <w:b/>
          <w:sz w:val="22"/>
          <w:szCs w:val="22"/>
        </w:rPr>
        <w:t>IV. Public Need</w:t>
      </w:r>
      <w:r w:rsidR="00932838" w:rsidRPr="00C96CA2">
        <w:rPr>
          <w:rFonts w:eastAsia="Calibri"/>
          <w:sz w:val="22"/>
          <w:szCs w:val="22"/>
        </w:rPr>
        <w:t xml:space="preserve"> discusses the clinical quality benchmark information regarding Durgin Pines. For ongoing quality improvement work, Durgin Pines has implemented the use of the Abaqis program in order to conduct an ongoing QIS Survey process internally. This program allows multiple staff members to take part in the internal review process and to identify areas for increased attention or need for quality improvement. Past performance improvement projects that have come about as a result of this process have included a wheelchair maintenance program as well as improved pain management particularly for skilled rehabilitation patients.</w:t>
      </w:r>
      <w:r>
        <w:rPr>
          <w:rFonts w:eastAsia="Calibri"/>
          <w:sz w:val="22"/>
          <w:szCs w:val="22"/>
        </w:rPr>
        <w:t>”</w:t>
      </w:r>
      <w:r w:rsidR="00932838" w:rsidRPr="00C96CA2">
        <w:rPr>
          <w:rFonts w:eastAsia="Calibri"/>
          <w:sz w:val="22"/>
          <w:szCs w:val="22"/>
        </w:rPr>
        <w:t xml:space="preserve"> </w:t>
      </w:r>
    </w:p>
    <w:p w:rsidR="00932838" w:rsidRPr="00C96CA2" w:rsidRDefault="00932838" w:rsidP="00932838">
      <w:pPr>
        <w:jc w:val="both"/>
        <w:rPr>
          <w:rFonts w:eastAsia="Calibri"/>
          <w:sz w:val="22"/>
          <w:szCs w:val="22"/>
        </w:rPr>
      </w:pPr>
    </w:p>
    <w:p w:rsidR="00932838" w:rsidRPr="00C96CA2" w:rsidRDefault="00475E8E" w:rsidP="00932838">
      <w:pPr>
        <w:jc w:val="both"/>
        <w:rPr>
          <w:rFonts w:eastAsia="Calibri"/>
          <w:sz w:val="22"/>
          <w:szCs w:val="22"/>
        </w:rPr>
      </w:pPr>
      <w:r>
        <w:rPr>
          <w:rFonts w:eastAsia="Calibri"/>
          <w:sz w:val="22"/>
          <w:szCs w:val="22"/>
        </w:rPr>
        <w:t>“</w:t>
      </w:r>
      <w:r w:rsidR="00932838" w:rsidRPr="00C96CA2">
        <w:rPr>
          <w:rFonts w:eastAsia="Calibri"/>
          <w:sz w:val="22"/>
          <w:szCs w:val="22"/>
        </w:rPr>
        <w:t>There have been systems implemented with weekly audits put in place to ensure compliance with C2 medication orders and the timing of these orders. Additionally, in order to reduce the potential for medication errors, the triple check process for medication orders has been adjusted to include more built-in mechanisms for tracking and accountability. This audit process now includes increased use of initialing and dating of all pages reviewed in order to ensure the appropriate paperwork is being reviewed as part of the triple check process. This has helped in reducing potentially missed medications and/or human error transcription issues.</w:t>
      </w:r>
      <w:r>
        <w:rPr>
          <w:rFonts w:eastAsia="Calibri"/>
          <w:sz w:val="22"/>
          <w:szCs w:val="22"/>
        </w:rPr>
        <w:t>”</w:t>
      </w:r>
      <w:r w:rsidR="00932838" w:rsidRPr="00C96CA2">
        <w:rPr>
          <w:rFonts w:eastAsia="Calibri"/>
          <w:sz w:val="22"/>
          <w:szCs w:val="22"/>
        </w:rPr>
        <w:t xml:space="preserve"> </w:t>
      </w:r>
    </w:p>
    <w:p w:rsidR="00932838" w:rsidRPr="00C96CA2" w:rsidRDefault="00932838" w:rsidP="00932838">
      <w:pPr>
        <w:jc w:val="both"/>
        <w:rPr>
          <w:rFonts w:eastAsia="Calibri"/>
          <w:sz w:val="22"/>
          <w:szCs w:val="22"/>
        </w:rPr>
      </w:pPr>
    </w:p>
    <w:p w:rsidR="00932838" w:rsidRPr="00C96CA2" w:rsidRDefault="00475E8E" w:rsidP="00932838">
      <w:pPr>
        <w:jc w:val="both"/>
        <w:rPr>
          <w:rFonts w:eastAsia="Calibri"/>
          <w:sz w:val="22"/>
          <w:szCs w:val="22"/>
        </w:rPr>
      </w:pPr>
      <w:r>
        <w:rPr>
          <w:rFonts w:eastAsia="Calibri"/>
          <w:sz w:val="22"/>
          <w:szCs w:val="22"/>
        </w:rPr>
        <w:t>“</w:t>
      </w:r>
      <w:r w:rsidR="00932838" w:rsidRPr="00C96CA2">
        <w:rPr>
          <w:rFonts w:eastAsia="Calibri"/>
          <w:sz w:val="22"/>
          <w:szCs w:val="22"/>
        </w:rPr>
        <w:t>More recently, mid shift nursing staff huddles have been initiated to ensure increased capability to share important clinical updates in real time and amongst all direct care staff. This information will remain on the huddle report for 7 consecutive days and reported on all shifts to ensure that no nursing staff is missed and that the information is heard and retained. This also serves as a quick reference for clinical updates to any per diem staff that has not been working for greater than one week, as they can review historical updates dating back to the last date of work.</w:t>
      </w:r>
      <w:r>
        <w:rPr>
          <w:rFonts w:eastAsia="Calibri"/>
          <w:sz w:val="22"/>
          <w:szCs w:val="22"/>
        </w:rPr>
        <w:t>”</w:t>
      </w:r>
    </w:p>
    <w:p w:rsidR="00932838" w:rsidRPr="00C96CA2" w:rsidRDefault="00932838" w:rsidP="00932838">
      <w:pPr>
        <w:jc w:val="both"/>
        <w:rPr>
          <w:rFonts w:eastAsia="Calibri"/>
          <w:sz w:val="22"/>
          <w:szCs w:val="22"/>
        </w:rPr>
      </w:pPr>
    </w:p>
    <w:p w:rsidR="008500D6" w:rsidRDefault="00475E8E" w:rsidP="00A209F2">
      <w:pPr>
        <w:jc w:val="both"/>
        <w:rPr>
          <w:rFonts w:eastAsia="Calibri"/>
          <w:sz w:val="22"/>
          <w:szCs w:val="22"/>
        </w:rPr>
      </w:pPr>
      <w:r>
        <w:rPr>
          <w:rFonts w:eastAsia="Calibri"/>
          <w:sz w:val="22"/>
          <w:szCs w:val="22"/>
        </w:rPr>
        <w:t>“</w:t>
      </w:r>
      <w:r w:rsidR="00932838" w:rsidRPr="00C96CA2">
        <w:rPr>
          <w:rFonts w:eastAsia="Calibri"/>
          <w:sz w:val="22"/>
          <w:szCs w:val="22"/>
        </w:rPr>
        <w:t>In the coming months Durgin Pines will begin transitioning to Point Click Care in order to establish a true electronic medical record. This program will allow for increased communication amongst staff as well as allow for built-in system checks/audits for completion of necessary tasks/assessments.</w:t>
      </w:r>
      <w:r>
        <w:rPr>
          <w:rFonts w:eastAsia="Calibri"/>
          <w:sz w:val="22"/>
          <w:szCs w:val="22"/>
        </w:rPr>
        <w:t>”</w:t>
      </w:r>
      <w:r w:rsidR="00932838" w:rsidRPr="00C96CA2">
        <w:rPr>
          <w:rFonts w:eastAsia="Calibri"/>
          <w:sz w:val="22"/>
          <w:szCs w:val="22"/>
        </w:rPr>
        <w:t xml:space="preserve"> </w:t>
      </w:r>
    </w:p>
    <w:p w:rsidR="00A209F2" w:rsidRPr="0079298B" w:rsidRDefault="00A209F2" w:rsidP="00A209F2">
      <w:pPr>
        <w:jc w:val="both"/>
      </w:pPr>
    </w:p>
    <w:p w:rsidR="0067753E" w:rsidRPr="0079298B" w:rsidRDefault="00D05069" w:rsidP="00C96CA2">
      <w:pPr>
        <w:jc w:val="both"/>
        <w:rPr>
          <w:b/>
        </w:rPr>
      </w:pPr>
      <w:r w:rsidRPr="0079298B">
        <w:rPr>
          <w:b/>
        </w:rPr>
        <w:t xml:space="preserve">B. </w:t>
      </w:r>
      <w:r w:rsidR="00C96CA2" w:rsidRPr="0079298B">
        <w:rPr>
          <w:b/>
        </w:rPr>
        <w:tab/>
      </w:r>
      <w:r w:rsidR="006A7CB7" w:rsidRPr="0079298B">
        <w:rPr>
          <w:b/>
          <w:u w:val="single"/>
        </w:rPr>
        <w:t>Certificate of Need Unit</w:t>
      </w:r>
      <w:r w:rsidR="002E65D9" w:rsidRPr="0079298B">
        <w:rPr>
          <w:b/>
          <w:u w:val="single"/>
        </w:rPr>
        <w:t xml:space="preserve"> Discussion</w:t>
      </w:r>
    </w:p>
    <w:p w:rsidR="00D05069" w:rsidRPr="0079298B" w:rsidRDefault="00D05069" w:rsidP="005F7C09">
      <w:pPr>
        <w:jc w:val="both"/>
        <w:rPr>
          <w:b/>
        </w:rPr>
      </w:pPr>
    </w:p>
    <w:p w:rsidR="0067753E" w:rsidRPr="0079298B" w:rsidRDefault="00C96CA2" w:rsidP="00C96CA2">
      <w:pPr>
        <w:pStyle w:val="ListParagraph"/>
        <w:numPr>
          <w:ilvl w:val="0"/>
          <w:numId w:val="38"/>
        </w:numPr>
        <w:ind w:left="720"/>
        <w:jc w:val="both"/>
        <w:rPr>
          <w:b/>
        </w:rPr>
      </w:pPr>
      <w:r w:rsidRPr="0079298B">
        <w:rPr>
          <w:b/>
        </w:rPr>
        <w:t xml:space="preserve">CON </w:t>
      </w:r>
      <w:r w:rsidR="00E7467A" w:rsidRPr="0079298B">
        <w:rPr>
          <w:b/>
        </w:rPr>
        <w:t>Standard</w:t>
      </w:r>
    </w:p>
    <w:p w:rsidR="0067753E" w:rsidRPr="0079298B" w:rsidRDefault="0067753E" w:rsidP="005F7C09">
      <w:pPr>
        <w:jc w:val="both"/>
        <w:rPr>
          <w:b/>
        </w:rPr>
      </w:pPr>
    </w:p>
    <w:p w:rsidR="0067753E" w:rsidRPr="0079298B" w:rsidRDefault="0067753E" w:rsidP="005F7C09">
      <w:pPr>
        <w:jc w:val="both"/>
        <w:rPr>
          <w:b/>
        </w:rPr>
      </w:pPr>
      <w:r w:rsidRPr="0079298B">
        <w:t xml:space="preserve">Relevant </w:t>
      </w:r>
      <w:r w:rsidR="00E7467A" w:rsidRPr="0079298B">
        <w:t>standard</w:t>
      </w:r>
      <w:r w:rsidR="00A017D0" w:rsidRPr="0079298B">
        <w:t>s</w:t>
      </w:r>
      <w:r w:rsidRPr="0079298B">
        <w:t xml:space="preserve"> for inclusion in this section are specific to the determination that the project ensures high-quality outcomes and does not negatively affect the quality of care delivered</w:t>
      </w:r>
      <w:r w:rsidR="002E65D9" w:rsidRPr="0079298B">
        <w:t xml:space="preserve"> by existing service providers.</w:t>
      </w:r>
    </w:p>
    <w:p w:rsidR="0067753E" w:rsidRPr="0079298B" w:rsidRDefault="0067753E" w:rsidP="005F7C09">
      <w:pPr>
        <w:jc w:val="both"/>
        <w:rPr>
          <w:b/>
        </w:rPr>
      </w:pPr>
    </w:p>
    <w:p w:rsidR="00A209F2" w:rsidRDefault="00A209F2" w:rsidP="00C96CA2">
      <w:pPr>
        <w:pStyle w:val="ListParagraph"/>
        <w:numPr>
          <w:ilvl w:val="0"/>
          <w:numId w:val="38"/>
        </w:numPr>
        <w:ind w:left="720"/>
        <w:jc w:val="both"/>
        <w:rPr>
          <w:b/>
        </w:rPr>
        <w:sectPr w:rsidR="00A209F2" w:rsidSect="001123F4">
          <w:headerReference w:type="even" r:id="rId20"/>
          <w:headerReference w:type="default" r:id="rId21"/>
          <w:headerReference w:type="first" r:id="rId22"/>
          <w:pgSz w:w="12240" w:h="15840"/>
          <w:pgMar w:top="1440" w:right="1080" w:bottom="1440" w:left="1800" w:header="720" w:footer="720" w:gutter="0"/>
          <w:cols w:space="720"/>
          <w:docGrid w:linePitch="360"/>
        </w:sectPr>
      </w:pPr>
    </w:p>
    <w:p w:rsidR="00A209F2" w:rsidRDefault="00A209F2" w:rsidP="00A209F2">
      <w:pPr>
        <w:pStyle w:val="ListParagraph"/>
        <w:jc w:val="both"/>
        <w:rPr>
          <w:b/>
        </w:rPr>
      </w:pPr>
    </w:p>
    <w:p w:rsidR="0067753E" w:rsidRPr="0079298B" w:rsidRDefault="006A7CB7" w:rsidP="00C96CA2">
      <w:pPr>
        <w:pStyle w:val="ListParagraph"/>
        <w:numPr>
          <w:ilvl w:val="0"/>
          <w:numId w:val="38"/>
        </w:numPr>
        <w:ind w:left="720"/>
        <w:jc w:val="both"/>
        <w:rPr>
          <w:b/>
        </w:rPr>
      </w:pPr>
      <w:r w:rsidRPr="0079298B">
        <w:rPr>
          <w:b/>
        </w:rPr>
        <w:t>C</w:t>
      </w:r>
      <w:r w:rsidR="00C96CA2" w:rsidRPr="0079298B">
        <w:rPr>
          <w:b/>
        </w:rPr>
        <w:t>ON</w:t>
      </w:r>
      <w:r w:rsidRPr="0079298B">
        <w:rPr>
          <w:b/>
        </w:rPr>
        <w:t xml:space="preserve"> Unit</w:t>
      </w:r>
      <w:r w:rsidR="000A06C5" w:rsidRPr="0079298B">
        <w:rPr>
          <w:b/>
        </w:rPr>
        <w:t xml:space="preserve"> </w:t>
      </w:r>
      <w:r w:rsidR="0067753E" w:rsidRPr="0079298B">
        <w:rPr>
          <w:b/>
        </w:rPr>
        <w:t>Analysis</w:t>
      </w:r>
    </w:p>
    <w:p w:rsidR="00DE75CD" w:rsidRPr="0079298B" w:rsidRDefault="00DE75CD" w:rsidP="005F7C09">
      <w:pPr>
        <w:jc w:val="both"/>
      </w:pPr>
    </w:p>
    <w:p w:rsidR="001621B2" w:rsidRPr="0079298B" w:rsidRDefault="008269F5" w:rsidP="005F7C09">
      <w:pPr>
        <w:widowControl w:val="0"/>
        <w:autoSpaceDE w:val="0"/>
        <w:autoSpaceDN w:val="0"/>
        <w:adjustRightInd w:val="0"/>
        <w:jc w:val="both"/>
      </w:pPr>
      <w:r w:rsidRPr="0079298B">
        <w:t xml:space="preserve">The applicant is assuming control of an existing nursing facility. </w:t>
      </w:r>
      <w:r w:rsidR="00A77565" w:rsidRPr="0079298B">
        <w:t xml:space="preserve">This transaction is occurring between two individuals who currently own the facilities. </w:t>
      </w:r>
      <w:r w:rsidRPr="0079298B">
        <w:t>Continuing necessary services in the current geographic areas will have a positive impact on the quality of care. The existing scope of services will not be changed</w:t>
      </w:r>
      <w:r w:rsidR="005A632C" w:rsidRPr="0079298B">
        <w:t>.</w:t>
      </w:r>
      <w:r w:rsidRPr="0079298B">
        <w:t xml:space="preserve"> </w:t>
      </w:r>
      <w:r w:rsidR="005A632C" w:rsidRPr="0079298B">
        <w:t>A</w:t>
      </w:r>
      <w:r w:rsidRPr="0079298B">
        <w:t>ny future addition of services will be aligned with the needs of the community. Since there will be no change in either services or the number of licensed beds</w:t>
      </w:r>
      <w:r w:rsidR="005A632C" w:rsidRPr="0079298B">
        <w:t>,</w:t>
      </w:r>
      <w:r w:rsidRPr="0079298B">
        <w:t xml:space="preserve"> existing service providers will not be negatively impacted. </w:t>
      </w:r>
      <w:r w:rsidR="00F83A45" w:rsidRPr="0079298B">
        <w:t>T</w:t>
      </w:r>
      <w:r w:rsidR="00E87D20" w:rsidRPr="0079298B">
        <w:t>he applicant has undertaken several initiatives to improve overall performance and quality</w:t>
      </w:r>
      <w:r w:rsidR="00F83A45" w:rsidRPr="0079298B">
        <w:t>:</w:t>
      </w:r>
      <w:r w:rsidR="00D571F1" w:rsidRPr="0079298B">
        <w:t xml:space="preserve"> </w:t>
      </w:r>
    </w:p>
    <w:p w:rsidR="001621B2" w:rsidRPr="0079298B" w:rsidRDefault="001621B2" w:rsidP="005F7C09">
      <w:pPr>
        <w:widowControl w:val="0"/>
        <w:autoSpaceDE w:val="0"/>
        <w:autoSpaceDN w:val="0"/>
        <w:adjustRightInd w:val="0"/>
        <w:jc w:val="both"/>
      </w:pPr>
    </w:p>
    <w:p w:rsidR="00D571F1" w:rsidRPr="0079298B" w:rsidRDefault="00F83A45" w:rsidP="005F7C09">
      <w:pPr>
        <w:widowControl w:val="0"/>
        <w:autoSpaceDE w:val="0"/>
        <w:autoSpaceDN w:val="0"/>
        <w:adjustRightInd w:val="0"/>
        <w:jc w:val="both"/>
      </w:pPr>
      <w:r w:rsidRPr="0079298B">
        <w:t>1</w:t>
      </w:r>
      <w:r w:rsidR="0079298B">
        <w:t>)</w:t>
      </w:r>
      <w:r w:rsidRPr="0079298B">
        <w:t xml:space="preserve"> Possible expansion for additional rehabilitation space.</w:t>
      </w:r>
    </w:p>
    <w:p w:rsidR="00F83A45" w:rsidRPr="0079298B" w:rsidRDefault="0079298B" w:rsidP="005F7C09">
      <w:pPr>
        <w:widowControl w:val="0"/>
        <w:autoSpaceDE w:val="0"/>
        <w:autoSpaceDN w:val="0"/>
        <w:adjustRightInd w:val="0"/>
        <w:jc w:val="both"/>
      </w:pPr>
      <w:r>
        <w:t>2)</w:t>
      </w:r>
      <w:r w:rsidR="00F83A45" w:rsidRPr="0079298B">
        <w:t xml:space="preserve"> Implementation of the Abaqis program to enhance quality improvement.</w:t>
      </w:r>
    </w:p>
    <w:p w:rsidR="00F83A45" w:rsidRPr="0079298B" w:rsidRDefault="0079298B" w:rsidP="005F7C09">
      <w:pPr>
        <w:widowControl w:val="0"/>
        <w:autoSpaceDE w:val="0"/>
        <w:autoSpaceDN w:val="0"/>
        <w:adjustRightInd w:val="0"/>
        <w:jc w:val="both"/>
      </w:pPr>
      <w:r>
        <w:t>3)</w:t>
      </w:r>
      <w:r w:rsidR="00F83A45" w:rsidRPr="0079298B">
        <w:t xml:space="preserve"> New processes have been implemented to ensure compliance with medication orders.</w:t>
      </w:r>
    </w:p>
    <w:p w:rsidR="00F83A45" w:rsidRPr="0079298B" w:rsidRDefault="0079298B" w:rsidP="005F7C09">
      <w:pPr>
        <w:widowControl w:val="0"/>
        <w:autoSpaceDE w:val="0"/>
        <w:autoSpaceDN w:val="0"/>
        <w:adjustRightInd w:val="0"/>
        <w:jc w:val="both"/>
      </w:pPr>
      <w:r>
        <w:t>4)</w:t>
      </w:r>
      <w:r w:rsidR="00F83A45" w:rsidRPr="0079298B">
        <w:t xml:space="preserve"> Increased real-time communication between staff to share clinical updates.</w:t>
      </w:r>
    </w:p>
    <w:p w:rsidR="00D571F1" w:rsidRPr="0079298B" w:rsidRDefault="00F83A45" w:rsidP="00F83A45">
      <w:pPr>
        <w:widowControl w:val="0"/>
        <w:autoSpaceDE w:val="0"/>
        <w:autoSpaceDN w:val="0"/>
        <w:adjustRightInd w:val="0"/>
        <w:jc w:val="both"/>
      </w:pPr>
      <w:r w:rsidRPr="0079298B">
        <w:t>5) Transitioning to the Point Click electronic medical records system.</w:t>
      </w:r>
    </w:p>
    <w:p w:rsidR="00D571F1" w:rsidRPr="0079298B" w:rsidRDefault="00D571F1" w:rsidP="005F7C09">
      <w:pPr>
        <w:widowControl w:val="0"/>
        <w:autoSpaceDE w:val="0"/>
        <w:autoSpaceDN w:val="0"/>
        <w:adjustRightInd w:val="0"/>
        <w:jc w:val="both"/>
      </w:pPr>
    </w:p>
    <w:p w:rsidR="005555BA" w:rsidRPr="0079298B" w:rsidRDefault="00F83A45" w:rsidP="005F7C09">
      <w:pPr>
        <w:widowControl w:val="0"/>
        <w:autoSpaceDE w:val="0"/>
        <w:autoSpaceDN w:val="0"/>
        <w:adjustRightInd w:val="0"/>
        <w:jc w:val="both"/>
      </w:pPr>
      <w:r w:rsidRPr="0079298B">
        <w:t>A</w:t>
      </w:r>
      <w:r w:rsidR="005555BA" w:rsidRPr="0079298B">
        <w:t>s noted in the Fit, Willing and Able section of this analysis the facility received an “</w:t>
      </w:r>
      <w:r w:rsidRPr="0079298B">
        <w:t xml:space="preserve">Much Above </w:t>
      </w:r>
      <w:r w:rsidR="005555BA" w:rsidRPr="0079298B">
        <w:t>Average” rating for quality on the medicare.gov website.</w:t>
      </w:r>
      <w:r w:rsidRPr="0079298B">
        <w:t xml:space="preserve"> Any deficiencies noted on the latest accreditation and complaint surveys were addressed in a timely manner.</w:t>
      </w:r>
    </w:p>
    <w:p w:rsidR="005F7C09" w:rsidRPr="0079298B" w:rsidRDefault="005F7C09" w:rsidP="005F7C09">
      <w:pPr>
        <w:jc w:val="both"/>
        <w:rPr>
          <w:b/>
        </w:rPr>
      </w:pPr>
    </w:p>
    <w:p w:rsidR="00003E55" w:rsidRPr="0079298B" w:rsidRDefault="0067753E" w:rsidP="00C96CA2">
      <w:pPr>
        <w:pStyle w:val="ListParagraph"/>
        <w:numPr>
          <w:ilvl w:val="0"/>
          <w:numId w:val="38"/>
        </w:numPr>
        <w:ind w:left="720"/>
        <w:jc w:val="both"/>
        <w:rPr>
          <w:b/>
        </w:rPr>
      </w:pPr>
      <w:r w:rsidRPr="0079298B">
        <w:rPr>
          <w:b/>
        </w:rPr>
        <w:t xml:space="preserve">Conclusion </w:t>
      </w:r>
    </w:p>
    <w:p w:rsidR="001A2774" w:rsidRPr="0079298B" w:rsidRDefault="001A2774" w:rsidP="005F7C09">
      <w:pPr>
        <w:jc w:val="both"/>
      </w:pPr>
    </w:p>
    <w:p w:rsidR="00B132AC" w:rsidRPr="0079298B" w:rsidRDefault="006A7CB7" w:rsidP="005F7C09">
      <w:pPr>
        <w:jc w:val="both"/>
      </w:pPr>
      <w:r w:rsidRPr="0079298B">
        <w:t>C</w:t>
      </w:r>
      <w:r w:rsidR="0079298B">
        <w:t>ON</w:t>
      </w:r>
      <w:r w:rsidRPr="0079298B">
        <w:t xml:space="preserve"> Unit</w:t>
      </w:r>
      <w:r w:rsidR="001A2774" w:rsidRPr="0079298B">
        <w:t xml:space="preserve"> recommends</w:t>
      </w:r>
      <w:r w:rsidR="005F4823" w:rsidRPr="0079298B">
        <w:t xml:space="preserve"> that the Commissioner find</w:t>
      </w:r>
      <w:r w:rsidR="001A2774" w:rsidRPr="0079298B">
        <w:t xml:space="preserve"> that </w:t>
      </w:r>
      <w:r w:rsidR="00845A59" w:rsidRPr="0079298B">
        <w:t xml:space="preserve">the applicant </w:t>
      </w:r>
      <w:r w:rsidR="001A2774" w:rsidRPr="0079298B">
        <w:t xml:space="preserve">met </w:t>
      </w:r>
      <w:r w:rsidR="005B0AD7" w:rsidRPr="0079298B">
        <w:t>their</w:t>
      </w:r>
      <w:r w:rsidR="001A2774" w:rsidRPr="0079298B">
        <w:t xml:space="preserve"> burden to demonstrate that this project will ensur</w:t>
      </w:r>
      <w:r w:rsidR="006760E7" w:rsidRPr="0079298B">
        <w:t>e high-quality outcomes and does</w:t>
      </w:r>
      <w:r w:rsidR="001A2774" w:rsidRPr="0079298B">
        <w:t xml:space="preserve"> not negatively affect the quality of care delivered by existing service providers.</w:t>
      </w:r>
    </w:p>
    <w:p w:rsidR="00595EC7" w:rsidRPr="005F7C09" w:rsidRDefault="00595EC7" w:rsidP="005F7C09">
      <w:pPr>
        <w:jc w:val="both"/>
        <w:sectPr w:rsidR="00595EC7" w:rsidRPr="005F7C09" w:rsidSect="001123F4">
          <w:pgSz w:w="12240" w:h="15840"/>
          <w:pgMar w:top="1440" w:right="1080" w:bottom="1440" w:left="1800" w:header="720" w:footer="720" w:gutter="0"/>
          <w:cols w:space="720"/>
          <w:docGrid w:linePitch="360"/>
        </w:sectPr>
      </w:pPr>
    </w:p>
    <w:p w:rsidR="00496DFB" w:rsidRPr="00C96CA2" w:rsidRDefault="00595EC7" w:rsidP="00C96CA2">
      <w:pPr>
        <w:pStyle w:val="Heading1"/>
        <w:spacing w:before="100" w:beforeAutospacing="1" w:after="0"/>
        <w:jc w:val="both"/>
        <w:rPr>
          <w:rFonts w:ascii="Times New Roman" w:hAnsi="Times New Roman" w:cs="Times New Roman"/>
        </w:rPr>
      </w:pPr>
      <w:bookmarkStart w:id="18" w:name="_Ref195319971"/>
      <w:r w:rsidRPr="00C96CA2">
        <w:rPr>
          <w:rFonts w:ascii="Times New Roman" w:hAnsi="Times New Roman" w:cs="Times New Roman"/>
        </w:rPr>
        <w:lastRenderedPageBreak/>
        <w:t>VI</w:t>
      </w:r>
      <w:r w:rsidR="004336AF" w:rsidRPr="00C96CA2">
        <w:rPr>
          <w:rFonts w:ascii="Times New Roman" w:hAnsi="Times New Roman" w:cs="Times New Roman"/>
        </w:rPr>
        <w:t>I. Service Utilization</w:t>
      </w:r>
      <w:bookmarkEnd w:id="18"/>
    </w:p>
    <w:p w:rsidR="00AA21FB" w:rsidRPr="005F7C09" w:rsidRDefault="00AA21FB" w:rsidP="005F7C09">
      <w:pPr>
        <w:jc w:val="both"/>
      </w:pPr>
    </w:p>
    <w:p w:rsidR="00AA21FB" w:rsidRPr="00932838" w:rsidRDefault="005F7C09" w:rsidP="00C96CA2">
      <w:pPr>
        <w:pStyle w:val="ListParagraph"/>
        <w:numPr>
          <w:ilvl w:val="0"/>
          <w:numId w:val="32"/>
        </w:numPr>
        <w:ind w:left="360"/>
        <w:jc w:val="both"/>
        <w:rPr>
          <w:b/>
        </w:rPr>
      </w:pPr>
      <w:r w:rsidRPr="00932838">
        <w:rPr>
          <w:b/>
        </w:rPr>
        <w:t>From Applicant</w:t>
      </w:r>
    </w:p>
    <w:p w:rsidR="00932838" w:rsidRDefault="00932838" w:rsidP="00932838">
      <w:pPr>
        <w:ind w:left="432"/>
        <w:jc w:val="both"/>
        <w:rPr>
          <w:b/>
        </w:rPr>
      </w:pPr>
    </w:p>
    <w:p w:rsidR="00932838" w:rsidRPr="00C96CA2" w:rsidRDefault="00475E8E" w:rsidP="00932838">
      <w:pPr>
        <w:jc w:val="both"/>
        <w:rPr>
          <w:rFonts w:eastAsia="Calibri"/>
          <w:sz w:val="22"/>
          <w:szCs w:val="22"/>
        </w:rPr>
      </w:pPr>
      <w:r>
        <w:rPr>
          <w:rFonts w:eastAsia="Calibri"/>
          <w:sz w:val="22"/>
          <w:szCs w:val="22"/>
        </w:rPr>
        <w:t>“</w:t>
      </w:r>
      <w:r w:rsidR="00932838" w:rsidRPr="00C96CA2">
        <w:rPr>
          <w:rFonts w:eastAsia="Calibri"/>
          <w:sz w:val="22"/>
          <w:szCs w:val="22"/>
        </w:rPr>
        <w:t xml:space="preserve">There will be no changes in the services offered by Durgin Pines as a result of this change of ownership. Historical census data was provided in Section </w:t>
      </w:r>
      <w:r w:rsidR="00932838" w:rsidRPr="00C96CA2">
        <w:rPr>
          <w:rFonts w:eastAsia="Calibri"/>
          <w:b/>
          <w:sz w:val="22"/>
          <w:szCs w:val="22"/>
        </w:rPr>
        <w:t>IV. Public Need</w:t>
      </w:r>
      <w:r w:rsidR="00932838" w:rsidRPr="00C96CA2">
        <w:rPr>
          <w:rFonts w:eastAsia="Calibri"/>
          <w:sz w:val="22"/>
          <w:szCs w:val="22"/>
        </w:rPr>
        <w:t>. Management anticipates census and utilization to remain consistent with current market conditions.</w:t>
      </w:r>
      <w:r>
        <w:rPr>
          <w:rFonts w:eastAsia="Calibri"/>
          <w:sz w:val="22"/>
          <w:szCs w:val="22"/>
        </w:rPr>
        <w:t>”</w:t>
      </w:r>
    </w:p>
    <w:p w:rsidR="00C74291" w:rsidRDefault="00C74291" w:rsidP="00C96CA2">
      <w:pPr>
        <w:jc w:val="both"/>
        <w:rPr>
          <w:b/>
        </w:rPr>
      </w:pPr>
      <w:bookmarkStart w:id="19" w:name="_Ref195320003"/>
    </w:p>
    <w:p w:rsidR="0067753E" w:rsidRPr="00C96CA2" w:rsidRDefault="00D05069" w:rsidP="00C96CA2">
      <w:pPr>
        <w:jc w:val="both"/>
        <w:rPr>
          <w:b/>
          <w:u w:val="single"/>
        </w:rPr>
      </w:pPr>
      <w:r w:rsidRPr="00C96CA2">
        <w:rPr>
          <w:b/>
        </w:rPr>
        <w:t xml:space="preserve">B. </w:t>
      </w:r>
      <w:r w:rsidR="006A7CB7" w:rsidRPr="00C96CA2">
        <w:rPr>
          <w:b/>
          <w:u w:val="single"/>
        </w:rPr>
        <w:t>Certificate of Need Unit</w:t>
      </w:r>
      <w:r w:rsidR="0067753E" w:rsidRPr="00C96CA2">
        <w:rPr>
          <w:b/>
          <w:u w:val="single"/>
        </w:rPr>
        <w:t xml:space="preserve"> Discussion </w:t>
      </w:r>
    </w:p>
    <w:p w:rsidR="0067753E" w:rsidRPr="00C96CA2" w:rsidRDefault="0067753E" w:rsidP="005F7C09">
      <w:pPr>
        <w:jc w:val="both"/>
        <w:rPr>
          <w:b/>
        </w:rPr>
      </w:pPr>
    </w:p>
    <w:p w:rsidR="0067753E" w:rsidRPr="00C96CA2" w:rsidRDefault="0067753E" w:rsidP="00C96CA2">
      <w:pPr>
        <w:pStyle w:val="ListParagraph"/>
        <w:numPr>
          <w:ilvl w:val="0"/>
          <w:numId w:val="39"/>
        </w:numPr>
        <w:ind w:left="720"/>
        <w:jc w:val="both"/>
        <w:rPr>
          <w:b/>
        </w:rPr>
      </w:pPr>
      <w:r w:rsidRPr="00C96CA2">
        <w:rPr>
          <w:b/>
        </w:rPr>
        <w:t xml:space="preserve">CON </w:t>
      </w:r>
      <w:r w:rsidR="00E7467A" w:rsidRPr="00C96CA2">
        <w:rPr>
          <w:b/>
        </w:rPr>
        <w:t>Standard</w:t>
      </w:r>
    </w:p>
    <w:p w:rsidR="0067753E" w:rsidRPr="00C96CA2" w:rsidRDefault="0067753E" w:rsidP="005F7C09">
      <w:pPr>
        <w:jc w:val="both"/>
        <w:rPr>
          <w:b/>
        </w:rPr>
      </w:pPr>
    </w:p>
    <w:p w:rsidR="00C7758E" w:rsidRPr="00C96CA2" w:rsidRDefault="0067753E" w:rsidP="005F7C09">
      <w:pPr>
        <w:jc w:val="both"/>
      </w:pPr>
      <w:r w:rsidRPr="00C96CA2">
        <w:t xml:space="preserve">Relevant </w:t>
      </w:r>
      <w:r w:rsidR="00C9535E" w:rsidRPr="00C96CA2">
        <w:t>standards</w:t>
      </w:r>
      <w:r w:rsidRPr="00C96CA2">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C96CA2">
        <w:rPr>
          <w:color w:val="000000"/>
        </w:rPr>
        <w:t xml:space="preserve"> </w:t>
      </w:r>
      <w:r w:rsidR="001D3C46" w:rsidRPr="00C96CA2">
        <w:t>as established in Title 24-A, section 6951, when the principles adopted by the Maine Quality Forum are directly applicable to the application</w:t>
      </w:r>
      <w:r w:rsidR="00F75539" w:rsidRPr="00C96CA2">
        <w:t>.</w:t>
      </w:r>
    </w:p>
    <w:p w:rsidR="0067753E" w:rsidRPr="00C96CA2" w:rsidRDefault="0067753E" w:rsidP="005F7C09">
      <w:pPr>
        <w:jc w:val="both"/>
        <w:rPr>
          <w:b/>
        </w:rPr>
      </w:pPr>
    </w:p>
    <w:p w:rsidR="0067753E" w:rsidRPr="00C96CA2" w:rsidRDefault="006A7CB7" w:rsidP="00C96CA2">
      <w:pPr>
        <w:pStyle w:val="ListParagraph"/>
        <w:numPr>
          <w:ilvl w:val="0"/>
          <w:numId w:val="39"/>
        </w:numPr>
        <w:ind w:left="720"/>
        <w:jc w:val="both"/>
        <w:rPr>
          <w:b/>
        </w:rPr>
      </w:pPr>
      <w:r w:rsidRPr="00C96CA2">
        <w:rPr>
          <w:b/>
        </w:rPr>
        <w:t>C</w:t>
      </w:r>
      <w:r w:rsidR="000B726F">
        <w:rPr>
          <w:b/>
        </w:rPr>
        <w:t>ON</w:t>
      </w:r>
      <w:r w:rsidRPr="00C96CA2">
        <w:rPr>
          <w:b/>
        </w:rPr>
        <w:t xml:space="preserve"> Unit</w:t>
      </w:r>
      <w:r w:rsidR="000A06C5" w:rsidRPr="00C96CA2">
        <w:rPr>
          <w:b/>
        </w:rPr>
        <w:t xml:space="preserve"> </w:t>
      </w:r>
      <w:r w:rsidR="0067753E" w:rsidRPr="00C96CA2">
        <w:rPr>
          <w:b/>
        </w:rPr>
        <w:t>Analysis</w:t>
      </w:r>
    </w:p>
    <w:p w:rsidR="00526BA7" w:rsidRPr="00C96CA2" w:rsidRDefault="00526BA7" w:rsidP="005F7C09">
      <w:pPr>
        <w:jc w:val="both"/>
        <w:rPr>
          <w:b/>
        </w:rPr>
      </w:pPr>
    </w:p>
    <w:p w:rsidR="001D3C46" w:rsidRPr="00C96CA2" w:rsidRDefault="001D3C46" w:rsidP="005F7C09">
      <w:pPr>
        <w:jc w:val="both"/>
      </w:pPr>
      <w:r w:rsidRPr="00C96CA2">
        <w:t>The Maine Quality Forum has not adopted a</w:t>
      </w:r>
      <w:r w:rsidR="00386992" w:rsidRPr="00C96CA2">
        <w:t>ny</w:t>
      </w:r>
      <w:r w:rsidRPr="00C96CA2">
        <w:t xml:space="preserve"> principle</w:t>
      </w:r>
      <w:r w:rsidR="00386992" w:rsidRPr="00C96CA2">
        <w:t>s</w:t>
      </w:r>
      <w:r w:rsidRPr="00C96CA2">
        <w:t xml:space="preserve"> of evidence-based medicine directly applicable to the application; therefore this application meets the </w:t>
      </w:r>
      <w:r w:rsidR="00E7467A" w:rsidRPr="00C96CA2">
        <w:t>standard</w:t>
      </w:r>
      <w:r w:rsidRPr="00C96CA2">
        <w:t xml:space="preserve"> for this determination.</w:t>
      </w:r>
    </w:p>
    <w:p w:rsidR="00F37DC8" w:rsidRPr="00C96CA2" w:rsidRDefault="00FE4977" w:rsidP="005F7C09">
      <w:pPr>
        <w:jc w:val="both"/>
      </w:pPr>
      <w:r w:rsidRPr="00C96CA2">
        <w:t xml:space="preserve">This application </w:t>
      </w:r>
      <w:r w:rsidR="00E3773A" w:rsidRPr="00C96CA2">
        <w:t xml:space="preserve">is for </w:t>
      </w:r>
      <w:r w:rsidRPr="00C96CA2">
        <w:t xml:space="preserve">a change of ownership and </w:t>
      </w:r>
      <w:r w:rsidR="00E3773A" w:rsidRPr="00C96CA2">
        <w:t xml:space="preserve">does not increase the number of nursing home beds or a change in the services offered. This transaction </w:t>
      </w:r>
      <w:r w:rsidRPr="00C96CA2">
        <w:t>will not result in inappropriate increases in utilization.</w:t>
      </w:r>
    </w:p>
    <w:p w:rsidR="00FE4977" w:rsidRPr="00C96CA2" w:rsidRDefault="00FE4977" w:rsidP="005F7C09">
      <w:pPr>
        <w:jc w:val="both"/>
      </w:pPr>
    </w:p>
    <w:p w:rsidR="00403EEC" w:rsidRPr="00C96CA2" w:rsidRDefault="00F75539" w:rsidP="00C96CA2">
      <w:pPr>
        <w:pStyle w:val="ListParagraph"/>
        <w:numPr>
          <w:ilvl w:val="0"/>
          <w:numId w:val="39"/>
        </w:numPr>
        <w:ind w:left="720"/>
        <w:jc w:val="both"/>
        <w:rPr>
          <w:b/>
        </w:rPr>
      </w:pPr>
      <w:r w:rsidRPr="00C96CA2">
        <w:rPr>
          <w:b/>
        </w:rPr>
        <w:t>Conclusion</w:t>
      </w:r>
    </w:p>
    <w:p w:rsidR="001A2774" w:rsidRPr="00C96CA2" w:rsidRDefault="001A2774" w:rsidP="005F7C09">
      <w:pPr>
        <w:jc w:val="both"/>
        <w:rPr>
          <w:b/>
        </w:rPr>
      </w:pPr>
    </w:p>
    <w:p w:rsidR="00C820D0" w:rsidRPr="00C96CA2" w:rsidRDefault="006A7CB7" w:rsidP="005F7C09">
      <w:pPr>
        <w:jc w:val="both"/>
      </w:pPr>
      <w:r w:rsidRPr="00C96CA2">
        <w:t>C</w:t>
      </w:r>
      <w:r w:rsidR="0079298B">
        <w:t>ON</w:t>
      </w:r>
      <w:r w:rsidRPr="00C96CA2">
        <w:t xml:space="preserve"> Unit</w:t>
      </w:r>
      <w:r w:rsidR="001A2774" w:rsidRPr="00C96CA2">
        <w:t xml:space="preserve"> recommends</w:t>
      </w:r>
      <w:r w:rsidR="00D81EC4" w:rsidRPr="00C96CA2">
        <w:t xml:space="preserve"> that the Commissioner find</w:t>
      </w:r>
      <w:r w:rsidR="001A2774" w:rsidRPr="00C96CA2">
        <w:t xml:space="preserve"> that the applicant ha</w:t>
      </w:r>
      <w:r w:rsidR="00845A59" w:rsidRPr="00C96CA2">
        <w:t>s</w:t>
      </w:r>
      <w:r w:rsidR="001A2774" w:rsidRPr="00C96CA2">
        <w:t xml:space="preserve"> met their burden to demonstrate that</w:t>
      </w:r>
      <w:r w:rsidR="00A869F9" w:rsidRPr="00C96CA2">
        <w:t xml:space="preserve"> the project does not result in</w:t>
      </w:r>
      <w:r w:rsidR="001A2774" w:rsidRPr="00C96CA2">
        <w:t xml:space="preserve"> inappropriate i</w:t>
      </w:r>
      <w:r w:rsidR="00A869F9" w:rsidRPr="00C96CA2">
        <w:t>ncreases in service utilization, according to the principles of evidence-based medicine adopted by the Maine Quality Foru</w:t>
      </w:r>
      <w:bookmarkEnd w:id="19"/>
      <w:r w:rsidR="00595EC7" w:rsidRPr="00C96CA2">
        <w:t xml:space="preserve">m. </w:t>
      </w:r>
    </w:p>
    <w:p w:rsidR="00C820D0" w:rsidRPr="005F7C09" w:rsidRDefault="00C820D0" w:rsidP="005F7C09">
      <w:pPr>
        <w:jc w:val="both"/>
      </w:pPr>
    </w:p>
    <w:p w:rsidR="00C820D0" w:rsidRPr="005F7C09" w:rsidRDefault="00C820D0" w:rsidP="005F7C09">
      <w:pPr>
        <w:jc w:val="both"/>
        <w:sectPr w:rsidR="00C820D0" w:rsidRPr="005F7C09" w:rsidSect="00F25D90">
          <w:headerReference w:type="even" r:id="rId23"/>
          <w:headerReference w:type="default" r:id="rId24"/>
          <w:headerReference w:type="first" r:id="rId25"/>
          <w:pgSz w:w="12240" w:h="15840"/>
          <w:pgMar w:top="1440" w:right="1440" w:bottom="1440" w:left="1440" w:header="720" w:footer="720" w:gutter="0"/>
          <w:cols w:space="720"/>
          <w:docGrid w:linePitch="360"/>
        </w:sectPr>
      </w:pPr>
    </w:p>
    <w:p w:rsidR="00AA3EB7" w:rsidRPr="005F7C09" w:rsidRDefault="00DF7001" w:rsidP="00C74291">
      <w:pPr>
        <w:pStyle w:val="Heading1"/>
        <w:spacing w:before="100" w:beforeAutospacing="1" w:after="0"/>
        <w:jc w:val="both"/>
        <w:rPr>
          <w:rFonts w:ascii="Times New Roman" w:hAnsi="Times New Roman" w:cs="Times New Roman"/>
        </w:rPr>
      </w:pPr>
      <w:r w:rsidRPr="005F7C09">
        <w:rPr>
          <w:rFonts w:ascii="Times New Roman" w:hAnsi="Times New Roman" w:cs="Times New Roman"/>
        </w:rPr>
        <w:lastRenderedPageBreak/>
        <w:t>VIII.</w:t>
      </w:r>
      <w:r w:rsidR="005F7C09">
        <w:rPr>
          <w:rFonts w:ascii="Times New Roman" w:hAnsi="Times New Roman" w:cs="Times New Roman"/>
        </w:rPr>
        <w:t xml:space="preserve"> Timely Notice</w:t>
      </w:r>
    </w:p>
    <w:p w:rsidR="005D1220" w:rsidRPr="005F7C09" w:rsidRDefault="005D1220" w:rsidP="005F7C09">
      <w:pPr>
        <w:pStyle w:val="BodyText2"/>
        <w:spacing w:after="0" w:line="240" w:lineRule="auto"/>
        <w:jc w:val="both"/>
      </w:pPr>
    </w:p>
    <w:p w:rsidR="00AA3EB7" w:rsidRPr="005F7C09" w:rsidRDefault="00D05069" w:rsidP="00C96CA2">
      <w:pPr>
        <w:pStyle w:val="BodyText2"/>
        <w:spacing w:after="0" w:line="240" w:lineRule="auto"/>
        <w:jc w:val="both"/>
        <w:rPr>
          <w:b/>
        </w:rPr>
      </w:pPr>
      <w:r w:rsidRPr="005F7C09">
        <w:rPr>
          <w:b/>
        </w:rPr>
        <w:t xml:space="preserve">A. </w:t>
      </w:r>
      <w:r w:rsidR="00C96CA2">
        <w:rPr>
          <w:b/>
        </w:rPr>
        <w:tab/>
      </w:r>
      <w:r w:rsidR="00AA3EB7" w:rsidRPr="005F7C09">
        <w:rPr>
          <w:b/>
        </w:rPr>
        <w:t>From Applicant</w:t>
      </w:r>
    </w:p>
    <w:p w:rsidR="00D05069" w:rsidRPr="005F7C09" w:rsidRDefault="00D05069" w:rsidP="005F7C09">
      <w:pPr>
        <w:pStyle w:val="BodyText2"/>
        <w:spacing w:after="0" w:line="240" w:lineRule="auto"/>
        <w:jc w:val="both"/>
        <w:rPr>
          <w:b/>
          <w:sz w:val="16"/>
          <w:szCs w:val="16"/>
        </w:rPr>
      </w:pPr>
    </w:p>
    <w:p w:rsidR="003A4DEC" w:rsidRPr="00C96CA2" w:rsidRDefault="003A4DEC" w:rsidP="005F7C09">
      <w:pPr>
        <w:jc w:val="both"/>
        <w:rPr>
          <w:b/>
          <w:i/>
          <w:iCs/>
          <w:sz w:val="22"/>
          <w:szCs w:val="22"/>
        </w:rPr>
      </w:pPr>
      <w:r w:rsidRPr="00C96CA2">
        <w:rPr>
          <w:sz w:val="22"/>
          <w:szCs w:val="22"/>
        </w:rPr>
        <w:t xml:space="preserve">“The applicant fully intends to follow the appropriate procedures outlined in the </w:t>
      </w:r>
      <w:bookmarkStart w:id="20" w:name="_DV_C532"/>
      <w:r w:rsidRPr="00C96CA2">
        <w:rPr>
          <w:rStyle w:val="DeltaViewInsertion"/>
          <w:color w:val="auto"/>
          <w:sz w:val="22"/>
          <w:szCs w:val="22"/>
          <w:u w:val="none"/>
        </w:rPr>
        <w:t>CON</w:t>
      </w:r>
      <w:bookmarkStart w:id="21" w:name="_DV_M469"/>
      <w:bookmarkEnd w:id="20"/>
      <w:bookmarkEnd w:id="21"/>
      <w:r w:rsidRPr="00C96CA2">
        <w:rPr>
          <w:sz w:val="22"/>
          <w:szCs w:val="22"/>
        </w:rPr>
        <w:t xml:space="preserve"> Procedures Manual to include all requirements for public meetings.”</w:t>
      </w:r>
    </w:p>
    <w:p w:rsidR="00A209F2" w:rsidRDefault="00A209F2" w:rsidP="00C96CA2">
      <w:pPr>
        <w:pStyle w:val="BodyText2"/>
        <w:spacing w:after="0" w:line="240" w:lineRule="auto"/>
        <w:jc w:val="both"/>
        <w:rPr>
          <w:b/>
        </w:rPr>
      </w:pPr>
    </w:p>
    <w:p w:rsidR="00AA3EB7" w:rsidRPr="005F7C09" w:rsidRDefault="00D05069" w:rsidP="00C96CA2">
      <w:pPr>
        <w:pStyle w:val="BodyText2"/>
        <w:spacing w:after="0" w:line="240" w:lineRule="auto"/>
        <w:jc w:val="both"/>
        <w:rPr>
          <w:b/>
        </w:rPr>
      </w:pPr>
      <w:r w:rsidRPr="005F7C09">
        <w:rPr>
          <w:b/>
        </w:rPr>
        <w:t xml:space="preserve">B. </w:t>
      </w:r>
      <w:r w:rsidR="00AA3EB7" w:rsidRPr="000B726F">
        <w:rPr>
          <w:b/>
          <w:u w:val="single"/>
        </w:rPr>
        <w:t>C</w:t>
      </w:r>
      <w:r w:rsidR="00C96CA2" w:rsidRPr="000B726F">
        <w:rPr>
          <w:b/>
          <w:u w:val="single"/>
        </w:rPr>
        <w:t xml:space="preserve">ertificate of </w:t>
      </w:r>
      <w:r w:rsidR="00AA3EB7" w:rsidRPr="000B726F">
        <w:rPr>
          <w:b/>
          <w:u w:val="single"/>
        </w:rPr>
        <w:t>N</w:t>
      </w:r>
      <w:r w:rsidR="00C96CA2" w:rsidRPr="000B726F">
        <w:rPr>
          <w:b/>
          <w:u w:val="single"/>
        </w:rPr>
        <w:t xml:space="preserve">eed </w:t>
      </w:r>
      <w:r w:rsidR="00AA3EB7" w:rsidRPr="000B726F">
        <w:rPr>
          <w:b/>
          <w:u w:val="single"/>
        </w:rPr>
        <w:t>U</w:t>
      </w:r>
      <w:r w:rsidR="00C96CA2" w:rsidRPr="000B726F">
        <w:rPr>
          <w:b/>
          <w:u w:val="single"/>
        </w:rPr>
        <w:t>nit Discussion</w:t>
      </w:r>
    </w:p>
    <w:tbl>
      <w:tblPr>
        <w:tblW w:w="0" w:type="auto"/>
        <w:tblLook w:val="01E0" w:firstRow="1" w:lastRow="1" w:firstColumn="1" w:lastColumn="1" w:noHBand="0" w:noVBand="0"/>
      </w:tblPr>
      <w:tblGrid>
        <w:gridCol w:w="4788"/>
        <w:gridCol w:w="4428"/>
      </w:tblGrid>
      <w:tr w:rsidR="00AA3EB7" w:rsidRPr="005F7C09" w:rsidTr="0079511C">
        <w:tc>
          <w:tcPr>
            <w:tcW w:w="4788" w:type="dxa"/>
          </w:tcPr>
          <w:p w:rsidR="00AA3EB7" w:rsidRPr="005F7C09" w:rsidRDefault="00AA3EB7" w:rsidP="005F7C09">
            <w:pPr>
              <w:jc w:val="both"/>
            </w:pPr>
          </w:p>
        </w:tc>
        <w:tc>
          <w:tcPr>
            <w:tcW w:w="4428" w:type="dxa"/>
          </w:tcPr>
          <w:p w:rsidR="001328E1" w:rsidRPr="005F7C09" w:rsidRDefault="001328E1" w:rsidP="005F7C09">
            <w:pPr>
              <w:jc w:val="both"/>
            </w:pPr>
          </w:p>
        </w:tc>
      </w:tr>
    </w:tbl>
    <w:p w:rsidR="0019690A" w:rsidRPr="005F7C09" w:rsidRDefault="0019690A" w:rsidP="005F7C09">
      <w:pPr>
        <w:pStyle w:val="BodyText2"/>
        <w:spacing w:after="0" w:line="240" w:lineRule="auto"/>
        <w:jc w:val="both"/>
      </w:pPr>
      <w:r w:rsidRPr="005F7C09">
        <w:t>Letter of Intent file</w:t>
      </w:r>
      <w:r w:rsidR="0017393D" w:rsidRPr="005F7C09">
        <w:t>d</w:t>
      </w:r>
      <w:r w:rsidRPr="005F7C09">
        <w:t>:</w:t>
      </w:r>
      <w:r w:rsidRPr="005F7C09">
        <w:tab/>
      </w:r>
      <w:r w:rsidRPr="005F7C09">
        <w:tab/>
      </w:r>
      <w:r w:rsidRPr="005F7C09">
        <w:tab/>
      </w:r>
      <w:r w:rsidRPr="005F7C09">
        <w:tab/>
      </w:r>
      <w:r w:rsidRPr="005F7C09">
        <w:tab/>
      </w:r>
      <w:r w:rsidRPr="005F7C09">
        <w:tab/>
      </w:r>
      <w:r w:rsidR="00E62D24">
        <w:t>April 30, 2015</w:t>
      </w:r>
    </w:p>
    <w:p w:rsidR="0019690A" w:rsidRPr="005F7C09" w:rsidRDefault="0019690A" w:rsidP="005F7C09">
      <w:pPr>
        <w:pStyle w:val="BodyText2"/>
        <w:spacing w:after="0" w:line="240" w:lineRule="auto"/>
        <w:jc w:val="both"/>
      </w:pPr>
      <w:r w:rsidRPr="005F7C09">
        <w:t>Technical Assistance meeting held:</w:t>
      </w:r>
      <w:r w:rsidRPr="005F7C09">
        <w:tab/>
      </w:r>
      <w:r w:rsidRPr="005F7C09">
        <w:tab/>
      </w:r>
      <w:r w:rsidRPr="005F7C09">
        <w:tab/>
      </w:r>
      <w:r w:rsidR="00E62D24">
        <w:t>May 11, 2015</w:t>
      </w:r>
    </w:p>
    <w:p w:rsidR="0019690A" w:rsidRPr="005F7C09" w:rsidRDefault="0019690A" w:rsidP="005F7C09">
      <w:pPr>
        <w:pStyle w:val="BodyText2"/>
        <w:spacing w:after="0" w:line="240" w:lineRule="auto"/>
        <w:jc w:val="both"/>
      </w:pPr>
      <w:r w:rsidRPr="005F7C09">
        <w:t>CON application filed:</w:t>
      </w:r>
      <w:r w:rsidRPr="005F7C09">
        <w:tab/>
      </w:r>
      <w:r w:rsidRPr="005F7C09">
        <w:tab/>
      </w:r>
      <w:r w:rsidRPr="005F7C09">
        <w:tab/>
      </w:r>
      <w:r w:rsidRPr="005F7C09">
        <w:tab/>
      </w:r>
      <w:r w:rsidRPr="005F7C09">
        <w:tab/>
      </w:r>
      <w:r w:rsidR="00E62D24">
        <w:t>May 29, 2015</w:t>
      </w:r>
    </w:p>
    <w:p w:rsidR="0019690A" w:rsidRPr="005F7C09" w:rsidRDefault="0019690A" w:rsidP="005F7C09">
      <w:pPr>
        <w:pStyle w:val="BodyText2"/>
        <w:spacing w:after="0" w:line="240" w:lineRule="auto"/>
        <w:jc w:val="both"/>
      </w:pPr>
      <w:r w:rsidRPr="005F7C09">
        <w:t>CON certified as complete:</w:t>
      </w:r>
      <w:r w:rsidRPr="005F7C09">
        <w:tab/>
      </w:r>
      <w:r w:rsidRPr="005F7C09">
        <w:tab/>
      </w:r>
      <w:r w:rsidRPr="005F7C09">
        <w:tab/>
      </w:r>
      <w:r w:rsidRPr="005F7C09">
        <w:tab/>
      </w:r>
      <w:r w:rsidR="00E62D24">
        <w:t>May 29, 2015</w:t>
      </w:r>
    </w:p>
    <w:p w:rsidR="0019690A" w:rsidRPr="005F7C09" w:rsidRDefault="0019690A" w:rsidP="005F7C09">
      <w:pPr>
        <w:pStyle w:val="BodyText2"/>
        <w:spacing w:after="0" w:line="240" w:lineRule="auto"/>
        <w:jc w:val="both"/>
      </w:pPr>
      <w:r w:rsidRPr="005F7C09">
        <w:t>Public Information Meeting held:</w:t>
      </w:r>
      <w:r w:rsidRPr="005F7C09">
        <w:tab/>
      </w:r>
      <w:r w:rsidRPr="005F7C09">
        <w:tab/>
      </w:r>
      <w:r w:rsidRPr="005F7C09">
        <w:tab/>
      </w:r>
      <w:r w:rsidR="00FE4977" w:rsidRPr="005F7C09">
        <w:t>Waived</w:t>
      </w:r>
    </w:p>
    <w:p w:rsidR="00FE4977" w:rsidRPr="005F7C09" w:rsidRDefault="0019690A" w:rsidP="005F7C09">
      <w:pPr>
        <w:pStyle w:val="BodyText2"/>
        <w:spacing w:after="0" w:line="240" w:lineRule="auto"/>
        <w:jc w:val="both"/>
      </w:pPr>
      <w:r w:rsidRPr="005F7C09">
        <w:t>Public Hearing:</w:t>
      </w:r>
      <w:r w:rsidRPr="005F7C09">
        <w:tab/>
      </w:r>
      <w:r w:rsidRPr="005F7C09">
        <w:tab/>
      </w:r>
      <w:r w:rsidRPr="005F7C09">
        <w:tab/>
      </w:r>
      <w:r w:rsidRPr="005F7C09">
        <w:tab/>
      </w:r>
      <w:r w:rsidRPr="005F7C09">
        <w:tab/>
      </w:r>
      <w:r w:rsidRPr="005F7C09">
        <w:tab/>
      </w:r>
      <w:r w:rsidR="00FE4977" w:rsidRPr="005F7C09">
        <w:tab/>
      </w:r>
      <w:r w:rsidR="00FE2A61">
        <w:t>None requested</w:t>
      </w:r>
    </w:p>
    <w:p w:rsidR="00AA3EB7" w:rsidRPr="005F7C09" w:rsidRDefault="005A632C" w:rsidP="005F7C09">
      <w:pPr>
        <w:pStyle w:val="BodyText2"/>
        <w:spacing w:after="0" w:line="240" w:lineRule="auto"/>
        <w:jc w:val="both"/>
      </w:pPr>
      <w:r w:rsidRPr="005F7C09">
        <w:t>Close of Record:</w:t>
      </w:r>
      <w:r w:rsidRPr="005F7C09">
        <w:tab/>
      </w:r>
      <w:r w:rsidRPr="005F7C09">
        <w:tab/>
      </w:r>
      <w:r w:rsidRPr="005F7C09">
        <w:tab/>
      </w:r>
      <w:r w:rsidRPr="005F7C09">
        <w:tab/>
      </w:r>
      <w:r w:rsidRPr="005F7C09">
        <w:tab/>
      </w:r>
      <w:r w:rsidRPr="005F7C09">
        <w:tab/>
      </w:r>
      <w:r w:rsidR="00FE4977" w:rsidRPr="005F7C09">
        <w:tab/>
      </w:r>
      <w:r w:rsidR="00E62D24">
        <w:t>June 29, 2015</w:t>
      </w:r>
    </w:p>
    <w:p w:rsidR="001328E1" w:rsidRPr="005F7C09" w:rsidRDefault="001328E1" w:rsidP="005F7C09">
      <w:pPr>
        <w:jc w:val="both"/>
        <w:rPr>
          <w:b/>
          <w:u w:val="single"/>
        </w:rPr>
      </w:pPr>
      <w:r w:rsidRPr="005F7C09">
        <w:tab/>
      </w:r>
    </w:p>
    <w:p w:rsidR="001328E1" w:rsidRPr="005F7C09" w:rsidRDefault="001328E1" w:rsidP="005F7C09">
      <w:pPr>
        <w:jc w:val="both"/>
        <w:sectPr w:rsidR="001328E1" w:rsidRPr="005F7C09" w:rsidSect="00F25D90">
          <w:headerReference w:type="default" r:id="rId26"/>
          <w:pgSz w:w="12240" w:h="15840"/>
          <w:pgMar w:top="1440" w:right="1440" w:bottom="1440" w:left="1440" w:header="720" w:footer="720" w:gutter="0"/>
          <w:cols w:space="720"/>
          <w:docGrid w:linePitch="360"/>
        </w:sectPr>
      </w:pPr>
    </w:p>
    <w:p w:rsidR="00AA21FB" w:rsidRPr="00C96CA2" w:rsidRDefault="002205A0" w:rsidP="005F7C09">
      <w:pPr>
        <w:pStyle w:val="Heading1"/>
        <w:jc w:val="both"/>
        <w:rPr>
          <w:rFonts w:ascii="Times New Roman" w:hAnsi="Times New Roman" w:cs="Times New Roman"/>
        </w:rPr>
      </w:pPr>
      <w:r w:rsidRPr="00C96CA2">
        <w:rPr>
          <w:rFonts w:ascii="Times New Roman" w:hAnsi="Times New Roman" w:cs="Times New Roman"/>
        </w:rPr>
        <w:lastRenderedPageBreak/>
        <w:t>I</w:t>
      </w:r>
      <w:r w:rsidR="00595EC7" w:rsidRPr="00C96CA2">
        <w:rPr>
          <w:rFonts w:ascii="Times New Roman" w:hAnsi="Times New Roman" w:cs="Times New Roman"/>
        </w:rPr>
        <w:t>X</w:t>
      </w:r>
      <w:r w:rsidR="00AA21FB" w:rsidRPr="00C96CA2">
        <w:rPr>
          <w:rFonts w:ascii="Times New Roman" w:hAnsi="Times New Roman" w:cs="Times New Roman"/>
        </w:rPr>
        <w:t>.</w:t>
      </w:r>
      <w:r w:rsidR="005F7C09" w:rsidRPr="00C96CA2">
        <w:rPr>
          <w:rFonts w:ascii="Times New Roman" w:hAnsi="Times New Roman" w:cs="Times New Roman"/>
        </w:rPr>
        <w:t xml:space="preserve"> </w:t>
      </w:r>
      <w:r w:rsidR="005F7C09" w:rsidRPr="00C96CA2">
        <w:rPr>
          <w:rFonts w:ascii="Times New Roman" w:hAnsi="Times New Roman" w:cs="Times New Roman"/>
        </w:rPr>
        <w:tab/>
        <w:t>Findings and Recommendations</w:t>
      </w:r>
    </w:p>
    <w:p w:rsidR="00AA21FB" w:rsidRPr="005F7C09" w:rsidRDefault="00AA21FB" w:rsidP="005F7C09">
      <w:pPr>
        <w:jc w:val="both"/>
      </w:pPr>
      <w:r w:rsidRPr="005F7C09">
        <w:rPr>
          <w:sz w:val="16"/>
          <w:szCs w:val="16"/>
        </w:rPr>
        <w:cr/>
      </w:r>
      <w:r w:rsidRPr="005F7C09">
        <w:t xml:space="preserve">Based on the preceding analysis, including information contained in the record, </w:t>
      </w:r>
      <w:r w:rsidR="0021371F" w:rsidRPr="005F7C09">
        <w:t xml:space="preserve">the </w:t>
      </w:r>
      <w:r w:rsidR="006A7CB7" w:rsidRPr="005F7C09">
        <w:t>Certificate of Need Unit</w:t>
      </w:r>
      <w:r w:rsidRPr="005F7C09">
        <w:t xml:space="preserve"> recommends that the Commissioner make the following findings:</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A.</w:t>
      </w:r>
      <w:r w:rsidRPr="005F7C09">
        <w:tab/>
      </w:r>
      <w:r w:rsidR="00B55173" w:rsidRPr="005F7C09">
        <w:t>T</w:t>
      </w:r>
      <w:r w:rsidRPr="005F7C09">
        <w:t>he applicant is fit, willing and able to provide the proposed services at the proper standard of care as demonstrated by, among other factors, whether the quality of any health care provided in the past by the applicant or a related party under the applicant’s co</w:t>
      </w:r>
      <w:r w:rsidR="00F75539" w:rsidRPr="005F7C09">
        <w:t>ntrol meets industry standards.</w:t>
      </w:r>
    </w:p>
    <w:p w:rsidR="0021371F" w:rsidRPr="005F7C09" w:rsidRDefault="0021371F" w:rsidP="005F7C09">
      <w:pPr>
        <w:jc w:val="both"/>
        <w:rPr>
          <w:sz w:val="16"/>
          <w:szCs w:val="16"/>
        </w:rPr>
      </w:pPr>
    </w:p>
    <w:p w:rsidR="0021371F" w:rsidRPr="005F7C09" w:rsidRDefault="00EC7048" w:rsidP="005F7C09">
      <w:pPr>
        <w:jc w:val="both"/>
      </w:pPr>
      <w:r w:rsidRPr="005F7C09">
        <w:rPr>
          <w:b/>
        </w:rPr>
        <w:t>B.</w:t>
      </w:r>
      <w:r w:rsidRPr="005F7C09">
        <w:tab/>
      </w:r>
      <w:r w:rsidR="00AA21FB" w:rsidRPr="005F7C09">
        <w:t>The economic feasibility of the proposed services is demonstrated in terms of the:</w:t>
      </w:r>
    </w:p>
    <w:p w:rsidR="0021371F" w:rsidRPr="005F7C09" w:rsidRDefault="0021371F" w:rsidP="005F7C09">
      <w:pPr>
        <w:pStyle w:val="ListParagraph"/>
        <w:ind w:left="1440"/>
        <w:jc w:val="both"/>
        <w:rPr>
          <w:sz w:val="16"/>
          <w:szCs w:val="16"/>
        </w:rPr>
      </w:pPr>
    </w:p>
    <w:p w:rsidR="00AA21FB" w:rsidRPr="005F7C09" w:rsidRDefault="00AA21FB" w:rsidP="005F7C09">
      <w:pPr>
        <w:pStyle w:val="ListParagraph"/>
        <w:numPr>
          <w:ilvl w:val="0"/>
          <w:numId w:val="20"/>
        </w:numPr>
        <w:ind w:left="1080"/>
        <w:jc w:val="both"/>
      </w:pPr>
      <w:r w:rsidRPr="005F7C09">
        <w:t>Capacity of the applicant to support the project financially over its useful life, in light of the rates the applicant expects to be able to charge for the services to be provided by the project; and</w:t>
      </w:r>
    </w:p>
    <w:p w:rsidR="000B3BF8" w:rsidRPr="005F7C09" w:rsidRDefault="000B3BF8" w:rsidP="005F7C09">
      <w:pPr>
        <w:pStyle w:val="ListParagraph"/>
        <w:ind w:left="1080"/>
        <w:jc w:val="both"/>
        <w:rPr>
          <w:sz w:val="16"/>
          <w:szCs w:val="16"/>
        </w:rPr>
      </w:pPr>
    </w:p>
    <w:p w:rsidR="00AA21FB" w:rsidRPr="005F7C09" w:rsidRDefault="00273571" w:rsidP="005F7C09">
      <w:pPr>
        <w:ind w:left="1080" w:hanging="360"/>
        <w:jc w:val="both"/>
      </w:pPr>
      <w:r w:rsidRPr="005F7C09">
        <w:rPr>
          <w:b/>
        </w:rPr>
        <w:t>2.</w:t>
      </w:r>
      <w:r w:rsidRPr="005F7C09">
        <w:tab/>
      </w:r>
      <w:r w:rsidR="00AA21FB" w:rsidRPr="005F7C09">
        <w:t>The applicant’s ability to establish and operate the project in accordance with existing and reasonably anticipated future changes in federal, state and local licensure and other applicable or potentially applicable rules;</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C.</w:t>
      </w:r>
      <w:r w:rsidRPr="005F7C09">
        <w:tab/>
      </w:r>
      <w:r w:rsidR="001D58C4" w:rsidRPr="005F7C09">
        <w:t>T</w:t>
      </w:r>
      <w:r w:rsidRPr="005F7C09">
        <w:t xml:space="preserve">here is a public need for the proposed services </w:t>
      </w:r>
      <w:r w:rsidR="009E1817" w:rsidRPr="005F7C09">
        <w:t xml:space="preserve">as demonstrated by </w:t>
      </w:r>
      <w:r w:rsidRPr="005F7C09">
        <w:t>certain factors, including, but not limited to;</w:t>
      </w:r>
    </w:p>
    <w:p w:rsidR="00AA21FB" w:rsidRPr="005F7C09" w:rsidRDefault="00AA21FB" w:rsidP="005F7C09">
      <w:pPr>
        <w:jc w:val="both"/>
        <w:rPr>
          <w:sz w:val="16"/>
          <w:szCs w:val="16"/>
        </w:rPr>
      </w:pPr>
    </w:p>
    <w:p w:rsidR="00AA21FB" w:rsidRPr="005F7C09" w:rsidRDefault="00AA21FB" w:rsidP="005F7C09">
      <w:pPr>
        <w:pStyle w:val="ListParagraph"/>
        <w:numPr>
          <w:ilvl w:val="0"/>
          <w:numId w:val="21"/>
        </w:numPr>
        <w:jc w:val="both"/>
      </w:pPr>
      <w:r w:rsidRPr="005F7C09">
        <w:t xml:space="preserve">The </w:t>
      </w:r>
      <w:r w:rsidR="009E1817" w:rsidRPr="005F7C09">
        <w:t xml:space="preserve">extent to which the </w:t>
      </w:r>
      <w:r w:rsidRPr="005F7C09">
        <w:t>project will substantially address specific health problems as measured by health needs in the area to be served by the project;</w:t>
      </w:r>
    </w:p>
    <w:p w:rsidR="000B3BF8" w:rsidRPr="005F7C09" w:rsidRDefault="000B3BF8" w:rsidP="005F7C09">
      <w:pPr>
        <w:pStyle w:val="ListParagraph"/>
        <w:ind w:left="1080"/>
        <w:jc w:val="both"/>
        <w:rPr>
          <w:sz w:val="16"/>
          <w:szCs w:val="16"/>
        </w:rPr>
      </w:pPr>
    </w:p>
    <w:p w:rsidR="00AA21FB" w:rsidRPr="005F7C09" w:rsidRDefault="00AA21FB" w:rsidP="005F7C09">
      <w:pPr>
        <w:pStyle w:val="ListParagraph"/>
        <w:numPr>
          <w:ilvl w:val="0"/>
          <w:numId w:val="21"/>
        </w:numPr>
        <w:jc w:val="both"/>
      </w:pPr>
      <w:r w:rsidRPr="005F7C09">
        <w:t>The project has demonstrated that it will have a positive impact on the health status indicators of the population to be served;</w:t>
      </w:r>
    </w:p>
    <w:p w:rsidR="000B3BF8" w:rsidRPr="005F7C09" w:rsidRDefault="000B3BF8" w:rsidP="005F7C09">
      <w:pPr>
        <w:jc w:val="both"/>
        <w:rPr>
          <w:sz w:val="16"/>
          <w:szCs w:val="16"/>
        </w:rPr>
      </w:pPr>
    </w:p>
    <w:p w:rsidR="00AA21FB" w:rsidRPr="005F7C09" w:rsidRDefault="009E1817" w:rsidP="005F7C09">
      <w:pPr>
        <w:pStyle w:val="ListParagraph"/>
        <w:numPr>
          <w:ilvl w:val="0"/>
          <w:numId w:val="21"/>
        </w:numPr>
        <w:jc w:val="both"/>
      </w:pPr>
      <w:r w:rsidRPr="005F7C09">
        <w:t>T</w:t>
      </w:r>
      <w:r w:rsidR="00AA21FB" w:rsidRPr="005F7C09">
        <w:t xml:space="preserve">he project will be </w:t>
      </w:r>
      <w:r w:rsidRPr="005F7C09">
        <w:t xml:space="preserve">accessible to all residents of </w:t>
      </w:r>
      <w:r w:rsidR="00AA21FB" w:rsidRPr="005F7C09">
        <w:t>the area proposed to be served; and</w:t>
      </w:r>
    </w:p>
    <w:p w:rsidR="000B3BF8" w:rsidRPr="005F7C09" w:rsidRDefault="000B3BF8" w:rsidP="005F7C09">
      <w:pPr>
        <w:pStyle w:val="ListParagraph"/>
        <w:jc w:val="both"/>
        <w:rPr>
          <w:sz w:val="16"/>
          <w:szCs w:val="16"/>
        </w:rPr>
      </w:pPr>
    </w:p>
    <w:p w:rsidR="00AA21FB" w:rsidRPr="005F7C09" w:rsidRDefault="009E1817" w:rsidP="005F7C09">
      <w:pPr>
        <w:pStyle w:val="ListParagraph"/>
        <w:numPr>
          <w:ilvl w:val="0"/>
          <w:numId w:val="21"/>
        </w:numPr>
        <w:jc w:val="both"/>
      </w:pPr>
      <w:r w:rsidRPr="005F7C09">
        <w:t>T</w:t>
      </w:r>
      <w:r w:rsidR="00AA21FB" w:rsidRPr="005F7C09">
        <w:t>he project will provide demonstrable improvements in quality and outcome measu</w:t>
      </w:r>
      <w:r w:rsidRPr="005F7C09">
        <w:t>res applicab</w:t>
      </w:r>
      <w:r w:rsidR="0021371F" w:rsidRPr="005F7C09">
        <w:t>l</w:t>
      </w:r>
      <w:r w:rsidRPr="005F7C09">
        <w:t xml:space="preserve">e to the services </w:t>
      </w:r>
      <w:r w:rsidR="00AA21FB" w:rsidRPr="005F7C09">
        <w:t>proposed in the</w:t>
      </w:r>
      <w:r w:rsidRPr="005F7C09">
        <w:t xml:space="preserve"> project</w:t>
      </w:r>
      <w:r w:rsidR="00F75539" w:rsidRPr="005F7C09">
        <w:t>;</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D.</w:t>
      </w:r>
      <w:r w:rsidRPr="005F7C09">
        <w:tab/>
      </w:r>
      <w:r w:rsidR="001D58C4" w:rsidRPr="005F7C09">
        <w:t>T</w:t>
      </w:r>
      <w:r w:rsidRPr="005F7C09">
        <w:t>he proposed services are consistent with the orderly and economic development of health facilities and health resources for the State as demonstrated by:</w:t>
      </w:r>
    </w:p>
    <w:p w:rsidR="00AA21FB" w:rsidRPr="005F7C09" w:rsidRDefault="00AA21FB" w:rsidP="005F7C09">
      <w:pPr>
        <w:jc w:val="both"/>
        <w:rPr>
          <w:sz w:val="16"/>
          <w:szCs w:val="16"/>
        </w:rPr>
      </w:pPr>
    </w:p>
    <w:p w:rsidR="00AA21FB" w:rsidRPr="005F7C09" w:rsidRDefault="009E1817" w:rsidP="005F7C09">
      <w:pPr>
        <w:pStyle w:val="ListParagraph"/>
        <w:numPr>
          <w:ilvl w:val="0"/>
          <w:numId w:val="22"/>
        </w:numPr>
        <w:jc w:val="both"/>
      </w:pPr>
      <w:r w:rsidRPr="005F7C09">
        <w:t>T</w:t>
      </w:r>
      <w:r w:rsidR="00AA21FB" w:rsidRPr="005F7C09">
        <w:t xml:space="preserve">he impact of the project on total health </w:t>
      </w:r>
      <w:r w:rsidRPr="005F7C09">
        <w:t>c</w:t>
      </w:r>
      <w:r w:rsidR="00AA21FB" w:rsidRPr="005F7C09">
        <w:t>are expenditures after taking into account, to the extent practical, both the costs</w:t>
      </w:r>
      <w:r w:rsidRPr="005F7C09">
        <w:t xml:space="preserve"> </w:t>
      </w:r>
      <w:r w:rsidR="00AA21FB" w:rsidRPr="005F7C09">
        <w:t>and benefits of the project and the competing demands in the local service area</w:t>
      </w:r>
      <w:r w:rsidRPr="005F7C09">
        <w:t xml:space="preserve"> </w:t>
      </w:r>
      <w:r w:rsidR="00AA21FB" w:rsidRPr="005F7C09">
        <w:t xml:space="preserve">and statewide for available resources for health care; </w:t>
      </w:r>
    </w:p>
    <w:p w:rsidR="000B3BF8" w:rsidRPr="005F7C09" w:rsidRDefault="000B3BF8" w:rsidP="005F7C09">
      <w:pPr>
        <w:pStyle w:val="ListParagraph"/>
        <w:ind w:left="1080"/>
        <w:jc w:val="both"/>
        <w:rPr>
          <w:sz w:val="16"/>
          <w:szCs w:val="16"/>
        </w:rPr>
      </w:pPr>
    </w:p>
    <w:p w:rsidR="00AA21FB" w:rsidRPr="005F7C09" w:rsidRDefault="00AA21FB" w:rsidP="005F7C09">
      <w:pPr>
        <w:pStyle w:val="ListParagraph"/>
        <w:numPr>
          <w:ilvl w:val="0"/>
          <w:numId w:val="22"/>
        </w:numPr>
        <w:jc w:val="both"/>
      </w:pPr>
      <w:r w:rsidRPr="005F7C09">
        <w:t>The availability of State funds to cover any increase in state costs associated with utilization of the project’s services; and</w:t>
      </w:r>
    </w:p>
    <w:p w:rsidR="000B3BF8" w:rsidRPr="005F7C09" w:rsidRDefault="000B3BF8" w:rsidP="005F7C09">
      <w:pPr>
        <w:jc w:val="both"/>
      </w:pPr>
    </w:p>
    <w:p w:rsidR="000B3BF8" w:rsidRPr="005F7C09" w:rsidRDefault="00AA21FB" w:rsidP="005F7C09">
      <w:pPr>
        <w:pStyle w:val="ListParagraph"/>
        <w:numPr>
          <w:ilvl w:val="0"/>
          <w:numId w:val="22"/>
        </w:numPr>
        <w:jc w:val="both"/>
      </w:pPr>
      <w:r w:rsidRPr="005F7C09">
        <w:t>The likelihood that more effective, more accessible or less costly alternative technologies or methods of service de</w:t>
      </w:r>
      <w:r w:rsidR="00616524" w:rsidRPr="005F7C09">
        <w:t>livery may become available was</w:t>
      </w:r>
      <w:r w:rsidRPr="005F7C09">
        <w:t xml:space="preserve"> demonstrated by the applicant;</w:t>
      </w:r>
    </w:p>
    <w:p w:rsidR="009530A6" w:rsidRPr="005F7C09" w:rsidRDefault="009530A6" w:rsidP="005F7C09">
      <w:pPr>
        <w:ind w:left="720"/>
        <w:jc w:val="both"/>
        <w:sectPr w:rsidR="009530A6" w:rsidRPr="005F7C09" w:rsidSect="00F25D90">
          <w:headerReference w:type="even" r:id="rId27"/>
          <w:headerReference w:type="default" r:id="rId28"/>
          <w:headerReference w:type="first" r:id="rId29"/>
          <w:pgSz w:w="12240" w:h="15840"/>
          <w:pgMar w:top="1440" w:right="1440" w:bottom="1440" w:left="1440" w:header="720" w:footer="720" w:gutter="0"/>
          <w:cols w:space="720"/>
          <w:docGrid w:linePitch="360"/>
        </w:sectPr>
      </w:pPr>
    </w:p>
    <w:p w:rsidR="009530A6" w:rsidRPr="005F7C09" w:rsidRDefault="009530A6" w:rsidP="005F7C09">
      <w:pPr>
        <w:ind w:left="720"/>
        <w:jc w:val="both"/>
      </w:pPr>
    </w:p>
    <w:p w:rsidR="000B3BF8" w:rsidRPr="005F7C09" w:rsidRDefault="00E04446" w:rsidP="005F7C09">
      <w:pPr>
        <w:ind w:left="720" w:hanging="720"/>
        <w:jc w:val="both"/>
      </w:pPr>
      <w:r w:rsidRPr="005F7C09">
        <w:rPr>
          <w:b/>
        </w:rPr>
        <w:t>E</w:t>
      </w:r>
      <w:r w:rsidR="00AA21FB" w:rsidRPr="005F7C09">
        <w:rPr>
          <w:b/>
        </w:rPr>
        <w:t>.</w:t>
      </w:r>
      <w:r w:rsidR="00AA21FB" w:rsidRPr="005F7C09">
        <w:tab/>
      </w:r>
      <w:r w:rsidR="001D58C4" w:rsidRPr="005F7C09">
        <w:t>T</w:t>
      </w:r>
      <w:r w:rsidR="00AA21FB" w:rsidRPr="005F7C09">
        <w:t>he project ensures high-quality outcomes and does not negatively affect the quality of care delivere</w:t>
      </w:r>
      <w:r w:rsidR="001D58C4" w:rsidRPr="005F7C09">
        <w:t>d by existing service providers:</w:t>
      </w:r>
    </w:p>
    <w:p w:rsidR="00AA21FB" w:rsidRPr="005F7C09" w:rsidRDefault="00AA21FB" w:rsidP="005F7C09">
      <w:pPr>
        <w:jc w:val="both"/>
      </w:pPr>
    </w:p>
    <w:p w:rsidR="00AA21FB" w:rsidRPr="005F7C09" w:rsidRDefault="00E04446" w:rsidP="005F7C09">
      <w:pPr>
        <w:ind w:left="720" w:hanging="720"/>
        <w:jc w:val="both"/>
      </w:pPr>
      <w:r w:rsidRPr="005F7C09">
        <w:rPr>
          <w:b/>
        </w:rPr>
        <w:t>F</w:t>
      </w:r>
      <w:r w:rsidR="00AA21FB" w:rsidRPr="005F7C09">
        <w:rPr>
          <w:b/>
        </w:rPr>
        <w:t>.</w:t>
      </w:r>
      <w:r w:rsidR="00AA21FB" w:rsidRPr="005F7C09">
        <w:tab/>
      </w:r>
      <w:r w:rsidR="001D58C4" w:rsidRPr="005F7C09">
        <w:t>T</w:t>
      </w:r>
      <w:r w:rsidR="00AA21FB" w:rsidRPr="005F7C09">
        <w:t>he project does not result in inappropriate increases in service utilization, according to the principles of evidence-based medicine adopted by the Maine Quality Forum; and</w:t>
      </w:r>
    </w:p>
    <w:p w:rsidR="000853B9" w:rsidRPr="005F7C09" w:rsidRDefault="000853B9" w:rsidP="005F7C09">
      <w:pPr>
        <w:jc w:val="both"/>
      </w:pPr>
    </w:p>
    <w:p w:rsidR="000853B9" w:rsidRPr="005F7C09" w:rsidRDefault="0021371F" w:rsidP="005F7C09">
      <w:pPr>
        <w:ind w:left="720" w:hanging="720"/>
        <w:jc w:val="both"/>
      </w:pPr>
      <w:r w:rsidRPr="005F7C09">
        <w:rPr>
          <w:b/>
        </w:rPr>
        <w:t>G.</w:t>
      </w:r>
      <w:r w:rsidRPr="005F7C09">
        <w:t xml:space="preserve"> </w:t>
      </w:r>
      <w:r w:rsidRPr="005F7C09">
        <w:tab/>
        <w:t xml:space="preserve">The project does not need </w:t>
      </w:r>
      <w:r w:rsidR="000853B9" w:rsidRPr="005F7C09">
        <w:t>fund</w:t>
      </w:r>
      <w:r w:rsidRPr="005F7C09">
        <w:t xml:space="preserve">ing from </w:t>
      </w:r>
      <w:r w:rsidR="000853B9" w:rsidRPr="005F7C09">
        <w:t>within the Nursing Facility MaineCare Funding Pool.</w:t>
      </w:r>
    </w:p>
    <w:p w:rsidR="00DA072B" w:rsidRPr="005F7C09" w:rsidRDefault="00DA072B" w:rsidP="005F7C09">
      <w:pPr>
        <w:jc w:val="both"/>
      </w:pPr>
    </w:p>
    <w:p w:rsidR="00DA072B" w:rsidRPr="005F7C09" w:rsidRDefault="00DA072B" w:rsidP="005F7C09">
      <w:pPr>
        <w:jc w:val="both"/>
      </w:pPr>
      <w:r w:rsidRPr="005F7C09">
        <w:t>For all the reasons contained in th</w:t>
      </w:r>
      <w:r w:rsidR="00A02D6E" w:rsidRPr="005F7C09">
        <w:t>is</w:t>
      </w:r>
      <w:r w:rsidRPr="005F7C09">
        <w:t xml:space="preserve"> preliminary analysis and </w:t>
      </w:r>
      <w:r w:rsidR="00A02D6E" w:rsidRPr="005F7C09">
        <w:t xml:space="preserve">based upon information contained </w:t>
      </w:r>
      <w:r w:rsidRPr="005F7C09">
        <w:t xml:space="preserve">in the record, </w:t>
      </w:r>
      <w:r w:rsidR="006A7CB7" w:rsidRPr="005F7C09">
        <w:t>C</w:t>
      </w:r>
      <w:r w:rsidR="0079298B">
        <w:t>ON</w:t>
      </w:r>
      <w:r w:rsidR="006A7CB7" w:rsidRPr="005F7C09">
        <w:t xml:space="preserve"> Unit</w:t>
      </w:r>
      <w:r w:rsidRPr="005F7C09">
        <w:t xml:space="preserve"> recommends that the Commissioner determine that this project should be </w:t>
      </w:r>
      <w:r w:rsidR="0021371F" w:rsidRPr="005F7C09">
        <w:rPr>
          <w:b/>
        </w:rPr>
        <w:t>approved</w:t>
      </w:r>
      <w:r w:rsidR="00C70524" w:rsidRPr="005F7C09">
        <w:rPr>
          <w:b/>
        </w:rPr>
        <w:t>.</w:t>
      </w:r>
    </w:p>
    <w:sectPr w:rsidR="00DA072B" w:rsidRPr="005F7C09" w:rsidSect="00F2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46" w:rsidRDefault="005D5C46">
      <w:r>
        <w:separator/>
      </w:r>
    </w:p>
  </w:endnote>
  <w:endnote w:type="continuationSeparator" w:id="0">
    <w:p w:rsidR="005D5C46" w:rsidRDefault="005D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07352"/>
      <w:docPartObj>
        <w:docPartGallery w:val="Page Numbers (Bottom of Page)"/>
        <w:docPartUnique/>
      </w:docPartObj>
    </w:sdtPr>
    <w:sdtEndPr/>
    <w:sdtContent>
      <w:sdt>
        <w:sdtPr>
          <w:id w:val="-1669238322"/>
          <w:docPartObj>
            <w:docPartGallery w:val="Page Numbers (Top of Page)"/>
            <w:docPartUnique/>
          </w:docPartObj>
        </w:sdtPr>
        <w:sdtEndPr/>
        <w:sdtContent>
          <w:p w:rsidR="005D5C46" w:rsidRDefault="005D5C46">
            <w:pPr>
              <w:pStyle w:val="Footer"/>
              <w:jc w:val="center"/>
            </w:pPr>
            <w:r>
              <w:t xml:space="preserve">Page </w:t>
            </w:r>
            <w:r>
              <w:rPr>
                <w:b/>
                <w:bCs/>
              </w:rPr>
              <w:fldChar w:fldCharType="begin"/>
            </w:r>
            <w:r>
              <w:rPr>
                <w:b/>
                <w:bCs/>
              </w:rPr>
              <w:instrText xml:space="preserve"> PAGE </w:instrText>
            </w:r>
            <w:r>
              <w:rPr>
                <w:b/>
                <w:bCs/>
              </w:rPr>
              <w:fldChar w:fldCharType="separate"/>
            </w:r>
            <w:r w:rsidR="009F646A">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9F646A">
              <w:rPr>
                <w:b/>
                <w:bCs/>
                <w:noProof/>
              </w:rPr>
              <w:t>20</w:t>
            </w:r>
            <w:r>
              <w:rPr>
                <w:b/>
                <w:bCs/>
              </w:rPr>
              <w:fldChar w:fldCharType="end"/>
            </w:r>
          </w:p>
        </w:sdtContent>
      </w:sdt>
    </w:sdtContent>
  </w:sdt>
  <w:p w:rsidR="005D5C46" w:rsidRDefault="005D5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46" w:rsidRDefault="005D5C46">
      <w:r>
        <w:separator/>
      </w:r>
    </w:p>
  </w:footnote>
  <w:footnote w:type="continuationSeparator" w:id="0">
    <w:p w:rsidR="005D5C46" w:rsidRDefault="005D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Pr="00383B7D" w:rsidRDefault="005D5C46" w:rsidP="00F56CBD">
    <w:pPr>
      <w:pStyle w:val="Header"/>
      <w:tabs>
        <w:tab w:val="clear" w:pos="8640"/>
        <w:tab w:val="right" w:pos="9360"/>
      </w:tabs>
      <w:ind w:left="-1080" w:right="-900"/>
      <w:jc w:val="center"/>
      <w:rPr>
        <w:b/>
        <w:noProof/>
      </w:rPr>
    </w:pPr>
  </w:p>
  <w:p w:rsidR="005D5C46" w:rsidRPr="00383B7D" w:rsidRDefault="005D5C46" w:rsidP="00F56CBD">
    <w:pPr>
      <w:pStyle w:val="Header"/>
      <w:tabs>
        <w:tab w:val="clear" w:pos="8640"/>
        <w:tab w:val="right" w:pos="9360"/>
      </w:tabs>
      <w:ind w:left="-1080" w:right="-900"/>
      <w:jc w:val="center"/>
      <w:rPr>
        <w:b/>
        <w:noProof/>
      </w:rPr>
    </w:pPr>
    <w:r w:rsidRPr="00383B7D">
      <w:rPr>
        <w:b/>
        <w:noProof/>
      </w:rPr>
      <w:t xml:space="preserve">Department of Health and Human Services </w:t>
    </w:r>
  </w:p>
  <w:p w:rsidR="005D5C46" w:rsidRPr="00383B7D" w:rsidRDefault="005D5C46" w:rsidP="00F56CBD">
    <w:pPr>
      <w:pStyle w:val="Header"/>
      <w:tabs>
        <w:tab w:val="clear" w:pos="8640"/>
        <w:tab w:val="right" w:pos="9360"/>
      </w:tabs>
      <w:ind w:left="-1080" w:right="-900"/>
      <w:jc w:val="center"/>
      <w:rPr>
        <w:b/>
        <w:noProof/>
      </w:rPr>
    </w:pPr>
    <w:r w:rsidRPr="00383B7D">
      <w:rPr>
        <w:b/>
        <w:noProof/>
      </w:rPr>
      <w:t>Division of Licensing and Regulatory Services</w:t>
    </w:r>
  </w:p>
  <w:p w:rsidR="005D5C46" w:rsidRPr="00383B7D" w:rsidRDefault="005D5C46" w:rsidP="00F56CBD">
    <w:pPr>
      <w:pStyle w:val="Header"/>
      <w:tabs>
        <w:tab w:val="clear" w:pos="8640"/>
        <w:tab w:val="right" w:pos="9360"/>
      </w:tabs>
      <w:ind w:left="-1080" w:right="-900"/>
      <w:jc w:val="center"/>
      <w:rPr>
        <w:b/>
        <w:noProof/>
      </w:rPr>
    </w:pPr>
    <w:r w:rsidRPr="00383B7D">
      <w:rPr>
        <w:b/>
        <w:noProof/>
      </w:rPr>
      <w:t>State House Station #11, Augusta, Maine</w:t>
    </w:r>
  </w:p>
  <w:p w:rsidR="005D5C46" w:rsidRPr="00383B7D" w:rsidRDefault="005D5C46" w:rsidP="00F56CBD">
    <w:pPr>
      <w:pStyle w:val="Header"/>
      <w:tabs>
        <w:tab w:val="clear" w:pos="8640"/>
        <w:tab w:val="right" w:pos="9360"/>
      </w:tabs>
      <w:ind w:left="-1080" w:right="-900"/>
      <w:jc w:val="center"/>
      <w:rPr>
        <w:b/>
        <w:noProof/>
      </w:rPr>
    </w:pPr>
    <w:r w:rsidRPr="00383B7D">
      <w:rPr>
        <w:b/>
        <w:noProof/>
      </w:rPr>
      <w:t>Preliminary Analysis</w:t>
    </w:r>
  </w:p>
  <w:p w:rsidR="005D5C46" w:rsidRPr="00F56CBD" w:rsidRDefault="005D5C46" w:rsidP="00F56CBD">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1804AF">
    <w:pPr>
      <w:pStyle w:val="Header"/>
      <w:tabs>
        <w:tab w:val="clear" w:pos="8640"/>
        <w:tab w:val="right" w:pos="9360"/>
      </w:tabs>
      <w:jc w:val="center"/>
      <w:rPr>
        <w:rStyle w:val="PageNumber"/>
      </w:rPr>
    </w:pPr>
    <w:r>
      <w:t>Durgin Pines</w:t>
    </w:r>
    <w:r>
      <w:tab/>
    </w:r>
    <w:r>
      <w:rPr>
        <w:rStyle w:val="PageNumber"/>
      </w:rPr>
      <w:tab/>
      <w:t xml:space="preserve">Transfer of Ownership </w:t>
    </w:r>
  </w:p>
  <w:p w:rsidR="005D5C46" w:rsidRDefault="005D5C46"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pPr>
      <w:pStyle w:val="Header"/>
      <w:rPr>
        <w:rStyle w:val="PageNumber"/>
      </w:rPr>
    </w:pPr>
    <w:r>
      <w:rPr>
        <w:rStyle w:val="PageNumber"/>
      </w:rPr>
      <w:t>VI. Outcomes and Community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1804AF">
    <w:pPr>
      <w:pStyle w:val="Header"/>
      <w:tabs>
        <w:tab w:val="clear" w:pos="8640"/>
        <w:tab w:val="right" w:pos="9360"/>
      </w:tabs>
      <w:jc w:val="center"/>
      <w:rPr>
        <w:rStyle w:val="PageNumber"/>
      </w:rPr>
    </w:pPr>
    <w:r>
      <w:t>Durgin Pines</w:t>
    </w:r>
    <w:r>
      <w:tab/>
    </w:r>
    <w:r>
      <w:rPr>
        <w:rStyle w:val="PageNumber"/>
      </w:rPr>
      <w:tab/>
      <w:t xml:space="preserve">Transfer of Ownership </w:t>
    </w:r>
  </w:p>
  <w:p w:rsidR="005D5C46" w:rsidRDefault="005D5C46"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pPr>
      <w:pStyle w:val="Header"/>
      <w:rPr>
        <w:rStyle w:val="PageNumber"/>
      </w:rPr>
    </w:pPr>
    <w:r>
      <w:rPr>
        <w:rStyle w:val="PageNumber"/>
      </w:rPr>
      <w:t>VII. Service Utilization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1804AF">
    <w:pPr>
      <w:pStyle w:val="Header"/>
      <w:tabs>
        <w:tab w:val="clear" w:pos="8640"/>
        <w:tab w:val="right" w:pos="9360"/>
      </w:tabs>
      <w:jc w:val="center"/>
      <w:rPr>
        <w:rStyle w:val="PageNumber"/>
      </w:rPr>
    </w:pPr>
    <w:r>
      <w:t>Durgin Pines</w:t>
    </w:r>
    <w:r>
      <w:tab/>
    </w:r>
    <w:r>
      <w:rPr>
        <w:rStyle w:val="PageNumber"/>
      </w:rPr>
      <w:tab/>
      <w:t xml:space="preserve">Transfer of Ownership </w:t>
    </w:r>
  </w:p>
  <w:p w:rsidR="005D5C46" w:rsidRDefault="005D5C46"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rsidP="00106349">
    <w:pPr>
      <w:pStyle w:val="Header"/>
      <w:tabs>
        <w:tab w:val="clear" w:pos="4320"/>
        <w:tab w:val="clear" w:pos="8640"/>
      </w:tabs>
    </w:pPr>
    <w:r>
      <w:t>VIII. Timely Notice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67479F">
    <w:pPr>
      <w:pStyle w:val="Header"/>
      <w:tabs>
        <w:tab w:val="clear" w:pos="8640"/>
        <w:tab w:val="left" w:pos="6507"/>
        <w:tab w:val="right" w:pos="9360"/>
      </w:tabs>
      <w:rPr>
        <w:rStyle w:val="PageNumber"/>
      </w:rPr>
    </w:pPr>
    <w:r>
      <w:t>Durgin Pines</w:t>
    </w:r>
    <w:r>
      <w:tab/>
    </w:r>
    <w:r>
      <w:rPr>
        <w:rStyle w:val="PageNumber"/>
      </w:rPr>
      <w:tab/>
    </w:r>
    <w:r>
      <w:rPr>
        <w:rStyle w:val="PageNumber"/>
      </w:rPr>
      <w:tab/>
      <w:t xml:space="preserve">Transfer of Ownership </w:t>
    </w:r>
  </w:p>
  <w:p w:rsidR="005D5C46" w:rsidRDefault="005D5C46"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rsidP="0019690A">
    <w:pPr>
      <w:pStyle w:val="Header"/>
      <w:tabs>
        <w:tab w:val="clear" w:pos="4320"/>
        <w:tab w:val="clear" w:pos="8640"/>
      </w:tabs>
    </w:pPr>
    <w:r>
      <w:t>IX. Findings and Recommendations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Pr="005D5C46" w:rsidRDefault="005D5C46" w:rsidP="005D5C46">
    <w:pPr>
      <w:pStyle w:val="Header"/>
      <w:jc w:val="center"/>
      <w:rPr>
        <w:b/>
      </w:rPr>
    </w:pPr>
    <w:r w:rsidRPr="005D5C46">
      <w:rPr>
        <w:b/>
      </w:rPr>
      <w:t>Department of Health and Human Services</w:t>
    </w:r>
  </w:p>
  <w:p w:rsidR="005D5C46" w:rsidRPr="005D5C46" w:rsidRDefault="005D5C46" w:rsidP="005D5C46">
    <w:pPr>
      <w:pStyle w:val="Header"/>
      <w:jc w:val="center"/>
      <w:rPr>
        <w:b/>
      </w:rPr>
    </w:pPr>
    <w:r w:rsidRPr="005D5C46">
      <w:rPr>
        <w:b/>
      </w:rPr>
      <w:t>Division of Licensing and Regulatory Services</w:t>
    </w:r>
  </w:p>
  <w:p w:rsidR="005D5C46" w:rsidRPr="005D5C46" w:rsidRDefault="005D5C46" w:rsidP="005D5C46">
    <w:pPr>
      <w:pStyle w:val="Header"/>
      <w:jc w:val="center"/>
      <w:rPr>
        <w:b/>
      </w:rPr>
    </w:pPr>
    <w:r w:rsidRPr="005D5C46">
      <w:rPr>
        <w:b/>
      </w:rPr>
      <w:t>State House Station #11, Augusta, Maine</w:t>
    </w:r>
  </w:p>
  <w:p w:rsidR="005D5C46" w:rsidRPr="005D5C46" w:rsidRDefault="005D5C46" w:rsidP="005D5C46">
    <w:pPr>
      <w:pStyle w:val="Header"/>
      <w:jc w:val="center"/>
      <w:rPr>
        <w:b/>
      </w:rPr>
    </w:pPr>
    <w:r w:rsidRPr="005D5C46">
      <w:rPr>
        <w:b/>
      </w:rPr>
      <w:t>Preliminary Analysis</w:t>
    </w:r>
  </w:p>
  <w:p w:rsidR="005D5C46" w:rsidRDefault="005D5C46" w:rsidP="005D5C4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5D5C46" w:rsidRDefault="005D5C46"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932838">
    <w:pPr>
      <w:pStyle w:val="Header"/>
      <w:tabs>
        <w:tab w:val="clear" w:pos="8640"/>
        <w:tab w:val="right" w:pos="9360"/>
      </w:tabs>
      <w:rPr>
        <w:rStyle w:val="PageNumber"/>
      </w:rPr>
    </w:pPr>
    <w:r>
      <w:t xml:space="preserve">Durgin Pines  </w:t>
    </w:r>
    <w:r>
      <w:tab/>
    </w:r>
    <w:r>
      <w:rPr>
        <w:rStyle w:val="PageNumber"/>
      </w:rPr>
      <w:tab/>
      <w:t xml:space="preserve">Transfer of Ownership </w:t>
    </w:r>
  </w:p>
  <w:p w:rsidR="005D5C46" w:rsidRDefault="005D5C46"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pPr>
      <w:pStyle w:val="Header"/>
      <w:rPr>
        <w:rStyle w:val="PageNumber"/>
      </w:rPr>
    </w:pPr>
    <w:r>
      <w:rPr>
        <w:rStyle w:val="PageNumber"/>
      </w:rPr>
      <w:t>I. 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237C8E">
    <w:pPr>
      <w:pStyle w:val="Header"/>
      <w:tabs>
        <w:tab w:val="clear" w:pos="8640"/>
        <w:tab w:val="right" w:pos="9360"/>
      </w:tabs>
      <w:jc w:val="center"/>
      <w:rPr>
        <w:rStyle w:val="PageNumber"/>
      </w:rPr>
    </w:pPr>
    <w:r>
      <w:t>Durgin Pines</w:t>
    </w:r>
    <w:r>
      <w:tab/>
    </w:r>
    <w:r>
      <w:rPr>
        <w:rStyle w:val="PageNumber"/>
      </w:rPr>
      <w:tab/>
      <w:t xml:space="preserve">Transfer of Ownership </w:t>
    </w:r>
  </w:p>
  <w:p w:rsidR="005D5C46" w:rsidRDefault="005D5C46"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pPr>
      <w:pStyle w:val="Header"/>
      <w:rPr>
        <w:rStyle w:val="PageNumber"/>
      </w:rPr>
    </w:pPr>
    <w:r>
      <w:rPr>
        <w:rStyle w:val="PageNumber"/>
      </w:rPr>
      <w:t>II. 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1804AF">
    <w:pPr>
      <w:pStyle w:val="Header"/>
      <w:tabs>
        <w:tab w:val="clear" w:pos="8640"/>
        <w:tab w:val="right" w:pos="9360"/>
      </w:tabs>
      <w:jc w:val="center"/>
      <w:rPr>
        <w:rStyle w:val="PageNumber"/>
      </w:rPr>
    </w:pPr>
    <w:r>
      <w:t>Durgin Pines</w:t>
    </w:r>
    <w:r>
      <w:tab/>
    </w:r>
    <w:r>
      <w:rPr>
        <w:rStyle w:val="PageNumber"/>
      </w:rPr>
      <w:tab/>
      <w:t xml:space="preserve">Transfer of Ownership </w:t>
    </w:r>
  </w:p>
  <w:p w:rsidR="005D5C46" w:rsidRDefault="005D5C46"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rsidP="005F331D">
    <w:pPr>
      <w:pStyle w:val="Header"/>
      <w:tabs>
        <w:tab w:val="clear" w:pos="8640"/>
        <w:tab w:val="right" w:pos="9360"/>
      </w:tabs>
      <w:rPr>
        <w:rStyle w:val="PageNumber"/>
        <w:bCs/>
      </w:rPr>
    </w:pPr>
    <w:r>
      <w:rPr>
        <w:rStyle w:val="PageNumber"/>
        <w:bCs/>
      </w:rPr>
      <w:t>III. Economic Feasibility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1804AF">
    <w:pPr>
      <w:pStyle w:val="Header"/>
      <w:tabs>
        <w:tab w:val="clear" w:pos="8640"/>
        <w:tab w:val="right" w:pos="9360"/>
      </w:tabs>
      <w:jc w:val="center"/>
      <w:rPr>
        <w:rStyle w:val="PageNumber"/>
      </w:rPr>
    </w:pPr>
    <w:r>
      <w:t>Durgin Pines</w:t>
    </w:r>
    <w:r>
      <w:tab/>
    </w:r>
    <w:r>
      <w:rPr>
        <w:rStyle w:val="PageNumber"/>
      </w:rPr>
      <w:tab/>
      <w:t xml:space="preserve">Transfer of Ownership </w:t>
    </w:r>
  </w:p>
  <w:p w:rsidR="005D5C46" w:rsidRDefault="005D5C46"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rsidP="005F331D">
    <w:pPr>
      <w:pStyle w:val="Header"/>
      <w:tabs>
        <w:tab w:val="clear" w:pos="8640"/>
        <w:tab w:val="right" w:pos="9360"/>
      </w:tabs>
      <w:rPr>
        <w:rStyle w:val="PageNumber"/>
        <w:bCs/>
      </w:rPr>
    </w:pPr>
    <w:r>
      <w:rPr>
        <w:rStyle w:val="PageNumber"/>
        <w:bCs/>
      </w:rPr>
      <w:t>IV. Public Need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rsidP="00F62A4F">
    <w:pPr>
      <w:pStyle w:val="Header"/>
      <w:tabs>
        <w:tab w:val="clear" w:pos="8640"/>
        <w:tab w:val="right" w:pos="9360"/>
      </w:tabs>
      <w:jc w:val="center"/>
      <w:rPr>
        <w:rStyle w:val="PageNumber"/>
      </w:rPr>
    </w:pPr>
    <w:r>
      <w:t>Durgin Pines</w:t>
    </w:r>
    <w:r>
      <w:tab/>
    </w:r>
    <w:r>
      <w:rPr>
        <w:rStyle w:val="PageNumber"/>
      </w:rPr>
      <w:tab/>
      <w:t>Transfer of Ownership</w:t>
    </w:r>
  </w:p>
  <w:p w:rsidR="005D5C46" w:rsidRDefault="005D5C46" w:rsidP="00F62A4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D5C46" w:rsidRDefault="005D5C46" w:rsidP="00F62A4F">
    <w:pPr>
      <w:pStyle w:val="Header"/>
      <w:rPr>
        <w:rStyle w:val="PageNumber"/>
      </w:rPr>
    </w:pPr>
    <w:r>
      <w:rPr>
        <w:rStyle w:val="PageNumber"/>
      </w:rPr>
      <w:t>V. Orderly and Economic Development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46" w:rsidRDefault="005D5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471733"/>
    <w:multiLevelType w:val="multilevel"/>
    <w:tmpl w:val="6746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2896"/>
    <w:multiLevelType w:val="hybridMultilevel"/>
    <w:tmpl w:val="C03AE262"/>
    <w:lvl w:ilvl="0" w:tplc="37F063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DD969E9"/>
    <w:multiLevelType w:val="hybridMultilevel"/>
    <w:tmpl w:val="AEACA06A"/>
    <w:lvl w:ilvl="0" w:tplc="58ECDE1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37EEF"/>
    <w:multiLevelType w:val="hybridMultilevel"/>
    <w:tmpl w:val="C930E534"/>
    <w:lvl w:ilvl="0" w:tplc="9A4263E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2D57DA"/>
    <w:multiLevelType w:val="hybridMultilevel"/>
    <w:tmpl w:val="EDD0D8D0"/>
    <w:lvl w:ilvl="0" w:tplc="6498A8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1C2C0D2D"/>
    <w:multiLevelType w:val="hybridMultilevel"/>
    <w:tmpl w:val="6D1C4CC4"/>
    <w:lvl w:ilvl="0" w:tplc="D4205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9317B"/>
    <w:multiLevelType w:val="hybridMultilevel"/>
    <w:tmpl w:val="DAC6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219F1"/>
    <w:multiLevelType w:val="hybridMultilevel"/>
    <w:tmpl w:val="709C75EC"/>
    <w:lvl w:ilvl="0" w:tplc="998AC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96DE4"/>
    <w:multiLevelType w:val="hybridMultilevel"/>
    <w:tmpl w:val="9FAAC670"/>
    <w:lvl w:ilvl="0" w:tplc="6A66363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AAA5C6F"/>
    <w:multiLevelType w:val="hybridMultilevel"/>
    <w:tmpl w:val="B33E00EE"/>
    <w:lvl w:ilvl="0" w:tplc="06E4D970">
      <w:start w:val="1"/>
      <w:numFmt w:val="upperLetter"/>
      <w:lvlText w:val="%1."/>
      <w:lvlJc w:val="left"/>
      <w:pPr>
        <w:ind w:left="540" w:hanging="360"/>
      </w:pPr>
      <w:rPr>
        <w:rFonts w:hint="default"/>
        <w:b/>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0">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A2EEA"/>
    <w:multiLevelType w:val="hybridMultilevel"/>
    <w:tmpl w:val="25626C36"/>
    <w:lvl w:ilvl="0" w:tplc="F450226C">
      <w:start w:val="1"/>
      <w:numFmt w:val="upperLetter"/>
      <w:lvlText w:val="%1."/>
      <w:lvlJc w:val="left"/>
      <w:pPr>
        <w:ind w:left="54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F6227B6"/>
    <w:multiLevelType w:val="hybridMultilevel"/>
    <w:tmpl w:val="DADCBE84"/>
    <w:lvl w:ilvl="0" w:tplc="37CA929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1A61AD"/>
    <w:multiLevelType w:val="hybridMultilevel"/>
    <w:tmpl w:val="0B2CE50C"/>
    <w:lvl w:ilvl="0" w:tplc="9DB0D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96C11"/>
    <w:multiLevelType w:val="hybridMultilevel"/>
    <w:tmpl w:val="6CC2E1B4"/>
    <w:lvl w:ilvl="0" w:tplc="5764215A">
      <w:start w:val="1"/>
      <w:numFmt w:val="upp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72C6B"/>
    <w:multiLevelType w:val="hybridMultilevel"/>
    <w:tmpl w:val="02D2B34E"/>
    <w:lvl w:ilvl="0" w:tplc="FBC6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09721C"/>
    <w:multiLevelType w:val="hybridMultilevel"/>
    <w:tmpl w:val="4D0C143E"/>
    <w:lvl w:ilvl="0" w:tplc="455063F0">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8"/>
  </w:num>
  <w:num w:numId="3">
    <w:abstractNumId w:val="33"/>
  </w:num>
  <w:num w:numId="4">
    <w:abstractNumId w:val="11"/>
  </w:num>
  <w:num w:numId="5">
    <w:abstractNumId w:val="3"/>
  </w:num>
  <w:num w:numId="6">
    <w:abstractNumId w:val="7"/>
  </w:num>
  <w:num w:numId="7">
    <w:abstractNumId w:val="26"/>
  </w:num>
  <w:num w:numId="8">
    <w:abstractNumId w:val="20"/>
  </w:num>
  <w:num w:numId="9">
    <w:abstractNumId w:val="31"/>
  </w:num>
  <w:num w:numId="10">
    <w:abstractNumId w:val="22"/>
  </w:num>
  <w:num w:numId="11">
    <w:abstractNumId w:val="36"/>
  </w:num>
  <w:num w:numId="12">
    <w:abstractNumId w:val="30"/>
  </w:num>
  <w:num w:numId="13">
    <w:abstractNumId w:val="17"/>
  </w:num>
  <w:num w:numId="14">
    <w:abstractNumId w:val="0"/>
  </w:num>
  <w:num w:numId="15">
    <w:abstractNumId w:val="16"/>
  </w:num>
  <w:num w:numId="16">
    <w:abstractNumId w:val="25"/>
  </w:num>
  <w:num w:numId="17">
    <w:abstractNumId w:val="1"/>
  </w:num>
  <w:num w:numId="18">
    <w:abstractNumId w:val="21"/>
  </w:num>
  <w:num w:numId="19">
    <w:abstractNumId w:val="35"/>
  </w:num>
  <w:num w:numId="20">
    <w:abstractNumId w:val="2"/>
  </w:num>
  <w:num w:numId="21">
    <w:abstractNumId w:val="9"/>
  </w:num>
  <w:num w:numId="22">
    <w:abstractNumId w:val="8"/>
  </w:num>
  <w:num w:numId="23">
    <w:abstractNumId w:val="19"/>
  </w:num>
  <w:num w:numId="24">
    <w:abstractNumId w:val="23"/>
  </w:num>
  <w:num w:numId="25">
    <w:abstractNumId w:val="10"/>
  </w:num>
  <w:num w:numId="26">
    <w:abstractNumId w:val="13"/>
  </w:num>
  <w:num w:numId="27">
    <w:abstractNumId w:val="37"/>
  </w:num>
  <w:num w:numId="28">
    <w:abstractNumId w:val="4"/>
  </w:num>
  <w:num w:numId="29">
    <w:abstractNumId w:val="24"/>
  </w:num>
  <w:num w:numId="30">
    <w:abstractNumId w:val="14"/>
  </w:num>
  <w:num w:numId="31">
    <w:abstractNumId w:val="18"/>
  </w:num>
  <w:num w:numId="32">
    <w:abstractNumId w:val="5"/>
  </w:num>
  <w:num w:numId="33">
    <w:abstractNumId w:val="12"/>
  </w:num>
  <w:num w:numId="34">
    <w:abstractNumId w:val="27"/>
  </w:num>
  <w:num w:numId="35">
    <w:abstractNumId w:val="32"/>
  </w:num>
  <w:num w:numId="36">
    <w:abstractNumId w:val="29"/>
  </w:num>
  <w:num w:numId="37">
    <w:abstractNumId w:val="15"/>
  </w:num>
  <w:num w:numId="38">
    <w:abstractNumId w:val="6"/>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0E77"/>
    <w:rsid w:val="000216A0"/>
    <w:rsid w:val="00022448"/>
    <w:rsid w:val="00024A81"/>
    <w:rsid w:val="00026156"/>
    <w:rsid w:val="0003323D"/>
    <w:rsid w:val="000345DE"/>
    <w:rsid w:val="00034FD4"/>
    <w:rsid w:val="000357AA"/>
    <w:rsid w:val="0003667B"/>
    <w:rsid w:val="00040A30"/>
    <w:rsid w:val="00041EBA"/>
    <w:rsid w:val="0004389E"/>
    <w:rsid w:val="000442EE"/>
    <w:rsid w:val="00045522"/>
    <w:rsid w:val="00046DFB"/>
    <w:rsid w:val="000544B7"/>
    <w:rsid w:val="00055047"/>
    <w:rsid w:val="0005511F"/>
    <w:rsid w:val="00055F8B"/>
    <w:rsid w:val="00056D31"/>
    <w:rsid w:val="00062BF0"/>
    <w:rsid w:val="00065569"/>
    <w:rsid w:val="0006690B"/>
    <w:rsid w:val="00075057"/>
    <w:rsid w:val="00076012"/>
    <w:rsid w:val="00077EEC"/>
    <w:rsid w:val="00080825"/>
    <w:rsid w:val="00081D1A"/>
    <w:rsid w:val="000825CB"/>
    <w:rsid w:val="000827DF"/>
    <w:rsid w:val="000853B9"/>
    <w:rsid w:val="000854E9"/>
    <w:rsid w:val="00091267"/>
    <w:rsid w:val="00091A0C"/>
    <w:rsid w:val="00091B04"/>
    <w:rsid w:val="000922F1"/>
    <w:rsid w:val="00092D67"/>
    <w:rsid w:val="000930A4"/>
    <w:rsid w:val="00093328"/>
    <w:rsid w:val="00094484"/>
    <w:rsid w:val="0009650B"/>
    <w:rsid w:val="000967EB"/>
    <w:rsid w:val="00097106"/>
    <w:rsid w:val="00097693"/>
    <w:rsid w:val="0009775F"/>
    <w:rsid w:val="000A06C5"/>
    <w:rsid w:val="000A3E3D"/>
    <w:rsid w:val="000A5118"/>
    <w:rsid w:val="000A57BA"/>
    <w:rsid w:val="000B1DBE"/>
    <w:rsid w:val="000B3084"/>
    <w:rsid w:val="000B3359"/>
    <w:rsid w:val="000B3BF8"/>
    <w:rsid w:val="000B42CF"/>
    <w:rsid w:val="000B4C40"/>
    <w:rsid w:val="000B563C"/>
    <w:rsid w:val="000B6428"/>
    <w:rsid w:val="000B726F"/>
    <w:rsid w:val="000C02CD"/>
    <w:rsid w:val="000C05B8"/>
    <w:rsid w:val="000C184B"/>
    <w:rsid w:val="000C5C78"/>
    <w:rsid w:val="000D46A5"/>
    <w:rsid w:val="000D7F49"/>
    <w:rsid w:val="000E0017"/>
    <w:rsid w:val="000E0EFF"/>
    <w:rsid w:val="000E5DB3"/>
    <w:rsid w:val="000F300C"/>
    <w:rsid w:val="000F36BB"/>
    <w:rsid w:val="000F59B6"/>
    <w:rsid w:val="0010200A"/>
    <w:rsid w:val="00106349"/>
    <w:rsid w:val="0010786D"/>
    <w:rsid w:val="0011107B"/>
    <w:rsid w:val="0011216D"/>
    <w:rsid w:val="001123F4"/>
    <w:rsid w:val="0011348B"/>
    <w:rsid w:val="00114C18"/>
    <w:rsid w:val="0011537D"/>
    <w:rsid w:val="0011600C"/>
    <w:rsid w:val="00117CD5"/>
    <w:rsid w:val="00120B0F"/>
    <w:rsid w:val="00120FC8"/>
    <w:rsid w:val="001227AD"/>
    <w:rsid w:val="00125AC7"/>
    <w:rsid w:val="00127993"/>
    <w:rsid w:val="00130ECD"/>
    <w:rsid w:val="00131744"/>
    <w:rsid w:val="00131C35"/>
    <w:rsid w:val="00131E2F"/>
    <w:rsid w:val="001328E1"/>
    <w:rsid w:val="00133F2B"/>
    <w:rsid w:val="001364F5"/>
    <w:rsid w:val="00136B46"/>
    <w:rsid w:val="001372BD"/>
    <w:rsid w:val="00137E29"/>
    <w:rsid w:val="001411A8"/>
    <w:rsid w:val="00141379"/>
    <w:rsid w:val="00141856"/>
    <w:rsid w:val="0014286D"/>
    <w:rsid w:val="001437E4"/>
    <w:rsid w:val="00143889"/>
    <w:rsid w:val="001452EE"/>
    <w:rsid w:val="001453D0"/>
    <w:rsid w:val="00147374"/>
    <w:rsid w:val="0014742E"/>
    <w:rsid w:val="00150ABE"/>
    <w:rsid w:val="00153499"/>
    <w:rsid w:val="00156075"/>
    <w:rsid w:val="00157DFB"/>
    <w:rsid w:val="001606CA"/>
    <w:rsid w:val="00161043"/>
    <w:rsid w:val="001621B2"/>
    <w:rsid w:val="0016323D"/>
    <w:rsid w:val="00163C16"/>
    <w:rsid w:val="00164035"/>
    <w:rsid w:val="00164DC7"/>
    <w:rsid w:val="001674BE"/>
    <w:rsid w:val="00170618"/>
    <w:rsid w:val="00170A22"/>
    <w:rsid w:val="00171DE7"/>
    <w:rsid w:val="00172171"/>
    <w:rsid w:val="0017393D"/>
    <w:rsid w:val="00175A6C"/>
    <w:rsid w:val="0018003F"/>
    <w:rsid w:val="00180282"/>
    <w:rsid w:val="001804AF"/>
    <w:rsid w:val="00181BCF"/>
    <w:rsid w:val="001823ED"/>
    <w:rsid w:val="00182C85"/>
    <w:rsid w:val="00182C8B"/>
    <w:rsid w:val="00185184"/>
    <w:rsid w:val="0018741D"/>
    <w:rsid w:val="00187F19"/>
    <w:rsid w:val="00192884"/>
    <w:rsid w:val="00192F8A"/>
    <w:rsid w:val="001930D4"/>
    <w:rsid w:val="001940E3"/>
    <w:rsid w:val="00194135"/>
    <w:rsid w:val="001950B6"/>
    <w:rsid w:val="001959A0"/>
    <w:rsid w:val="0019690A"/>
    <w:rsid w:val="001A07C0"/>
    <w:rsid w:val="001A0ED7"/>
    <w:rsid w:val="001A2774"/>
    <w:rsid w:val="001A47A2"/>
    <w:rsid w:val="001A531F"/>
    <w:rsid w:val="001A55FA"/>
    <w:rsid w:val="001A733F"/>
    <w:rsid w:val="001B0B14"/>
    <w:rsid w:val="001B1B91"/>
    <w:rsid w:val="001B308E"/>
    <w:rsid w:val="001B6517"/>
    <w:rsid w:val="001B68F2"/>
    <w:rsid w:val="001C163A"/>
    <w:rsid w:val="001C1832"/>
    <w:rsid w:val="001C26FE"/>
    <w:rsid w:val="001C4A51"/>
    <w:rsid w:val="001C51CE"/>
    <w:rsid w:val="001C542F"/>
    <w:rsid w:val="001C5ECE"/>
    <w:rsid w:val="001D1900"/>
    <w:rsid w:val="001D36E5"/>
    <w:rsid w:val="001D3C46"/>
    <w:rsid w:val="001D58C4"/>
    <w:rsid w:val="001D679E"/>
    <w:rsid w:val="001D6B27"/>
    <w:rsid w:val="001D6C49"/>
    <w:rsid w:val="001D6D33"/>
    <w:rsid w:val="001E00BD"/>
    <w:rsid w:val="001E0749"/>
    <w:rsid w:val="001E09AD"/>
    <w:rsid w:val="001E3A4E"/>
    <w:rsid w:val="001E594F"/>
    <w:rsid w:val="001F067B"/>
    <w:rsid w:val="001F23C4"/>
    <w:rsid w:val="001F3FDD"/>
    <w:rsid w:val="001F4319"/>
    <w:rsid w:val="001F5BCA"/>
    <w:rsid w:val="001F5D04"/>
    <w:rsid w:val="001F5D2A"/>
    <w:rsid w:val="001F6722"/>
    <w:rsid w:val="002003C8"/>
    <w:rsid w:val="00200B10"/>
    <w:rsid w:val="00200D4B"/>
    <w:rsid w:val="00201FC4"/>
    <w:rsid w:val="00202E71"/>
    <w:rsid w:val="00204F50"/>
    <w:rsid w:val="00205E08"/>
    <w:rsid w:val="00206984"/>
    <w:rsid w:val="00206DC6"/>
    <w:rsid w:val="00210E23"/>
    <w:rsid w:val="00211D06"/>
    <w:rsid w:val="00212068"/>
    <w:rsid w:val="002127B5"/>
    <w:rsid w:val="0021371F"/>
    <w:rsid w:val="00214091"/>
    <w:rsid w:val="00214F84"/>
    <w:rsid w:val="00215D54"/>
    <w:rsid w:val="00215F0E"/>
    <w:rsid w:val="00216329"/>
    <w:rsid w:val="002178C6"/>
    <w:rsid w:val="002205A0"/>
    <w:rsid w:val="0022060C"/>
    <w:rsid w:val="0022100D"/>
    <w:rsid w:val="0022146F"/>
    <w:rsid w:val="00222352"/>
    <w:rsid w:val="0022235E"/>
    <w:rsid w:val="00222A11"/>
    <w:rsid w:val="0022326C"/>
    <w:rsid w:val="00223F75"/>
    <w:rsid w:val="0022411D"/>
    <w:rsid w:val="00224366"/>
    <w:rsid w:val="002244EF"/>
    <w:rsid w:val="00225DC6"/>
    <w:rsid w:val="0023013F"/>
    <w:rsid w:val="00233BF5"/>
    <w:rsid w:val="00235199"/>
    <w:rsid w:val="002369A8"/>
    <w:rsid w:val="00237C8E"/>
    <w:rsid w:val="00237E17"/>
    <w:rsid w:val="002405E5"/>
    <w:rsid w:val="00240843"/>
    <w:rsid w:val="00241573"/>
    <w:rsid w:val="00244346"/>
    <w:rsid w:val="002444EC"/>
    <w:rsid w:val="002445F3"/>
    <w:rsid w:val="00244EDC"/>
    <w:rsid w:val="00245CA8"/>
    <w:rsid w:val="002479D0"/>
    <w:rsid w:val="00247F3D"/>
    <w:rsid w:val="00250263"/>
    <w:rsid w:val="00251D1C"/>
    <w:rsid w:val="00251F13"/>
    <w:rsid w:val="00251F6D"/>
    <w:rsid w:val="002525B6"/>
    <w:rsid w:val="0025334A"/>
    <w:rsid w:val="00253CD1"/>
    <w:rsid w:val="00253E20"/>
    <w:rsid w:val="00255DA4"/>
    <w:rsid w:val="0025717C"/>
    <w:rsid w:val="0025743F"/>
    <w:rsid w:val="002579ED"/>
    <w:rsid w:val="0026027B"/>
    <w:rsid w:val="002612B6"/>
    <w:rsid w:val="00262F87"/>
    <w:rsid w:val="0026409A"/>
    <w:rsid w:val="00264F51"/>
    <w:rsid w:val="00265AE1"/>
    <w:rsid w:val="00271773"/>
    <w:rsid w:val="00272BAF"/>
    <w:rsid w:val="00273571"/>
    <w:rsid w:val="00273E81"/>
    <w:rsid w:val="00276BB7"/>
    <w:rsid w:val="00277DBF"/>
    <w:rsid w:val="002823F9"/>
    <w:rsid w:val="00283C25"/>
    <w:rsid w:val="00283D65"/>
    <w:rsid w:val="00283DC2"/>
    <w:rsid w:val="002843F4"/>
    <w:rsid w:val="00287742"/>
    <w:rsid w:val="002935BF"/>
    <w:rsid w:val="002940A8"/>
    <w:rsid w:val="0029625C"/>
    <w:rsid w:val="002A14EA"/>
    <w:rsid w:val="002A1621"/>
    <w:rsid w:val="002A5230"/>
    <w:rsid w:val="002A5A03"/>
    <w:rsid w:val="002B147E"/>
    <w:rsid w:val="002B3062"/>
    <w:rsid w:val="002B6542"/>
    <w:rsid w:val="002C0659"/>
    <w:rsid w:val="002C0993"/>
    <w:rsid w:val="002C2225"/>
    <w:rsid w:val="002C2748"/>
    <w:rsid w:val="002C3EE6"/>
    <w:rsid w:val="002C4179"/>
    <w:rsid w:val="002C6BC6"/>
    <w:rsid w:val="002C781C"/>
    <w:rsid w:val="002D457E"/>
    <w:rsid w:val="002D5FB7"/>
    <w:rsid w:val="002E0E08"/>
    <w:rsid w:val="002E22B3"/>
    <w:rsid w:val="002E3098"/>
    <w:rsid w:val="002E5AD7"/>
    <w:rsid w:val="002E5DFF"/>
    <w:rsid w:val="002E65D9"/>
    <w:rsid w:val="002E75D9"/>
    <w:rsid w:val="002F12A8"/>
    <w:rsid w:val="002F1A23"/>
    <w:rsid w:val="002F5D5D"/>
    <w:rsid w:val="002F661F"/>
    <w:rsid w:val="002F77AA"/>
    <w:rsid w:val="0030245A"/>
    <w:rsid w:val="003024F1"/>
    <w:rsid w:val="00302ACF"/>
    <w:rsid w:val="0030442B"/>
    <w:rsid w:val="00304C0B"/>
    <w:rsid w:val="0030620E"/>
    <w:rsid w:val="00307410"/>
    <w:rsid w:val="00312883"/>
    <w:rsid w:val="00313A94"/>
    <w:rsid w:val="0031527B"/>
    <w:rsid w:val="00317A77"/>
    <w:rsid w:val="00321025"/>
    <w:rsid w:val="00322A3A"/>
    <w:rsid w:val="00323EF1"/>
    <w:rsid w:val="00324685"/>
    <w:rsid w:val="0032609B"/>
    <w:rsid w:val="003268FA"/>
    <w:rsid w:val="003302F0"/>
    <w:rsid w:val="0033282C"/>
    <w:rsid w:val="003411E0"/>
    <w:rsid w:val="00342E1B"/>
    <w:rsid w:val="00342ECC"/>
    <w:rsid w:val="00342F56"/>
    <w:rsid w:val="00343C22"/>
    <w:rsid w:val="00343D2F"/>
    <w:rsid w:val="00343E93"/>
    <w:rsid w:val="00344554"/>
    <w:rsid w:val="003459C9"/>
    <w:rsid w:val="003501B0"/>
    <w:rsid w:val="00350211"/>
    <w:rsid w:val="003510E9"/>
    <w:rsid w:val="00352154"/>
    <w:rsid w:val="00354259"/>
    <w:rsid w:val="00355F74"/>
    <w:rsid w:val="0035626B"/>
    <w:rsid w:val="00356D91"/>
    <w:rsid w:val="00356E63"/>
    <w:rsid w:val="00357C0E"/>
    <w:rsid w:val="00362413"/>
    <w:rsid w:val="0036368A"/>
    <w:rsid w:val="003652E8"/>
    <w:rsid w:val="00367D55"/>
    <w:rsid w:val="003722CC"/>
    <w:rsid w:val="00375122"/>
    <w:rsid w:val="0037690B"/>
    <w:rsid w:val="00377656"/>
    <w:rsid w:val="00383B7D"/>
    <w:rsid w:val="00383BFF"/>
    <w:rsid w:val="00384E81"/>
    <w:rsid w:val="003854EC"/>
    <w:rsid w:val="0038597B"/>
    <w:rsid w:val="00386992"/>
    <w:rsid w:val="00387E7D"/>
    <w:rsid w:val="00390593"/>
    <w:rsid w:val="00391987"/>
    <w:rsid w:val="003924D2"/>
    <w:rsid w:val="0039418D"/>
    <w:rsid w:val="003A0242"/>
    <w:rsid w:val="003A05A4"/>
    <w:rsid w:val="003A1445"/>
    <w:rsid w:val="003A1757"/>
    <w:rsid w:val="003A20AA"/>
    <w:rsid w:val="003A2B54"/>
    <w:rsid w:val="003A3B6D"/>
    <w:rsid w:val="003A3D98"/>
    <w:rsid w:val="003A46E0"/>
    <w:rsid w:val="003A4DEC"/>
    <w:rsid w:val="003B05CA"/>
    <w:rsid w:val="003B1884"/>
    <w:rsid w:val="003B3D48"/>
    <w:rsid w:val="003B3E8A"/>
    <w:rsid w:val="003B5350"/>
    <w:rsid w:val="003B6079"/>
    <w:rsid w:val="003B7BC4"/>
    <w:rsid w:val="003C4907"/>
    <w:rsid w:val="003D37F4"/>
    <w:rsid w:val="003D74E7"/>
    <w:rsid w:val="003E2C49"/>
    <w:rsid w:val="003E5114"/>
    <w:rsid w:val="003E61AB"/>
    <w:rsid w:val="003E6426"/>
    <w:rsid w:val="003E70FD"/>
    <w:rsid w:val="003E752C"/>
    <w:rsid w:val="003E77E1"/>
    <w:rsid w:val="004006AE"/>
    <w:rsid w:val="00400EB6"/>
    <w:rsid w:val="004031B9"/>
    <w:rsid w:val="00403EEC"/>
    <w:rsid w:val="004059D4"/>
    <w:rsid w:val="00405B9A"/>
    <w:rsid w:val="00407BF0"/>
    <w:rsid w:val="00410BCA"/>
    <w:rsid w:val="00411AD9"/>
    <w:rsid w:val="00412913"/>
    <w:rsid w:val="00417574"/>
    <w:rsid w:val="00417C0F"/>
    <w:rsid w:val="00417D71"/>
    <w:rsid w:val="004207F6"/>
    <w:rsid w:val="00422811"/>
    <w:rsid w:val="00422851"/>
    <w:rsid w:val="0042287D"/>
    <w:rsid w:val="00422A34"/>
    <w:rsid w:val="00422A73"/>
    <w:rsid w:val="00422D24"/>
    <w:rsid w:val="00424A03"/>
    <w:rsid w:val="004257F1"/>
    <w:rsid w:val="00426B2E"/>
    <w:rsid w:val="00426D87"/>
    <w:rsid w:val="00431491"/>
    <w:rsid w:val="00432458"/>
    <w:rsid w:val="0043347D"/>
    <w:rsid w:val="004336AF"/>
    <w:rsid w:val="00434034"/>
    <w:rsid w:val="00436EAE"/>
    <w:rsid w:val="0044132D"/>
    <w:rsid w:val="00443D73"/>
    <w:rsid w:val="00445BCD"/>
    <w:rsid w:val="00446CB8"/>
    <w:rsid w:val="00450E6A"/>
    <w:rsid w:val="004538B0"/>
    <w:rsid w:val="00453D27"/>
    <w:rsid w:val="00454F4F"/>
    <w:rsid w:val="00455C8C"/>
    <w:rsid w:val="004620A5"/>
    <w:rsid w:val="004620C2"/>
    <w:rsid w:val="004629A6"/>
    <w:rsid w:val="00462DC2"/>
    <w:rsid w:val="00464ABC"/>
    <w:rsid w:val="00465E95"/>
    <w:rsid w:val="004662D4"/>
    <w:rsid w:val="00466BD1"/>
    <w:rsid w:val="00466DB7"/>
    <w:rsid w:val="00467E95"/>
    <w:rsid w:val="00470D26"/>
    <w:rsid w:val="004714B7"/>
    <w:rsid w:val="004716E9"/>
    <w:rsid w:val="0047583A"/>
    <w:rsid w:val="00475E8E"/>
    <w:rsid w:val="0047608A"/>
    <w:rsid w:val="004767EA"/>
    <w:rsid w:val="004808F3"/>
    <w:rsid w:val="00481886"/>
    <w:rsid w:val="00482953"/>
    <w:rsid w:val="004831B1"/>
    <w:rsid w:val="00485F47"/>
    <w:rsid w:val="00486846"/>
    <w:rsid w:val="00486FB7"/>
    <w:rsid w:val="00487488"/>
    <w:rsid w:val="004915FD"/>
    <w:rsid w:val="00493C32"/>
    <w:rsid w:val="00495C6B"/>
    <w:rsid w:val="00496462"/>
    <w:rsid w:val="004968AE"/>
    <w:rsid w:val="00496A5F"/>
    <w:rsid w:val="00496DFB"/>
    <w:rsid w:val="004978D4"/>
    <w:rsid w:val="00497B4D"/>
    <w:rsid w:val="004A21E1"/>
    <w:rsid w:val="004A3A12"/>
    <w:rsid w:val="004A4A78"/>
    <w:rsid w:val="004A514C"/>
    <w:rsid w:val="004A51DE"/>
    <w:rsid w:val="004A61ED"/>
    <w:rsid w:val="004A75E9"/>
    <w:rsid w:val="004A7EE1"/>
    <w:rsid w:val="004B0A6B"/>
    <w:rsid w:val="004B2B65"/>
    <w:rsid w:val="004B4477"/>
    <w:rsid w:val="004B73BA"/>
    <w:rsid w:val="004C0CCA"/>
    <w:rsid w:val="004C1992"/>
    <w:rsid w:val="004C1C4C"/>
    <w:rsid w:val="004C528F"/>
    <w:rsid w:val="004C7120"/>
    <w:rsid w:val="004C7E3F"/>
    <w:rsid w:val="004D00D7"/>
    <w:rsid w:val="004D131C"/>
    <w:rsid w:val="004D4436"/>
    <w:rsid w:val="004D56CF"/>
    <w:rsid w:val="004E3398"/>
    <w:rsid w:val="004E6C2B"/>
    <w:rsid w:val="004E75C9"/>
    <w:rsid w:val="004E7E4E"/>
    <w:rsid w:val="004F16C4"/>
    <w:rsid w:val="004F3144"/>
    <w:rsid w:val="004F437E"/>
    <w:rsid w:val="004F572D"/>
    <w:rsid w:val="005018A5"/>
    <w:rsid w:val="00502D9E"/>
    <w:rsid w:val="005113CE"/>
    <w:rsid w:val="005117D9"/>
    <w:rsid w:val="00515839"/>
    <w:rsid w:val="00515BB8"/>
    <w:rsid w:val="00516852"/>
    <w:rsid w:val="00517B0E"/>
    <w:rsid w:val="0052336F"/>
    <w:rsid w:val="00525A8F"/>
    <w:rsid w:val="00525CAF"/>
    <w:rsid w:val="00526BA7"/>
    <w:rsid w:val="005310F8"/>
    <w:rsid w:val="005329AA"/>
    <w:rsid w:val="005336AB"/>
    <w:rsid w:val="00533CA8"/>
    <w:rsid w:val="00534D0B"/>
    <w:rsid w:val="00536B68"/>
    <w:rsid w:val="0054109B"/>
    <w:rsid w:val="00541162"/>
    <w:rsid w:val="00545C02"/>
    <w:rsid w:val="00545F60"/>
    <w:rsid w:val="00546245"/>
    <w:rsid w:val="00546D6B"/>
    <w:rsid w:val="00547A95"/>
    <w:rsid w:val="0055033E"/>
    <w:rsid w:val="00552817"/>
    <w:rsid w:val="005533AB"/>
    <w:rsid w:val="005555BA"/>
    <w:rsid w:val="005555D2"/>
    <w:rsid w:val="0055563F"/>
    <w:rsid w:val="00555A69"/>
    <w:rsid w:val="00557E75"/>
    <w:rsid w:val="005631A1"/>
    <w:rsid w:val="00565660"/>
    <w:rsid w:val="005674C7"/>
    <w:rsid w:val="00570D1C"/>
    <w:rsid w:val="00572647"/>
    <w:rsid w:val="00577E2B"/>
    <w:rsid w:val="005803BC"/>
    <w:rsid w:val="0058157C"/>
    <w:rsid w:val="00582633"/>
    <w:rsid w:val="005828AC"/>
    <w:rsid w:val="0058458C"/>
    <w:rsid w:val="00587ABC"/>
    <w:rsid w:val="005907BB"/>
    <w:rsid w:val="005908F8"/>
    <w:rsid w:val="00590EB5"/>
    <w:rsid w:val="00591003"/>
    <w:rsid w:val="0059151F"/>
    <w:rsid w:val="00594AFE"/>
    <w:rsid w:val="00595692"/>
    <w:rsid w:val="00595EC7"/>
    <w:rsid w:val="0059618E"/>
    <w:rsid w:val="00596425"/>
    <w:rsid w:val="005A018C"/>
    <w:rsid w:val="005A1035"/>
    <w:rsid w:val="005A1124"/>
    <w:rsid w:val="005A160B"/>
    <w:rsid w:val="005A5B3E"/>
    <w:rsid w:val="005A632C"/>
    <w:rsid w:val="005B0AD7"/>
    <w:rsid w:val="005B3A71"/>
    <w:rsid w:val="005B4607"/>
    <w:rsid w:val="005B5848"/>
    <w:rsid w:val="005B7BDC"/>
    <w:rsid w:val="005C36C7"/>
    <w:rsid w:val="005C51D7"/>
    <w:rsid w:val="005C52DD"/>
    <w:rsid w:val="005C6542"/>
    <w:rsid w:val="005C7005"/>
    <w:rsid w:val="005C7103"/>
    <w:rsid w:val="005D037C"/>
    <w:rsid w:val="005D039B"/>
    <w:rsid w:val="005D0577"/>
    <w:rsid w:val="005D1220"/>
    <w:rsid w:val="005D1235"/>
    <w:rsid w:val="005D14D0"/>
    <w:rsid w:val="005D242D"/>
    <w:rsid w:val="005D51EE"/>
    <w:rsid w:val="005D59FA"/>
    <w:rsid w:val="005D5C46"/>
    <w:rsid w:val="005D7BDB"/>
    <w:rsid w:val="005D7ED4"/>
    <w:rsid w:val="005E1D06"/>
    <w:rsid w:val="005E4370"/>
    <w:rsid w:val="005E5A17"/>
    <w:rsid w:val="005E777C"/>
    <w:rsid w:val="005F08A2"/>
    <w:rsid w:val="005F331D"/>
    <w:rsid w:val="005F3DE7"/>
    <w:rsid w:val="005F4823"/>
    <w:rsid w:val="005F4E46"/>
    <w:rsid w:val="005F6EE3"/>
    <w:rsid w:val="005F72A2"/>
    <w:rsid w:val="005F755E"/>
    <w:rsid w:val="005F7C00"/>
    <w:rsid w:val="005F7C09"/>
    <w:rsid w:val="00600191"/>
    <w:rsid w:val="00600597"/>
    <w:rsid w:val="00602FAD"/>
    <w:rsid w:val="00603019"/>
    <w:rsid w:val="00603422"/>
    <w:rsid w:val="00604E26"/>
    <w:rsid w:val="006072C7"/>
    <w:rsid w:val="00612038"/>
    <w:rsid w:val="006124A5"/>
    <w:rsid w:val="00613911"/>
    <w:rsid w:val="00614193"/>
    <w:rsid w:val="00614434"/>
    <w:rsid w:val="00616524"/>
    <w:rsid w:val="0061709D"/>
    <w:rsid w:val="00623218"/>
    <w:rsid w:val="00623881"/>
    <w:rsid w:val="006240CC"/>
    <w:rsid w:val="00624863"/>
    <w:rsid w:val="00625A1A"/>
    <w:rsid w:val="0062624E"/>
    <w:rsid w:val="00626BF9"/>
    <w:rsid w:val="0062770A"/>
    <w:rsid w:val="0063032C"/>
    <w:rsid w:val="00631E0E"/>
    <w:rsid w:val="00633545"/>
    <w:rsid w:val="006339C9"/>
    <w:rsid w:val="0063491C"/>
    <w:rsid w:val="00635733"/>
    <w:rsid w:val="00636366"/>
    <w:rsid w:val="00641162"/>
    <w:rsid w:val="00643903"/>
    <w:rsid w:val="00643E72"/>
    <w:rsid w:val="006444D4"/>
    <w:rsid w:val="006449D0"/>
    <w:rsid w:val="00647078"/>
    <w:rsid w:val="006504B0"/>
    <w:rsid w:val="0065225D"/>
    <w:rsid w:val="00653F10"/>
    <w:rsid w:val="006540F0"/>
    <w:rsid w:val="00654D8C"/>
    <w:rsid w:val="006568EE"/>
    <w:rsid w:val="006601BA"/>
    <w:rsid w:val="00664296"/>
    <w:rsid w:val="00665580"/>
    <w:rsid w:val="006660DB"/>
    <w:rsid w:val="00666133"/>
    <w:rsid w:val="006676B2"/>
    <w:rsid w:val="00667AB0"/>
    <w:rsid w:val="00670787"/>
    <w:rsid w:val="00673875"/>
    <w:rsid w:val="0067479F"/>
    <w:rsid w:val="00675C8E"/>
    <w:rsid w:val="006760E7"/>
    <w:rsid w:val="006771F2"/>
    <w:rsid w:val="0067753E"/>
    <w:rsid w:val="006775C8"/>
    <w:rsid w:val="00681BA3"/>
    <w:rsid w:val="00683849"/>
    <w:rsid w:val="0068589B"/>
    <w:rsid w:val="00687613"/>
    <w:rsid w:val="00687C41"/>
    <w:rsid w:val="006900E8"/>
    <w:rsid w:val="006908B4"/>
    <w:rsid w:val="00691004"/>
    <w:rsid w:val="00691CD5"/>
    <w:rsid w:val="00692E8C"/>
    <w:rsid w:val="00697607"/>
    <w:rsid w:val="006A0F9E"/>
    <w:rsid w:val="006A133B"/>
    <w:rsid w:val="006A3DC8"/>
    <w:rsid w:val="006A3EE7"/>
    <w:rsid w:val="006A7CB7"/>
    <w:rsid w:val="006B5B2D"/>
    <w:rsid w:val="006B6A9D"/>
    <w:rsid w:val="006B6C2B"/>
    <w:rsid w:val="006B7755"/>
    <w:rsid w:val="006C3CFE"/>
    <w:rsid w:val="006C75A8"/>
    <w:rsid w:val="006C7ABE"/>
    <w:rsid w:val="006D4267"/>
    <w:rsid w:val="006D460B"/>
    <w:rsid w:val="006D5A0F"/>
    <w:rsid w:val="006D7098"/>
    <w:rsid w:val="006E0920"/>
    <w:rsid w:val="006E09B1"/>
    <w:rsid w:val="006E2953"/>
    <w:rsid w:val="006E3BB1"/>
    <w:rsid w:val="006E44C3"/>
    <w:rsid w:val="006E54E7"/>
    <w:rsid w:val="006E6EFB"/>
    <w:rsid w:val="006E7A2A"/>
    <w:rsid w:val="006F04F7"/>
    <w:rsid w:val="006F1D1B"/>
    <w:rsid w:val="006F38F2"/>
    <w:rsid w:val="006F4190"/>
    <w:rsid w:val="006F4F1D"/>
    <w:rsid w:val="006F6D08"/>
    <w:rsid w:val="006F702A"/>
    <w:rsid w:val="007006EA"/>
    <w:rsid w:val="007007F3"/>
    <w:rsid w:val="00701F98"/>
    <w:rsid w:val="007042FD"/>
    <w:rsid w:val="00705791"/>
    <w:rsid w:val="007125EA"/>
    <w:rsid w:val="00713363"/>
    <w:rsid w:val="0071377B"/>
    <w:rsid w:val="00716BF3"/>
    <w:rsid w:val="007212C3"/>
    <w:rsid w:val="0072244E"/>
    <w:rsid w:val="007268EE"/>
    <w:rsid w:val="0072715F"/>
    <w:rsid w:val="00731A9C"/>
    <w:rsid w:val="00731B0B"/>
    <w:rsid w:val="0073204E"/>
    <w:rsid w:val="007322BA"/>
    <w:rsid w:val="00734271"/>
    <w:rsid w:val="00740F85"/>
    <w:rsid w:val="00743249"/>
    <w:rsid w:val="00747A9F"/>
    <w:rsid w:val="00747ABC"/>
    <w:rsid w:val="007501A0"/>
    <w:rsid w:val="007506B6"/>
    <w:rsid w:val="00755A52"/>
    <w:rsid w:val="007560B5"/>
    <w:rsid w:val="00760809"/>
    <w:rsid w:val="00760BC8"/>
    <w:rsid w:val="0076162B"/>
    <w:rsid w:val="00761F9A"/>
    <w:rsid w:val="00762DF3"/>
    <w:rsid w:val="007635E4"/>
    <w:rsid w:val="00763A02"/>
    <w:rsid w:val="00765327"/>
    <w:rsid w:val="00765508"/>
    <w:rsid w:val="007663E0"/>
    <w:rsid w:val="00767D9A"/>
    <w:rsid w:val="0077029F"/>
    <w:rsid w:val="0077169A"/>
    <w:rsid w:val="00772383"/>
    <w:rsid w:val="00775382"/>
    <w:rsid w:val="00776842"/>
    <w:rsid w:val="00782963"/>
    <w:rsid w:val="00783D5D"/>
    <w:rsid w:val="00791E3C"/>
    <w:rsid w:val="0079298B"/>
    <w:rsid w:val="00794425"/>
    <w:rsid w:val="0079511C"/>
    <w:rsid w:val="00797B1A"/>
    <w:rsid w:val="00797D9C"/>
    <w:rsid w:val="007A2119"/>
    <w:rsid w:val="007A4501"/>
    <w:rsid w:val="007A4FA5"/>
    <w:rsid w:val="007A585E"/>
    <w:rsid w:val="007A659C"/>
    <w:rsid w:val="007B1D8B"/>
    <w:rsid w:val="007B2BE7"/>
    <w:rsid w:val="007B3EC9"/>
    <w:rsid w:val="007B4559"/>
    <w:rsid w:val="007B7667"/>
    <w:rsid w:val="007C1CA9"/>
    <w:rsid w:val="007C35A0"/>
    <w:rsid w:val="007C412E"/>
    <w:rsid w:val="007C78B1"/>
    <w:rsid w:val="007D0F15"/>
    <w:rsid w:val="007D1B80"/>
    <w:rsid w:val="007D3402"/>
    <w:rsid w:val="007D3B0F"/>
    <w:rsid w:val="007D4502"/>
    <w:rsid w:val="007D45A7"/>
    <w:rsid w:val="007D6549"/>
    <w:rsid w:val="007D6779"/>
    <w:rsid w:val="007E0BE2"/>
    <w:rsid w:val="007E6EB9"/>
    <w:rsid w:val="007F092F"/>
    <w:rsid w:val="007F2255"/>
    <w:rsid w:val="007F2D35"/>
    <w:rsid w:val="007F2D68"/>
    <w:rsid w:val="007F4CBE"/>
    <w:rsid w:val="007F6924"/>
    <w:rsid w:val="00806AB0"/>
    <w:rsid w:val="00806E9D"/>
    <w:rsid w:val="0080754C"/>
    <w:rsid w:val="00807870"/>
    <w:rsid w:val="00810FE1"/>
    <w:rsid w:val="00813635"/>
    <w:rsid w:val="00816CFD"/>
    <w:rsid w:val="008177DF"/>
    <w:rsid w:val="00821AC2"/>
    <w:rsid w:val="00821B4B"/>
    <w:rsid w:val="0082312D"/>
    <w:rsid w:val="0082500C"/>
    <w:rsid w:val="008259CE"/>
    <w:rsid w:val="008269F5"/>
    <w:rsid w:val="00827134"/>
    <w:rsid w:val="0082721B"/>
    <w:rsid w:val="00827364"/>
    <w:rsid w:val="0082794E"/>
    <w:rsid w:val="00827DB8"/>
    <w:rsid w:val="0083113A"/>
    <w:rsid w:val="00833C8B"/>
    <w:rsid w:val="00833F0F"/>
    <w:rsid w:val="00834892"/>
    <w:rsid w:val="00834CD3"/>
    <w:rsid w:val="008357AF"/>
    <w:rsid w:val="00835A63"/>
    <w:rsid w:val="00836A05"/>
    <w:rsid w:val="00836A0E"/>
    <w:rsid w:val="00836E57"/>
    <w:rsid w:val="00837E38"/>
    <w:rsid w:val="00842E87"/>
    <w:rsid w:val="008443D2"/>
    <w:rsid w:val="00844781"/>
    <w:rsid w:val="008449A1"/>
    <w:rsid w:val="0084507C"/>
    <w:rsid w:val="00845A59"/>
    <w:rsid w:val="00845BD6"/>
    <w:rsid w:val="00846297"/>
    <w:rsid w:val="00847266"/>
    <w:rsid w:val="00847586"/>
    <w:rsid w:val="00847AAA"/>
    <w:rsid w:val="008500D6"/>
    <w:rsid w:val="0085057C"/>
    <w:rsid w:val="00851BB0"/>
    <w:rsid w:val="00852292"/>
    <w:rsid w:val="00853C84"/>
    <w:rsid w:val="00854FF9"/>
    <w:rsid w:val="00856CEE"/>
    <w:rsid w:val="00857367"/>
    <w:rsid w:val="00857816"/>
    <w:rsid w:val="0086026B"/>
    <w:rsid w:val="008602E7"/>
    <w:rsid w:val="0086036D"/>
    <w:rsid w:val="00861616"/>
    <w:rsid w:val="00861AD4"/>
    <w:rsid w:val="00861B2C"/>
    <w:rsid w:val="008620EA"/>
    <w:rsid w:val="008626C7"/>
    <w:rsid w:val="008643FC"/>
    <w:rsid w:val="00864E77"/>
    <w:rsid w:val="008660FA"/>
    <w:rsid w:val="008677AD"/>
    <w:rsid w:val="00870408"/>
    <w:rsid w:val="008727DB"/>
    <w:rsid w:val="008730BC"/>
    <w:rsid w:val="0087478D"/>
    <w:rsid w:val="00875D00"/>
    <w:rsid w:val="00875E51"/>
    <w:rsid w:val="00876364"/>
    <w:rsid w:val="00880416"/>
    <w:rsid w:val="00880B80"/>
    <w:rsid w:val="00880EA7"/>
    <w:rsid w:val="00883BDC"/>
    <w:rsid w:val="00883D24"/>
    <w:rsid w:val="0088407E"/>
    <w:rsid w:val="008856EE"/>
    <w:rsid w:val="00885D21"/>
    <w:rsid w:val="0088630B"/>
    <w:rsid w:val="00887EAD"/>
    <w:rsid w:val="008915F5"/>
    <w:rsid w:val="008917B1"/>
    <w:rsid w:val="00893D45"/>
    <w:rsid w:val="008968FC"/>
    <w:rsid w:val="008A0CCD"/>
    <w:rsid w:val="008A1889"/>
    <w:rsid w:val="008A2FF2"/>
    <w:rsid w:val="008A35D6"/>
    <w:rsid w:val="008A406E"/>
    <w:rsid w:val="008A4D98"/>
    <w:rsid w:val="008A57B8"/>
    <w:rsid w:val="008A6411"/>
    <w:rsid w:val="008B0356"/>
    <w:rsid w:val="008B0544"/>
    <w:rsid w:val="008B0D5C"/>
    <w:rsid w:val="008B172B"/>
    <w:rsid w:val="008B217C"/>
    <w:rsid w:val="008B2271"/>
    <w:rsid w:val="008B25EC"/>
    <w:rsid w:val="008B2E12"/>
    <w:rsid w:val="008B5527"/>
    <w:rsid w:val="008B6F1D"/>
    <w:rsid w:val="008B70F2"/>
    <w:rsid w:val="008C05BC"/>
    <w:rsid w:val="008C20DE"/>
    <w:rsid w:val="008C2C87"/>
    <w:rsid w:val="008C3127"/>
    <w:rsid w:val="008C387A"/>
    <w:rsid w:val="008C3C3D"/>
    <w:rsid w:val="008C45C6"/>
    <w:rsid w:val="008C5F9B"/>
    <w:rsid w:val="008C7487"/>
    <w:rsid w:val="008D0D61"/>
    <w:rsid w:val="008D3354"/>
    <w:rsid w:val="008D357C"/>
    <w:rsid w:val="008D3608"/>
    <w:rsid w:val="008D436C"/>
    <w:rsid w:val="008D45A9"/>
    <w:rsid w:val="008D61DE"/>
    <w:rsid w:val="008E10CA"/>
    <w:rsid w:val="008E14CD"/>
    <w:rsid w:val="008E2AE9"/>
    <w:rsid w:val="008E3673"/>
    <w:rsid w:val="008E41AC"/>
    <w:rsid w:val="008E624C"/>
    <w:rsid w:val="008E74A3"/>
    <w:rsid w:val="008F2303"/>
    <w:rsid w:val="008F244E"/>
    <w:rsid w:val="008F31D8"/>
    <w:rsid w:val="008F3BC2"/>
    <w:rsid w:val="008F6532"/>
    <w:rsid w:val="008F70C0"/>
    <w:rsid w:val="008F7117"/>
    <w:rsid w:val="008F7B41"/>
    <w:rsid w:val="00900228"/>
    <w:rsid w:val="00901B2A"/>
    <w:rsid w:val="00902EF5"/>
    <w:rsid w:val="00903CFB"/>
    <w:rsid w:val="00906493"/>
    <w:rsid w:val="00907AD3"/>
    <w:rsid w:val="009100B1"/>
    <w:rsid w:val="00910E6C"/>
    <w:rsid w:val="0091174B"/>
    <w:rsid w:val="009121D5"/>
    <w:rsid w:val="00912A6A"/>
    <w:rsid w:val="00912C23"/>
    <w:rsid w:val="00912C6A"/>
    <w:rsid w:val="0091360D"/>
    <w:rsid w:val="00914382"/>
    <w:rsid w:val="009158E1"/>
    <w:rsid w:val="009169C3"/>
    <w:rsid w:val="00916FF1"/>
    <w:rsid w:val="00917F6F"/>
    <w:rsid w:val="00917FE8"/>
    <w:rsid w:val="009208D9"/>
    <w:rsid w:val="00922568"/>
    <w:rsid w:val="00922EE3"/>
    <w:rsid w:val="009261F5"/>
    <w:rsid w:val="009262B9"/>
    <w:rsid w:val="00927599"/>
    <w:rsid w:val="00932838"/>
    <w:rsid w:val="00934228"/>
    <w:rsid w:val="00934E9A"/>
    <w:rsid w:val="00937FC2"/>
    <w:rsid w:val="0094000C"/>
    <w:rsid w:val="00941DDE"/>
    <w:rsid w:val="00942125"/>
    <w:rsid w:val="009429EE"/>
    <w:rsid w:val="00942C86"/>
    <w:rsid w:val="00944AF9"/>
    <w:rsid w:val="009505A3"/>
    <w:rsid w:val="009506C2"/>
    <w:rsid w:val="00950A4E"/>
    <w:rsid w:val="009530A6"/>
    <w:rsid w:val="00954219"/>
    <w:rsid w:val="009547EB"/>
    <w:rsid w:val="00954DA1"/>
    <w:rsid w:val="0095550A"/>
    <w:rsid w:val="0095668E"/>
    <w:rsid w:val="0095723C"/>
    <w:rsid w:val="0096107F"/>
    <w:rsid w:val="009640B2"/>
    <w:rsid w:val="0096525B"/>
    <w:rsid w:val="0096652F"/>
    <w:rsid w:val="00966C5C"/>
    <w:rsid w:val="0096750A"/>
    <w:rsid w:val="0097116E"/>
    <w:rsid w:val="009734C6"/>
    <w:rsid w:val="00975768"/>
    <w:rsid w:val="00975AFD"/>
    <w:rsid w:val="00975C12"/>
    <w:rsid w:val="00975CF1"/>
    <w:rsid w:val="00976D99"/>
    <w:rsid w:val="00976F58"/>
    <w:rsid w:val="00981185"/>
    <w:rsid w:val="0098180B"/>
    <w:rsid w:val="00984D69"/>
    <w:rsid w:val="0098558F"/>
    <w:rsid w:val="0099038C"/>
    <w:rsid w:val="0099050E"/>
    <w:rsid w:val="00993099"/>
    <w:rsid w:val="00996026"/>
    <w:rsid w:val="00996579"/>
    <w:rsid w:val="0099792B"/>
    <w:rsid w:val="009A088B"/>
    <w:rsid w:val="009A1A38"/>
    <w:rsid w:val="009A1A3F"/>
    <w:rsid w:val="009A302F"/>
    <w:rsid w:val="009A330E"/>
    <w:rsid w:val="009A4D9D"/>
    <w:rsid w:val="009A56DF"/>
    <w:rsid w:val="009A578C"/>
    <w:rsid w:val="009A62B9"/>
    <w:rsid w:val="009A6AA2"/>
    <w:rsid w:val="009A7D34"/>
    <w:rsid w:val="009B0817"/>
    <w:rsid w:val="009B0F9E"/>
    <w:rsid w:val="009B3DFB"/>
    <w:rsid w:val="009B5EAF"/>
    <w:rsid w:val="009B7B62"/>
    <w:rsid w:val="009B7D33"/>
    <w:rsid w:val="009C0E6D"/>
    <w:rsid w:val="009C2B70"/>
    <w:rsid w:val="009C2FFB"/>
    <w:rsid w:val="009C3C43"/>
    <w:rsid w:val="009C482E"/>
    <w:rsid w:val="009C4928"/>
    <w:rsid w:val="009C6E56"/>
    <w:rsid w:val="009C726F"/>
    <w:rsid w:val="009D2E20"/>
    <w:rsid w:val="009D6221"/>
    <w:rsid w:val="009D7AC0"/>
    <w:rsid w:val="009E0506"/>
    <w:rsid w:val="009E0A21"/>
    <w:rsid w:val="009E1129"/>
    <w:rsid w:val="009E1817"/>
    <w:rsid w:val="009E2EA0"/>
    <w:rsid w:val="009E34E0"/>
    <w:rsid w:val="009E598C"/>
    <w:rsid w:val="009E6111"/>
    <w:rsid w:val="009F0F0C"/>
    <w:rsid w:val="009F1514"/>
    <w:rsid w:val="009F18BB"/>
    <w:rsid w:val="009F2068"/>
    <w:rsid w:val="009F227F"/>
    <w:rsid w:val="009F2967"/>
    <w:rsid w:val="009F418D"/>
    <w:rsid w:val="009F5308"/>
    <w:rsid w:val="009F646A"/>
    <w:rsid w:val="009F66EB"/>
    <w:rsid w:val="00A00716"/>
    <w:rsid w:val="00A01541"/>
    <w:rsid w:val="00A017D0"/>
    <w:rsid w:val="00A022FE"/>
    <w:rsid w:val="00A02D6E"/>
    <w:rsid w:val="00A033D5"/>
    <w:rsid w:val="00A0368C"/>
    <w:rsid w:val="00A03EE1"/>
    <w:rsid w:val="00A04BCA"/>
    <w:rsid w:val="00A056A4"/>
    <w:rsid w:val="00A05A71"/>
    <w:rsid w:val="00A07EA4"/>
    <w:rsid w:val="00A1029B"/>
    <w:rsid w:val="00A122BE"/>
    <w:rsid w:val="00A13455"/>
    <w:rsid w:val="00A143EF"/>
    <w:rsid w:val="00A14AE3"/>
    <w:rsid w:val="00A14FF9"/>
    <w:rsid w:val="00A16394"/>
    <w:rsid w:val="00A17CB9"/>
    <w:rsid w:val="00A17EDB"/>
    <w:rsid w:val="00A209F2"/>
    <w:rsid w:val="00A211FF"/>
    <w:rsid w:val="00A229A2"/>
    <w:rsid w:val="00A22B81"/>
    <w:rsid w:val="00A25B13"/>
    <w:rsid w:val="00A27BCA"/>
    <w:rsid w:val="00A37024"/>
    <w:rsid w:val="00A376DE"/>
    <w:rsid w:val="00A40E5E"/>
    <w:rsid w:val="00A42E96"/>
    <w:rsid w:val="00A431A4"/>
    <w:rsid w:val="00A44ABE"/>
    <w:rsid w:val="00A457C9"/>
    <w:rsid w:val="00A461C0"/>
    <w:rsid w:val="00A46C94"/>
    <w:rsid w:val="00A46ED4"/>
    <w:rsid w:val="00A54B88"/>
    <w:rsid w:val="00A554D2"/>
    <w:rsid w:val="00A55738"/>
    <w:rsid w:val="00A56242"/>
    <w:rsid w:val="00A60F56"/>
    <w:rsid w:val="00A61F81"/>
    <w:rsid w:val="00A624BF"/>
    <w:rsid w:val="00A637EE"/>
    <w:rsid w:val="00A63A9A"/>
    <w:rsid w:val="00A70744"/>
    <w:rsid w:val="00A737AE"/>
    <w:rsid w:val="00A74676"/>
    <w:rsid w:val="00A769D9"/>
    <w:rsid w:val="00A77565"/>
    <w:rsid w:val="00A80C52"/>
    <w:rsid w:val="00A8281F"/>
    <w:rsid w:val="00A85EAD"/>
    <w:rsid w:val="00A866BE"/>
    <w:rsid w:val="00A869F9"/>
    <w:rsid w:val="00A92B71"/>
    <w:rsid w:val="00A948C7"/>
    <w:rsid w:val="00A97665"/>
    <w:rsid w:val="00AA0918"/>
    <w:rsid w:val="00AA11B9"/>
    <w:rsid w:val="00AA21FB"/>
    <w:rsid w:val="00AA3EB7"/>
    <w:rsid w:val="00AB0547"/>
    <w:rsid w:val="00AB08B0"/>
    <w:rsid w:val="00AB23C8"/>
    <w:rsid w:val="00AB2517"/>
    <w:rsid w:val="00AB6530"/>
    <w:rsid w:val="00AB6AAE"/>
    <w:rsid w:val="00AC02E6"/>
    <w:rsid w:val="00AC053D"/>
    <w:rsid w:val="00AC258F"/>
    <w:rsid w:val="00AC61D1"/>
    <w:rsid w:val="00AC62CE"/>
    <w:rsid w:val="00AC692B"/>
    <w:rsid w:val="00AC7D42"/>
    <w:rsid w:val="00AD1EF1"/>
    <w:rsid w:val="00AD509F"/>
    <w:rsid w:val="00AD6035"/>
    <w:rsid w:val="00AD6782"/>
    <w:rsid w:val="00AD6D32"/>
    <w:rsid w:val="00AE0BCB"/>
    <w:rsid w:val="00AE239C"/>
    <w:rsid w:val="00AE36D8"/>
    <w:rsid w:val="00AE3C39"/>
    <w:rsid w:val="00AE471B"/>
    <w:rsid w:val="00AE55AE"/>
    <w:rsid w:val="00AE5CDA"/>
    <w:rsid w:val="00AE72A4"/>
    <w:rsid w:val="00AE764D"/>
    <w:rsid w:val="00AE7A84"/>
    <w:rsid w:val="00AF0785"/>
    <w:rsid w:val="00AF0926"/>
    <w:rsid w:val="00AF0DC7"/>
    <w:rsid w:val="00AF19E5"/>
    <w:rsid w:val="00AF252C"/>
    <w:rsid w:val="00AF39E8"/>
    <w:rsid w:val="00AF6D09"/>
    <w:rsid w:val="00AF7E02"/>
    <w:rsid w:val="00AF7ED6"/>
    <w:rsid w:val="00B057B5"/>
    <w:rsid w:val="00B0584B"/>
    <w:rsid w:val="00B10A0E"/>
    <w:rsid w:val="00B1300A"/>
    <w:rsid w:val="00B132AC"/>
    <w:rsid w:val="00B14AF1"/>
    <w:rsid w:val="00B16DE7"/>
    <w:rsid w:val="00B1740B"/>
    <w:rsid w:val="00B20320"/>
    <w:rsid w:val="00B23C43"/>
    <w:rsid w:val="00B23C50"/>
    <w:rsid w:val="00B248A3"/>
    <w:rsid w:val="00B26788"/>
    <w:rsid w:val="00B26B8E"/>
    <w:rsid w:val="00B30575"/>
    <w:rsid w:val="00B3386F"/>
    <w:rsid w:val="00B41744"/>
    <w:rsid w:val="00B42759"/>
    <w:rsid w:val="00B509C6"/>
    <w:rsid w:val="00B5120C"/>
    <w:rsid w:val="00B524F5"/>
    <w:rsid w:val="00B53A66"/>
    <w:rsid w:val="00B5414F"/>
    <w:rsid w:val="00B55173"/>
    <w:rsid w:val="00B569A5"/>
    <w:rsid w:val="00B57B22"/>
    <w:rsid w:val="00B61426"/>
    <w:rsid w:val="00B616C8"/>
    <w:rsid w:val="00B62E29"/>
    <w:rsid w:val="00B639D5"/>
    <w:rsid w:val="00B65088"/>
    <w:rsid w:val="00B65A5E"/>
    <w:rsid w:val="00B703C7"/>
    <w:rsid w:val="00B711E3"/>
    <w:rsid w:val="00B74491"/>
    <w:rsid w:val="00B77467"/>
    <w:rsid w:val="00B80017"/>
    <w:rsid w:val="00B81E77"/>
    <w:rsid w:val="00B8242F"/>
    <w:rsid w:val="00B84860"/>
    <w:rsid w:val="00B84A46"/>
    <w:rsid w:val="00B870E3"/>
    <w:rsid w:val="00B87247"/>
    <w:rsid w:val="00B877D1"/>
    <w:rsid w:val="00B90B60"/>
    <w:rsid w:val="00B92A34"/>
    <w:rsid w:val="00B941D0"/>
    <w:rsid w:val="00B942DF"/>
    <w:rsid w:val="00B94CB7"/>
    <w:rsid w:val="00B962B7"/>
    <w:rsid w:val="00B973DF"/>
    <w:rsid w:val="00BA32E9"/>
    <w:rsid w:val="00BA53B3"/>
    <w:rsid w:val="00BB0F75"/>
    <w:rsid w:val="00BB1625"/>
    <w:rsid w:val="00BB1D26"/>
    <w:rsid w:val="00BC2435"/>
    <w:rsid w:val="00BC2461"/>
    <w:rsid w:val="00BC290A"/>
    <w:rsid w:val="00BC3A9B"/>
    <w:rsid w:val="00BC3ADA"/>
    <w:rsid w:val="00BC431E"/>
    <w:rsid w:val="00BD0820"/>
    <w:rsid w:val="00BD2FA6"/>
    <w:rsid w:val="00BD395F"/>
    <w:rsid w:val="00BD3CD6"/>
    <w:rsid w:val="00BD6FAC"/>
    <w:rsid w:val="00BE088D"/>
    <w:rsid w:val="00BE0A75"/>
    <w:rsid w:val="00BE6DEE"/>
    <w:rsid w:val="00BF0115"/>
    <w:rsid w:val="00BF0185"/>
    <w:rsid w:val="00BF0D2E"/>
    <w:rsid w:val="00BF15EC"/>
    <w:rsid w:val="00BF74B5"/>
    <w:rsid w:val="00C009B9"/>
    <w:rsid w:val="00C01153"/>
    <w:rsid w:val="00C0193A"/>
    <w:rsid w:val="00C0296A"/>
    <w:rsid w:val="00C07354"/>
    <w:rsid w:val="00C10E37"/>
    <w:rsid w:val="00C115BD"/>
    <w:rsid w:val="00C11D52"/>
    <w:rsid w:val="00C12574"/>
    <w:rsid w:val="00C126D5"/>
    <w:rsid w:val="00C1296E"/>
    <w:rsid w:val="00C13413"/>
    <w:rsid w:val="00C160A8"/>
    <w:rsid w:val="00C17C06"/>
    <w:rsid w:val="00C238CF"/>
    <w:rsid w:val="00C245DB"/>
    <w:rsid w:val="00C3060F"/>
    <w:rsid w:val="00C30947"/>
    <w:rsid w:val="00C32E58"/>
    <w:rsid w:val="00C333B0"/>
    <w:rsid w:val="00C342EC"/>
    <w:rsid w:val="00C40634"/>
    <w:rsid w:val="00C40916"/>
    <w:rsid w:val="00C40CF4"/>
    <w:rsid w:val="00C41C09"/>
    <w:rsid w:val="00C43628"/>
    <w:rsid w:val="00C43854"/>
    <w:rsid w:val="00C43C74"/>
    <w:rsid w:val="00C44955"/>
    <w:rsid w:val="00C450B1"/>
    <w:rsid w:val="00C453EB"/>
    <w:rsid w:val="00C466B5"/>
    <w:rsid w:val="00C50049"/>
    <w:rsid w:val="00C504EC"/>
    <w:rsid w:val="00C50F4F"/>
    <w:rsid w:val="00C51860"/>
    <w:rsid w:val="00C51C8A"/>
    <w:rsid w:val="00C53736"/>
    <w:rsid w:val="00C53878"/>
    <w:rsid w:val="00C539EC"/>
    <w:rsid w:val="00C611E1"/>
    <w:rsid w:val="00C634AE"/>
    <w:rsid w:val="00C63F1D"/>
    <w:rsid w:val="00C70524"/>
    <w:rsid w:val="00C74291"/>
    <w:rsid w:val="00C74B84"/>
    <w:rsid w:val="00C7758E"/>
    <w:rsid w:val="00C8060A"/>
    <w:rsid w:val="00C820D0"/>
    <w:rsid w:val="00C82D3B"/>
    <w:rsid w:val="00C841B6"/>
    <w:rsid w:val="00C8758F"/>
    <w:rsid w:val="00C900F4"/>
    <w:rsid w:val="00C91110"/>
    <w:rsid w:val="00C91FF7"/>
    <w:rsid w:val="00C94B4F"/>
    <w:rsid w:val="00C9535E"/>
    <w:rsid w:val="00C96CA2"/>
    <w:rsid w:val="00C9722C"/>
    <w:rsid w:val="00CA0886"/>
    <w:rsid w:val="00CA1258"/>
    <w:rsid w:val="00CA1608"/>
    <w:rsid w:val="00CA7CDA"/>
    <w:rsid w:val="00CA7F29"/>
    <w:rsid w:val="00CA7FAA"/>
    <w:rsid w:val="00CB0C79"/>
    <w:rsid w:val="00CB16B9"/>
    <w:rsid w:val="00CB3844"/>
    <w:rsid w:val="00CB3E8F"/>
    <w:rsid w:val="00CB41DB"/>
    <w:rsid w:val="00CB42F6"/>
    <w:rsid w:val="00CB437D"/>
    <w:rsid w:val="00CB74C9"/>
    <w:rsid w:val="00CC2795"/>
    <w:rsid w:val="00CC3894"/>
    <w:rsid w:val="00CC3A9C"/>
    <w:rsid w:val="00CC3F83"/>
    <w:rsid w:val="00CC5DD5"/>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25AD"/>
    <w:rsid w:val="00CF35EB"/>
    <w:rsid w:val="00CF4B8A"/>
    <w:rsid w:val="00CF71CE"/>
    <w:rsid w:val="00D016EE"/>
    <w:rsid w:val="00D01EAB"/>
    <w:rsid w:val="00D032CD"/>
    <w:rsid w:val="00D0339A"/>
    <w:rsid w:val="00D04D17"/>
    <w:rsid w:val="00D05069"/>
    <w:rsid w:val="00D05867"/>
    <w:rsid w:val="00D05A38"/>
    <w:rsid w:val="00D074ED"/>
    <w:rsid w:val="00D077B6"/>
    <w:rsid w:val="00D0794B"/>
    <w:rsid w:val="00D10B93"/>
    <w:rsid w:val="00D116EA"/>
    <w:rsid w:val="00D14F6B"/>
    <w:rsid w:val="00D157CC"/>
    <w:rsid w:val="00D1739C"/>
    <w:rsid w:val="00D17CC1"/>
    <w:rsid w:val="00D2269F"/>
    <w:rsid w:val="00D24DA2"/>
    <w:rsid w:val="00D2721B"/>
    <w:rsid w:val="00D30271"/>
    <w:rsid w:val="00D30F98"/>
    <w:rsid w:val="00D31806"/>
    <w:rsid w:val="00D32135"/>
    <w:rsid w:val="00D32CDD"/>
    <w:rsid w:val="00D3412E"/>
    <w:rsid w:val="00D3444C"/>
    <w:rsid w:val="00D353C7"/>
    <w:rsid w:val="00D35DD7"/>
    <w:rsid w:val="00D37274"/>
    <w:rsid w:val="00D37AE5"/>
    <w:rsid w:val="00D37C8C"/>
    <w:rsid w:val="00D4068F"/>
    <w:rsid w:val="00D4106D"/>
    <w:rsid w:val="00D42E63"/>
    <w:rsid w:val="00D46E90"/>
    <w:rsid w:val="00D50326"/>
    <w:rsid w:val="00D51D3C"/>
    <w:rsid w:val="00D53D4F"/>
    <w:rsid w:val="00D5464E"/>
    <w:rsid w:val="00D54E5E"/>
    <w:rsid w:val="00D5569C"/>
    <w:rsid w:val="00D56934"/>
    <w:rsid w:val="00D571F1"/>
    <w:rsid w:val="00D57C09"/>
    <w:rsid w:val="00D57F6C"/>
    <w:rsid w:val="00D57FB0"/>
    <w:rsid w:val="00D602A5"/>
    <w:rsid w:val="00D60619"/>
    <w:rsid w:val="00D62226"/>
    <w:rsid w:val="00D63B51"/>
    <w:rsid w:val="00D642A9"/>
    <w:rsid w:val="00D6468C"/>
    <w:rsid w:val="00D64AD2"/>
    <w:rsid w:val="00D65CD5"/>
    <w:rsid w:val="00D672B7"/>
    <w:rsid w:val="00D70DD3"/>
    <w:rsid w:val="00D720C9"/>
    <w:rsid w:val="00D72F84"/>
    <w:rsid w:val="00D74AF0"/>
    <w:rsid w:val="00D75ADD"/>
    <w:rsid w:val="00D75D1A"/>
    <w:rsid w:val="00D7665B"/>
    <w:rsid w:val="00D76B86"/>
    <w:rsid w:val="00D76F46"/>
    <w:rsid w:val="00D77F04"/>
    <w:rsid w:val="00D817DA"/>
    <w:rsid w:val="00D81EC4"/>
    <w:rsid w:val="00D844D5"/>
    <w:rsid w:val="00D87173"/>
    <w:rsid w:val="00D87A67"/>
    <w:rsid w:val="00D908D5"/>
    <w:rsid w:val="00D9178C"/>
    <w:rsid w:val="00D91DE8"/>
    <w:rsid w:val="00D92306"/>
    <w:rsid w:val="00D9465B"/>
    <w:rsid w:val="00D95725"/>
    <w:rsid w:val="00D96533"/>
    <w:rsid w:val="00DA072B"/>
    <w:rsid w:val="00DA0CB2"/>
    <w:rsid w:val="00DA17C8"/>
    <w:rsid w:val="00DA1EBD"/>
    <w:rsid w:val="00DA31EE"/>
    <w:rsid w:val="00DA3A62"/>
    <w:rsid w:val="00DA3CAF"/>
    <w:rsid w:val="00DA40C9"/>
    <w:rsid w:val="00DA47B9"/>
    <w:rsid w:val="00DA4801"/>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0FC0"/>
    <w:rsid w:val="00DD242B"/>
    <w:rsid w:val="00DD28CA"/>
    <w:rsid w:val="00DD618F"/>
    <w:rsid w:val="00DD677A"/>
    <w:rsid w:val="00DD7D9A"/>
    <w:rsid w:val="00DE000C"/>
    <w:rsid w:val="00DE0FAA"/>
    <w:rsid w:val="00DE17A1"/>
    <w:rsid w:val="00DE1D24"/>
    <w:rsid w:val="00DE2D0A"/>
    <w:rsid w:val="00DE748E"/>
    <w:rsid w:val="00DE75CD"/>
    <w:rsid w:val="00DF01D6"/>
    <w:rsid w:val="00DF0A95"/>
    <w:rsid w:val="00DF1AB3"/>
    <w:rsid w:val="00DF1D0A"/>
    <w:rsid w:val="00DF1E8B"/>
    <w:rsid w:val="00DF2291"/>
    <w:rsid w:val="00DF2477"/>
    <w:rsid w:val="00DF3F71"/>
    <w:rsid w:val="00DF6472"/>
    <w:rsid w:val="00DF700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56F"/>
    <w:rsid w:val="00E2169F"/>
    <w:rsid w:val="00E23235"/>
    <w:rsid w:val="00E23845"/>
    <w:rsid w:val="00E2515B"/>
    <w:rsid w:val="00E2615B"/>
    <w:rsid w:val="00E2678B"/>
    <w:rsid w:val="00E30FCF"/>
    <w:rsid w:val="00E32294"/>
    <w:rsid w:val="00E32A42"/>
    <w:rsid w:val="00E33467"/>
    <w:rsid w:val="00E3566A"/>
    <w:rsid w:val="00E3773A"/>
    <w:rsid w:val="00E40EE6"/>
    <w:rsid w:val="00E4202E"/>
    <w:rsid w:val="00E42BBB"/>
    <w:rsid w:val="00E432C7"/>
    <w:rsid w:val="00E45348"/>
    <w:rsid w:val="00E46A96"/>
    <w:rsid w:val="00E46DAF"/>
    <w:rsid w:val="00E54460"/>
    <w:rsid w:val="00E54ED5"/>
    <w:rsid w:val="00E55F9B"/>
    <w:rsid w:val="00E57841"/>
    <w:rsid w:val="00E6016C"/>
    <w:rsid w:val="00E603BE"/>
    <w:rsid w:val="00E60875"/>
    <w:rsid w:val="00E60CB1"/>
    <w:rsid w:val="00E62D24"/>
    <w:rsid w:val="00E633DD"/>
    <w:rsid w:val="00E638F7"/>
    <w:rsid w:val="00E65496"/>
    <w:rsid w:val="00E66A78"/>
    <w:rsid w:val="00E678EE"/>
    <w:rsid w:val="00E67ADB"/>
    <w:rsid w:val="00E70502"/>
    <w:rsid w:val="00E71C1E"/>
    <w:rsid w:val="00E739DC"/>
    <w:rsid w:val="00E73A51"/>
    <w:rsid w:val="00E7467A"/>
    <w:rsid w:val="00E74AFA"/>
    <w:rsid w:val="00E76B96"/>
    <w:rsid w:val="00E76D36"/>
    <w:rsid w:val="00E8059E"/>
    <w:rsid w:val="00E80688"/>
    <w:rsid w:val="00E825E0"/>
    <w:rsid w:val="00E828F4"/>
    <w:rsid w:val="00E84376"/>
    <w:rsid w:val="00E84E08"/>
    <w:rsid w:val="00E85FA2"/>
    <w:rsid w:val="00E86032"/>
    <w:rsid w:val="00E87879"/>
    <w:rsid w:val="00E87D20"/>
    <w:rsid w:val="00E94D32"/>
    <w:rsid w:val="00EA0093"/>
    <w:rsid w:val="00EA7A2F"/>
    <w:rsid w:val="00EA7E2E"/>
    <w:rsid w:val="00EB0C15"/>
    <w:rsid w:val="00EB2458"/>
    <w:rsid w:val="00EB44C6"/>
    <w:rsid w:val="00EC036B"/>
    <w:rsid w:val="00EC1BC1"/>
    <w:rsid w:val="00EC7048"/>
    <w:rsid w:val="00EC7556"/>
    <w:rsid w:val="00ED135B"/>
    <w:rsid w:val="00EE131E"/>
    <w:rsid w:val="00EE1D6E"/>
    <w:rsid w:val="00EE5A2F"/>
    <w:rsid w:val="00EE5DC9"/>
    <w:rsid w:val="00EE6E75"/>
    <w:rsid w:val="00EF0BCD"/>
    <w:rsid w:val="00EF1258"/>
    <w:rsid w:val="00EF1DEE"/>
    <w:rsid w:val="00EF2414"/>
    <w:rsid w:val="00F01839"/>
    <w:rsid w:val="00F0238B"/>
    <w:rsid w:val="00F04C8F"/>
    <w:rsid w:val="00F05B0C"/>
    <w:rsid w:val="00F11D0B"/>
    <w:rsid w:val="00F1286F"/>
    <w:rsid w:val="00F13087"/>
    <w:rsid w:val="00F14E6F"/>
    <w:rsid w:val="00F1655F"/>
    <w:rsid w:val="00F16789"/>
    <w:rsid w:val="00F17F60"/>
    <w:rsid w:val="00F223C3"/>
    <w:rsid w:val="00F245B4"/>
    <w:rsid w:val="00F25D90"/>
    <w:rsid w:val="00F2626B"/>
    <w:rsid w:val="00F2666D"/>
    <w:rsid w:val="00F26E51"/>
    <w:rsid w:val="00F34BA2"/>
    <w:rsid w:val="00F34C0A"/>
    <w:rsid w:val="00F37DC8"/>
    <w:rsid w:val="00F4160F"/>
    <w:rsid w:val="00F428E3"/>
    <w:rsid w:val="00F47E17"/>
    <w:rsid w:val="00F51EC4"/>
    <w:rsid w:val="00F53000"/>
    <w:rsid w:val="00F53223"/>
    <w:rsid w:val="00F5327A"/>
    <w:rsid w:val="00F56CBD"/>
    <w:rsid w:val="00F574DC"/>
    <w:rsid w:val="00F57846"/>
    <w:rsid w:val="00F60632"/>
    <w:rsid w:val="00F61C34"/>
    <w:rsid w:val="00F61DC6"/>
    <w:rsid w:val="00F61E8C"/>
    <w:rsid w:val="00F62A4F"/>
    <w:rsid w:val="00F63C5F"/>
    <w:rsid w:val="00F64313"/>
    <w:rsid w:val="00F644B0"/>
    <w:rsid w:val="00F6602C"/>
    <w:rsid w:val="00F66984"/>
    <w:rsid w:val="00F67186"/>
    <w:rsid w:val="00F6789F"/>
    <w:rsid w:val="00F67FB3"/>
    <w:rsid w:val="00F73CEB"/>
    <w:rsid w:val="00F75539"/>
    <w:rsid w:val="00F77673"/>
    <w:rsid w:val="00F80065"/>
    <w:rsid w:val="00F803AB"/>
    <w:rsid w:val="00F8090E"/>
    <w:rsid w:val="00F81AB8"/>
    <w:rsid w:val="00F81B82"/>
    <w:rsid w:val="00F82106"/>
    <w:rsid w:val="00F826FE"/>
    <w:rsid w:val="00F83A45"/>
    <w:rsid w:val="00F86BE6"/>
    <w:rsid w:val="00F87C02"/>
    <w:rsid w:val="00F902FA"/>
    <w:rsid w:val="00F90A84"/>
    <w:rsid w:val="00F92432"/>
    <w:rsid w:val="00F93CCD"/>
    <w:rsid w:val="00F93D29"/>
    <w:rsid w:val="00F9427B"/>
    <w:rsid w:val="00F950F1"/>
    <w:rsid w:val="00F9655F"/>
    <w:rsid w:val="00F976AD"/>
    <w:rsid w:val="00F9789E"/>
    <w:rsid w:val="00FA0937"/>
    <w:rsid w:val="00FA0BFF"/>
    <w:rsid w:val="00FA1CAA"/>
    <w:rsid w:val="00FA2A06"/>
    <w:rsid w:val="00FA3F2C"/>
    <w:rsid w:val="00FA51E4"/>
    <w:rsid w:val="00FB0047"/>
    <w:rsid w:val="00FB01A3"/>
    <w:rsid w:val="00FB05A5"/>
    <w:rsid w:val="00FB0F83"/>
    <w:rsid w:val="00FB424A"/>
    <w:rsid w:val="00FC02DE"/>
    <w:rsid w:val="00FC11F6"/>
    <w:rsid w:val="00FC1F58"/>
    <w:rsid w:val="00FC31A9"/>
    <w:rsid w:val="00FC3B1D"/>
    <w:rsid w:val="00FC702E"/>
    <w:rsid w:val="00FC7467"/>
    <w:rsid w:val="00FC76DD"/>
    <w:rsid w:val="00FD14CA"/>
    <w:rsid w:val="00FD1DD7"/>
    <w:rsid w:val="00FD2910"/>
    <w:rsid w:val="00FD2F6C"/>
    <w:rsid w:val="00FD49A2"/>
    <w:rsid w:val="00FD741E"/>
    <w:rsid w:val="00FE07D4"/>
    <w:rsid w:val="00FE14C5"/>
    <w:rsid w:val="00FE23DB"/>
    <w:rsid w:val="00FE2A61"/>
    <w:rsid w:val="00FE4977"/>
    <w:rsid w:val="00FE5C6D"/>
    <w:rsid w:val="00FE683E"/>
    <w:rsid w:val="00FF1204"/>
    <w:rsid w:val="00FF1355"/>
    <w:rsid w:val="00FF226D"/>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NoSpacingChar">
    <w:name w:val="No Spacing Char"/>
    <w:basedOn w:val="DefaultParagraphFont"/>
    <w:link w:val="NoSpacing"/>
    <w:uiPriority w:val="1"/>
    <w:rsid w:val="005D5C46"/>
    <w:rPr>
      <w:position w:val="6"/>
      <w:sz w:val="24"/>
    </w:rPr>
  </w:style>
  <w:style w:type="character" w:customStyle="1" w:styleId="FooterChar">
    <w:name w:val="Footer Char"/>
    <w:basedOn w:val="DefaultParagraphFont"/>
    <w:link w:val="Footer"/>
    <w:uiPriority w:val="99"/>
    <w:rsid w:val="005D5C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NoSpacingChar">
    <w:name w:val="No Spacing Char"/>
    <w:basedOn w:val="DefaultParagraphFont"/>
    <w:link w:val="NoSpacing"/>
    <w:uiPriority w:val="1"/>
    <w:rsid w:val="005D5C46"/>
    <w:rPr>
      <w:position w:val="6"/>
      <w:sz w:val="24"/>
    </w:rPr>
  </w:style>
  <w:style w:type="character" w:customStyle="1" w:styleId="FooterChar">
    <w:name w:val="Footer Char"/>
    <w:basedOn w:val="DefaultParagraphFont"/>
    <w:link w:val="Footer"/>
    <w:uiPriority w:val="99"/>
    <w:rsid w:val="005D5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661391278">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37952322">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0689">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719356405">
      <w:bodyDiv w:val="1"/>
      <w:marLeft w:val="0"/>
      <w:marRight w:val="0"/>
      <w:marTop w:val="0"/>
      <w:marBottom w:val="0"/>
      <w:divBdr>
        <w:top w:val="none" w:sz="0" w:space="0" w:color="auto"/>
        <w:left w:val="none" w:sz="0" w:space="0" w:color="auto"/>
        <w:bottom w:val="none" w:sz="0" w:space="0" w:color="auto"/>
        <w:right w:val="none" w:sz="0" w:space="0" w:color="auto"/>
      </w:divBdr>
    </w:div>
    <w:div w:id="1815486057">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quickfacts.census.gov" TargetMode="Externa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1CB7-05D4-454C-8A55-380B67A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6274</Words>
  <Characters>34501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40694</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Lawrence, Rich S.;Carbonneau;Larry</dc:creator>
  <cp:lastModifiedBy>Smith, Katie</cp:lastModifiedBy>
  <cp:revision>2</cp:revision>
  <cp:lastPrinted>2015-07-10T14:16:00Z</cp:lastPrinted>
  <dcterms:created xsi:type="dcterms:W3CDTF">2015-07-10T14:19:00Z</dcterms:created>
  <dcterms:modified xsi:type="dcterms:W3CDTF">2015-07-10T14:19:00Z</dcterms:modified>
</cp:coreProperties>
</file>