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63" w:rsidRDefault="00D47963" w:rsidP="00F46DB8">
      <w:pPr>
        <w:rPr>
          <w:b/>
          <w:szCs w:val="24"/>
        </w:rPr>
      </w:pPr>
      <w:bookmarkStart w:id="0" w:name="_GoBack"/>
      <w:bookmarkEnd w:id="0"/>
    </w:p>
    <w:p w:rsidR="00F46DB8" w:rsidRPr="00B70787" w:rsidRDefault="00F46DB8" w:rsidP="00F46DB8">
      <w:pPr>
        <w:rPr>
          <w:szCs w:val="24"/>
        </w:rPr>
      </w:pPr>
      <w:r w:rsidRPr="00B70787">
        <w:rPr>
          <w:b/>
          <w:szCs w:val="24"/>
        </w:rPr>
        <w:t>DATE:</w:t>
      </w:r>
      <w:r w:rsidRPr="00B70787">
        <w:rPr>
          <w:b/>
          <w:szCs w:val="24"/>
        </w:rPr>
        <w:tab/>
      </w:r>
      <w:r w:rsidR="00A0020B" w:rsidRPr="00B70787">
        <w:rPr>
          <w:szCs w:val="24"/>
        </w:rPr>
        <w:t>August 1, 201</w:t>
      </w:r>
      <w:r w:rsidR="00700660" w:rsidRPr="00B70787">
        <w:rPr>
          <w:szCs w:val="24"/>
        </w:rPr>
        <w:t>5</w:t>
      </w:r>
    </w:p>
    <w:p w:rsidR="00F46DB8" w:rsidRPr="00B70787" w:rsidRDefault="00F46DB8" w:rsidP="00A0020B">
      <w:pPr>
        <w:rPr>
          <w:szCs w:val="24"/>
        </w:rPr>
      </w:pPr>
    </w:p>
    <w:p w:rsidR="00F46DB8" w:rsidRPr="00B70787" w:rsidRDefault="00F46DB8" w:rsidP="00F46DB8">
      <w:pPr>
        <w:rPr>
          <w:szCs w:val="24"/>
        </w:rPr>
      </w:pPr>
      <w:r w:rsidRPr="00B70787">
        <w:rPr>
          <w:b/>
          <w:szCs w:val="24"/>
        </w:rPr>
        <w:t>TO:</w:t>
      </w:r>
      <w:r w:rsidRPr="00B70787">
        <w:rPr>
          <w:b/>
          <w:szCs w:val="24"/>
        </w:rPr>
        <w:tab/>
      </w:r>
      <w:r w:rsidRPr="00B70787">
        <w:rPr>
          <w:b/>
          <w:szCs w:val="24"/>
        </w:rPr>
        <w:tab/>
      </w:r>
      <w:r w:rsidRPr="00B70787">
        <w:rPr>
          <w:szCs w:val="24"/>
        </w:rPr>
        <w:t>Mary C. Mayhew, Commissioner, DHHS</w:t>
      </w:r>
    </w:p>
    <w:p w:rsidR="00F46DB8" w:rsidRPr="00B70787" w:rsidRDefault="00F46DB8" w:rsidP="00D47963">
      <w:pPr>
        <w:tabs>
          <w:tab w:val="left" w:pos="1122"/>
          <w:tab w:val="left" w:pos="3725"/>
        </w:tabs>
        <w:rPr>
          <w:szCs w:val="24"/>
        </w:rPr>
      </w:pPr>
    </w:p>
    <w:p w:rsidR="00F46DB8" w:rsidRPr="00B70787" w:rsidRDefault="00F46DB8" w:rsidP="00F46DB8">
      <w:pPr>
        <w:rPr>
          <w:szCs w:val="24"/>
        </w:rPr>
      </w:pPr>
      <w:r w:rsidRPr="00B70787">
        <w:rPr>
          <w:b/>
          <w:szCs w:val="24"/>
        </w:rPr>
        <w:t>THROUGH:</w:t>
      </w:r>
      <w:r w:rsidRPr="00B70787">
        <w:rPr>
          <w:b/>
          <w:szCs w:val="24"/>
        </w:rPr>
        <w:tab/>
      </w:r>
      <w:r w:rsidR="00700660" w:rsidRPr="00B70787">
        <w:rPr>
          <w:szCs w:val="24"/>
        </w:rPr>
        <w:t>Phyllis Powell</w:t>
      </w:r>
      <w:r w:rsidRPr="00B70787">
        <w:rPr>
          <w:szCs w:val="24"/>
        </w:rPr>
        <w:t>, Director, DLRS</w:t>
      </w:r>
    </w:p>
    <w:p w:rsidR="00F46DB8" w:rsidRPr="00B70787" w:rsidRDefault="00F46DB8" w:rsidP="00F46DB8">
      <w:pPr>
        <w:pStyle w:val="Cover"/>
        <w:tabs>
          <w:tab w:val="clear" w:pos="720"/>
          <w:tab w:val="clear" w:pos="1440"/>
          <w:tab w:val="clear" w:pos="2160"/>
          <w:tab w:val="clear" w:pos="4464"/>
          <w:tab w:val="clear" w:pos="8496"/>
        </w:tabs>
        <w:spacing w:line="240" w:lineRule="auto"/>
        <w:ind w:left="0" w:firstLine="0"/>
        <w:rPr>
          <w:szCs w:val="24"/>
        </w:rPr>
      </w:pPr>
    </w:p>
    <w:p w:rsidR="00F46DB8" w:rsidRPr="00B70787" w:rsidRDefault="00F46DB8" w:rsidP="00F46DB8">
      <w:pPr>
        <w:pStyle w:val="Cover"/>
        <w:tabs>
          <w:tab w:val="clear" w:pos="720"/>
          <w:tab w:val="clear" w:pos="1440"/>
          <w:tab w:val="clear" w:pos="2160"/>
          <w:tab w:val="clear" w:pos="4464"/>
          <w:tab w:val="clear" w:pos="8496"/>
        </w:tabs>
        <w:spacing w:line="240" w:lineRule="auto"/>
        <w:ind w:left="0" w:firstLine="0"/>
        <w:rPr>
          <w:szCs w:val="24"/>
        </w:rPr>
      </w:pPr>
      <w:r w:rsidRPr="00B70787">
        <w:rPr>
          <w:b/>
          <w:szCs w:val="24"/>
        </w:rPr>
        <w:t>FROM:</w:t>
      </w:r>
      <w:r w:rsidRPr="00B70787">
        <w:rPr>
          <w:szCs w:val="24"/>
        </w:rPr>
        <w:tab/>
        <w:t>Larry D. Carbonneau, Manager, Health Care Oversight, DLRS</w:t>
      </w:r>
    </w:p>
    <w:p w:rsidR="00F46DB8" w:rsidRPr="00B70787" w:rsidRDefault="00F46DB8" w:rsidP="00F46DB8">
      <w:pPr>
        <w:rPr>
          <w:szCs w:val="24"/>
        </w:rPr>
      </w:pPr>
      <w:r w:rsidRPr="00B70787">
        <w:rPr>
          <w:szCs w:val="24"/>
        </w:rPr>
        <w:tab/>
      </w:r>
      <w:r w:rsidRPr="00B70787">
        <w:rPr>
          <w:szCs w:val="24"/>
        </w:rPr>
        <w:tab/>
        <w:t>Richard S. Lawrence, Senior Health Care Financial Analyst, DLRS</w:t>
      </w:r>
    </w:p>
    <w:p w:rsidR="00F46DB8" w:rsidRPr="00B70787" w:rsidRDefault="00F46DB8" w:rsidP="00F46DB8">
      <w:pPr>
        <w:rPr>
          <w:szCs w:val="24"/>
        </w:rPr>
      </w:pPr>
    </w:p>
    <w:p w:rsidR="00F46DB8" w:rsidRPr="00B70787" w:rsidRDefault="00F46DB8" w:rsidP="00F46DB8">
      <w:pPr>
        <w:ind w:left="1440" w:hanging="1440"/>
        <w:rPr>
          <w:szCs w:val="24"/>
        </w:rPr>
      </w:pPr>
      <w:r w:rsidRPr="00B70787">
        <w:rPr>
          <w:b/>
          <w:szCs w:val="24"/>
        </w:rPr>
        <w:t>SUBJECT:</w:t>
      </w:r>
      <w:r w:rsidRPr="00B70787">
        <w:rPr>
          <w:szCs w:val="24"/>
        </w:rPr>
        <w:tab/>
      </w:r>
      <w:r w:rsidR="00B70787" w:rsidRPr="00B70787">
        <w:rPr>
          <w:szCs w:val="24"/>
        </w:rPr>
        <w:t>Acquisition of Control</w:t>
      </w:r>
      <w:r w:rsidR="000865F9" w:rsidRPr="00B70787">
        <w:rPr>
          <w:szCs w:val="24"/>
        </w:rPr>
        <w:t xml:space="preserve"> </w:t>
      </w:r>
      <w:r w:rsidR="001F66A3">
        <w:rPr>
          <w:szCs w:val="24"/>
        </w:rPr>
        <w:t xml:space="preserve">- </w:t>
      </w:r>
      <w:r w:rsidR="000865F9" w:rsidRPr="00B70787">
        <w:rPr>
          <w:szCs w:val="24"/>
        </w:rPr>
        <w:t>Durgin Pines</w:t>
      </w:r>
      <w:r w:rsidR="001F66A3">
        <w:rPr>
          <w:szCs w:val="24"/>
        </w:rPr>
        <w:t xml:space="preserve"> (A Nursing Home)</w:t>
      </w:r>
    </w:p>
    <w:p w:rsidR="00F46DB8" w:rsidRPr="00B70787" w:rsidRDefault="00F46DB8" w:rsidP="00F46DB8">
      <w:pPr>
        <w:pStyle w:val="Cover"/>
        <w:pBdr>
          <w:bottom w:val="single" w:sz="12" w:space="1" w:color="auto"/>
        </w:pBdr>
        <w:tabs>
          <w:tab w:val="clear" w:pos="720"/>
          <w:tab w:val="clear" w:pos="1440"/>
          <w:tab w:val="clear" w:pos="2160"/>
          <w:tab w:val="clear" w:pos="4464"/>
          <w:tab w:val="clear" w:pos="8496"/>
          <w:tab w:val="left" w:pos="1620"/>
        </w:tabs>
        <w:spacing w:line="240" w:lineRule="auto"/>
        <w:ind w:left="1620" w:hanging="1620"/>
        <w:rPr>
          <w:szCs w:val="24"/>
        </w:rPr>
      </w:pPr>
    </w:p>
    <w:p w:rsidR="00F46DB8" w:rsidRPr="00B70787" w:rsidRDefault="00F46DB8" w:rsidP="00F46DB8">
      <w:pPr>
        <w:pStyle w:val="Intro"/>
        <w:spacing w:before="0" w:line="240" w:lineRule="auto"/>
        <w:ind w:left="0" w:firstLine="0"/>
        <w:jc w:val="both"/>
        <w:rPr>
          <w:szCs w:val="24"/>
        </w:rPr>
      </w:pPr>
    </w:p>
    <w:p w:rsidR="00F46DB8" w:rsidRPr="00B70787" w:rsidRDefault="00F46DB8" w:rsidP="00E53A5B">
      <w:pPr>
        <w:pStyle w:val="NoSpacing"/>
        <w:jc w:val="both"/>
        <w:rPr>
          <w:szCs w:val="24"/>
        </w:rPr>
      </w:pPr>
      <w:r w:rsidRPr="00B70787">
        <w:rPr>
          <w:b/>
          <w:szCs w:val="24"/>
        </w:rPr>
        <w:t>ISSUE ACTIVATED BY:</w:t>
      </w:r>
      <w:r w:rsidRPr="00B70787">
        <w:rPr>
          <w:szCs w:val="24"/>
        </w:rPr>
        <w:t xml:space="preserve"> The referenced proposal requires Certificate of Nee</w:t>
      </w:r>
      <w:r w:rsidR="00963566" w:rsidRPr="00B70787">
        <w:rPr>
          <w:szCs w:val="24"/>
        </w:rPr>
        <w:t xml:space="preserve">d (CON) approval as defined in </w:t>
      </w:r>
      <w:r w:rsidR="00A011F8" w:rsidRPr="00B70787">
        <w:rPr>
          <w:szCs w:val="24"/>
        </w:rPr>
        <w:t>“</w:t>
      </w:r>
      <w:r w:rsidRPr="00B70787">
        <w:rPr>
          <w:szCs w:val="24"/>
        </w:rPr>
        <w:t>The Maine C</w:t>
      </w:r>
      <w:r w:rsidR="00A011F8" w:rsidRPr="00B70787">
        <w:rPr>
          <w:szCs w:val="24"/>
        </w:rPr>
        <w:t>ertificate of Need Act of 2002,”</w:t>
      </w:r>
      <w:r w:rsidRPr="00B70787">
        <w:rPr>
          <w:szCs w:val="24"/>
        </w:rPr>
        <w:t xml:space="preserve"> 22 M</w:t>
      </w:r>
      <w:r w:rsidR="00C90C97">
        <w:rPr>
          <w:szCs w:val="24"/>
        </w:rPr>
        <w:t>.</w:t>
      </w:r>
      <w:r w:rsidRPr="00B70787">
        <w:rPr>
          <w:szCs w:val="24"/>
        </w:rPr>
        <w:t>R</w:t>
      </w:r>
      <w:r w:rsidR="00C90C97">
        <w:rPr>
          <w:szCs w:val="24"/>
        </w:rPr>
        <w:t>.</w:t>
      </w:r>
      <w:r w:rsidRPr="00B70787">
        <w:rPr>
          <w:szCs w:val="24"/>
        </w:rPr>
        <w:t>S</w:t>
      </w:r>
      <w:r w:rsidR="00C90C97">
        <w:rPr>
          <w:szCs w:val="24"/>
        </w:rPr>
        <w:t>.</w:t>
      </w:r>
      <w:r w:rsidRPr="00B70787">
        <w:rPr>
          <w:szCs w:val="24"/>
        </w:rPr>
        <w:t>A</w:t>
      </w:r>
      <w:r w:rsidR="00C90C97">
        <w:rPr>
          <w:szCs w:val="24"/>
        </w:rPr>
        <w:t>. §</w:t>
      </w:r>
      <w:r w:rsidRPr="00B70787">
        <w:rPr>
          <w:szCs w:val="24"/>
        </w:rPr>
        <w:t>326 et seq., as amended.</w:t>
      </w:r>
    </w:p>
    <w:p w:rsidR="00F46DB8" w:rsidRPr="00B70787" w:rsidRDefault="00F46DB8" w:rsidP="00F46DB8">
      <w:pPr>
        <w:pStyle w:val="Intro"/>
        <w:spacing w:before="0" w:line="240" w:lineRule="auto"/>
        <w:ind w:left="0" w:firstLine="0"/>
        <w:jc w:val="both"/>
        <w:rPr>
          <w:szCs w:val="24"/>
        </w:rPr>
      </w:pPr>
    </w:p>
    <w:p w:rsidR="00F46DB8" w:rsidRPr="00B70787" w:rsidRDefault="00F46DB8" w:rsidP="00F46DB8">
      <w:pPr>
        <w:pStyle w:val="Intro"/>
        <w:tabs>
          <w:tab w:val="left" w:pos="90"/>
        </w:tabs>
        <w:spacing w:before="0" w:line="240" w:lineRule="auto"/>
        <w:ind w:left="0" w:firstLine="0"/>
        <w:rPr>
          <w:szCs w:val="24"/>
        </w:rPr>
      </w:pPr>
      <w:r w:rsidRPr="00B70787">
        <w:rPr>
          <w:b/>
          <w:szCs w:val="24"/>
        </w:rPr>
        <w:t xml:space="preserve">REGISTERED AFFECTED PARTIES: </w:t>
      </w:r>
      <w:r w:rsidR="00700660" w:rsidRPr="00B70787">
        <w:rPr>
          <w:szCs w:val="24"/>
        </w:rPr>
        <w:t>None</w:t>
      </w:r>
    </w:p>
    <w:p w:rsidR="00F46DB8" w:rsidRPr="00B70787" w:rsidRDefault="00F46DB8" w:rsidP="00F46DB8">
      <w:pPr>
        <w:pStyle w:val="Intro"/>
        <w:tabs>
          <w:tab w:val="left" w:pos="90"/>
        </w:tabs>
        <w:spacing w:before="0" w:line="240" w:lineRule="auto"/>
        <w:ind w:left="0" w:firstLine="0"/>
        <w:rPr>
          <w:szCs w:val="24"/>
        </w:rPr>
      </w:pPr>
    </w:p>
    <w:p w:rsidR="00F46DB8" w:rsidRPr="00B70787" w:rsidRDefault="002756DB" w:rsidP="00F46DB8">
      <w:pPr>
        <w:pStyle w:val="Intro"/>
        <w:spacing w:before="0" w:line="240" w:lineRule="auto"/>
        <w:ind w:left="0" w:firstLine="0"/>
        <w:rPr>
          <w:szCs w:val="24"/>
        </w:rPr>
      </w:pPr>
      <w:r>
        <w:rPr>
          <w:b/>
          <w:szCs w:val="24"/>
        </w:rPr>
        <w:t>I. BACKGROUND</w:t>
      </w:r>
    </w:p>
    <w:p w:rsidR="00B70787" w:rsidRPr="00B70787" w:rsidRDefault="00B70787" w:rsidP="000865F9">
      <w:pPr>
        <w:jc w:val="both"/>
        <w:rPr>
          <w:szCs w:val="24"/>
        </w:rPr>
      </w:pPr>
    </w:p>
    <w:p w:rsidR="000865F9" w:rsidRPr="00B70787" w:rsidRDefault="000865F9" w:rsidP="000865F9">
      <w:pPr>
        <w:jc w:val="both"/>
        <w:rPr>
          <w:szCs w:val="24"/>
        </w:rPr>
      </w:pPr>
      <w:r w:rsidRPr="00B70787">
        <w:rPr>
          <w:szCs w:val="24"/>
        </w:rPr>
        <w:t xml:space="preserve">Sentry Commons, LLC (Sentry Commons) operates an 81-bed </w:t>
      </w:r>
      <w:r w:rsidR="001F66A3">
        <w:rPr>
          <w:szCs w:val="24"/>
        </w:rPr>
        <w:t xml:space="preserve">nursing </w:t>
      </w:r>
      <w:r w:rsidRPr="00B70787">
        <w:rPr>
          <w:szCs w:val="24"/>
        </w:rPr>
        <w:t>facility leased from Kittery Commons, LLC (Kittery Commons) in Kittery, Maine,</w:t>
      </w:r>
      <w:r w:rsidR="001F66A3">
        <w:rPr>
          <w:szCs w:val="24"/>
        </w:rPr>
        <w:t xml:space="preserve"> The facility is operated under the name of </w:t>
      </w:r>
      <w:r w:rsidRPr="00B70787">
        <w:rPr>
          <w:szCs w:val="24"/>
        </w:rPr>
        <w:t xml:space="preserve">Durgin Pines. </w:t>
      </w:r>
    </w:p>
    <w:p w:rsidR="000865F9" w:rsidRPr="00B70787" w:rsidRDefault="000865F9" w:rsidP="000865F9">
      <w:pPr>
        <w:jc w:val="both"/>
        <w:rPr>
          <w:szCs w:val="24"/>
        </w:rPr>
      </w:pPr>
    </w:p>
    <w:p w:rsidR="000865F9" w:rsidRDefault="000865F9" w:rsidP="000865F9">
      <w:pPr>
        <w:jc w:val="both"/>
        <w:rPr>
          <w:szCs w:val="24"/>
        </w:rPr>
      </w:pPr>
      <w:r w:rsidRPr="00B70787">
        <w:rPr>
          <w:szCs w:val="24"/>
        </w:rPr>
        <w:t>Durgin Pines opened in May 2008</w:t>
      </w:r>
      <w:r w:rsidR="001F66A3">
        <w:rPr>
          <w:szCs w:val="24"/>
        </w:rPr>
        <w:t>.</w:t>
      </w:r>
      <w:r w:rsidRPr="00B70787">
        <w:rPr>
          <w:szCs w:val="24"/>
        </w:rPr>
        <w:t xml:space="preserve"> Kittery Commons purchased the licensed beds in 1999 and a Certificate of Need was approved in December 2005 to build the facility. Durgin Pines has operated in good standing since 2008. </w:t>
      </w:r>
    </w:p>
    <w:p w:rsidR="007F2D15" w:rsidRPr="00B70787" w:rsidRDefault="007F2D15" w:rsidP="000865F9">
      <w:pPr>
        <w:jc w:val="both"/>
        <w:rPr>
          <w:szCs w:val="24"/>
        </w:rPr>
      </w:pPr>
    </w:p>
    <w:p w:rsidR="00F46DB8" w:rsidRPr="00B70787" w:rsidRDefault="002756DB" w:rsidP="008A2E61">
      <w:pPr>
        <w:spacing w:line="220" w:lineRule="atLeast"/>
        <w:jc w:val="both"/>
        <w:rPr>
          <w:b/>
          <w:szCs w:val="24"/>
        </w:rPr>
      </w:pPr>
      <w:r>
        <w:rPr>
          <w:b/>
          <w:szCs w:val="24"/>
        </w:rPr>
        <w:t>II. PROJECT DESCRIPTION</w:t>
      </w:r>
    </w:p>
    <w:p w:rsidR="000865F9" w:rsidRPr="00B70787" w:rsidRDefault="000865F9" w:rsidP="008A2E61">
      <w:pPr>
        <w:spacing w:line="220" w:lineRule="atLeast"/>
        <w:jc w:val="both"/>
        <w:rPr>
          <w:b/>
          <w:szCs w:val="24"/>
        </w:rPr>
      </w:pPr>
    </w:p>
    <w:p w:rsidR="000865F9" w:rsidRPr="00B70787" w:rsidRDefault="000865F9" w:rsidP="000865F9">
      <w:pPr>
        <w:jc w:val="both"/>
        <w:rPr>
          <w:szCs w:val="24"/>
        </w:rPr>
      </w:pPr>
      <w:r w:rsidRPr="00B70787">
        <w:rPr>
          <w:szCs w:val="24"/>
        </w:rPr>
        <w:t>Both Sentry Commons’ and Kittery Commons’ membership interests are owned 50% by Joseph Hogan and 50% by William Gillis. William Gillis wishes to retire. The proposed project involves Joseph Hogan purchasing William Gillis’ membership interests in each entity</w:t>
      </w:r>
      <w:r w:rsidR="001F66A3">
        <w:rPr>
          <w:szCs w:val="24"/>
        </w:rPr>
        <w:t xml:space="preserve">. Joseph </w:t>
      </w:r>
      <w:r w:rsidR="007F2D15">
        <w:rPr>
          <w:szCs w:val="24"/>
        </w:rPr>
        <w:t xml:space="preserve">Hogan </w:t>
      </w:r>
      <w:r w:rsidRPr="00B70787">
        <w:rPr>
          <w:szCs w:val="24"/>
        </w:rPr>
        <w:t xml:space="preserve">would be the sole owner of both entities. </w:t>
      </w:r>
    </w:p>
    <w:p w:rsidR="000865F9" w:rsidRPr="00B70787" w:rsidRDefault="000865F9" w:rsidP="000865F9">
      <w:pPr>
        <w:jc w:val="both"/>
        <w:rPr>
          <w:szCs w:val="24"/>
        </w:rPr>
      </w:pPr>
    </w:p>
    <w:p w:rsidR="00F46DB8" w:rsidRPr="00B70787" w:rsidRDefault="002756DB" w:rsidP="00F46DB8">
      <w:pPr>
        <w:pStyle w:val="Intro"/>
        <w:spacing w:before="0" w:line="240" w:lineRule="auto"/>
        <w:ind w:left="0" w:firstLine="0"/>
        <w:rPr>
          <w:szCs w:val="24"/>
        </w:rPr>
      </w:pPr>
      <w:r>
        <w:rPr>
          <w:b/>
          <w:szCs w:val="24"/>
        </w:rPr>
        <w:t>III. HIGHLIGHTS</w:t>
      </w:r>
    </w:p>
    <w:p w:rsidR="00F46DB8" w:rsidRPr="00B70787" w:rsidRDefault="00F46DB8" w:rsidP="00F46DB8">
      <w:pPr>
        <w:rPr>
          <w:szCs w:val="24"/>
        </w:rPr>
      </w:pPr>
    </w:p>
    <w:p w:rsidR="00F46DB8" w:rsidRPr="00B70787" w:rsidRDefault="00F46DB8" w:rsidP="00E53A5B">
      <w:pPr>
        <w:pStyle w:val="NoSpacing"/>
        <w:rPr>
          <w:szCs w:val="24"/>
        </w:rPr>
      </w:pPr>
      <w:r w:rsidRPr="00B70787">
        <w:rPr>
          <w:szCs w:val="24"/>
        </w:rPr>
        <w:t>Letter of Intent dated:</w:t>
      </w:r>
      <w:r w:rsidRPr="00B70787">
        <w:rPr>
          <w:szCs w:val="24"/>
        </w:rPr>
        <w:tab/>
      </w:r>
      <w:r w:rsidRPr="00B70787">
        <w:rPr>
          <w:szCs w:val="24"/>
        </w:rPr>
        <w:tab/>
      </w:r>
      <w:r w:rsidRPr="00B70787">
        <w:rPr>
          <w:szCs w:val="24"/>
        </w:rPr>
        <w:tab/>
      </w:r>
      <w:r w:rsidRPr="00B70787">
        <w:rPr>
          <w:szCs w:val="24"/>
        </w:rPr>
        <w:tab/>
      </w:r>
      <w:r w:rsidR="005A570D" w:rsidRPr="00B70787">
        <w:rPr>
          <w:szCs w:val="24"/>
        </w:rPr>
        <w:t>April 30, 2015</w:t>
      </w:r>
    </w:p>
    <w:p w:rsidR="00F46DB8" w:rsidRPr="00B70787" w:rsidRDefault="00F46DB8" w:rsidP="00E53A5B">
      <w:pPr>
        <w:pStyle w:val="NoSpacing"/>
        <w:rPr>
          <w:szCs w:val="24"/>
        </w:rPr>
      </w:pPr>
      <w:r w:rsidRPr="00B70787">
        <w:rPr>
          <w:szCs w:val="24"/>
        </w:rPr>
        <w:t>Technical Assistance meeting held:</w:t>
      </w:r>
      <w:r w:rsidRPr="00B70787">
        <w:rPr>
          <w:szCs w:val="24"/>
        </w:rPr>
        <w:tab/>
      </w:r>
      <w:r w:rsidRPr="00B70787">
        <w:rPr>
          <w:szCs w:val="24"/>
        </w:rPr>
        <w:tab/>
      </w:r>
      <w:r w:rsidR="005A570D" w:rsidRPr="00B70787">
        <w:rPr>
          <w:szCs w:val="24"/>
        </w:rPr>
        <w:t>May 11, 2015</w:t>
      </w:r>
    </w:p>
    <w:p w:rsidR="00F46DB8" w:rsidRPr="00B70787" w:rsidRDefault="00F46DB8" w:rsidP="00E53A5B">
      <w:pPr>
        <w:pStyle w:val="NoSpacing"/>
        <w:rPr>
          <w:szCs w:val="24"/>
        </w:rPr>
      </w:pPr>
      <w:r w:rsidRPr="00B70787">
        <w:rPr>
          <w:szCs w:val="24"/>
        </w:rPr>
        <w:t>CON application filed:</w:t>
      </w:r>
      <w:r w:rsidRPr="00B70787">
        <w:rPr>
          <w:szCs w:val="24"/>
        </w:rPr>
        <w:tab/>
      </w:r>
      <w:r w:rsidRPr="00B70787">
        <w:rPr>
          <w:szCs w:val="24"/>
        </w:rPr>
        <w:tab/>
      </w:r>
      <w:r w:rsidRPr="00B70787">
        <w:rPr>
          <w:szCs w:val="24"/>
        </w:rPr>
        <w:tab/>
      </w:r>
      <w:r w:rsidR="005A570D" w:rsidRPr="00B70787">
        <w:rPr>
          <w:szCs w:val="24"/>
        </w:rPr>
        <w:t>May 29, 2015</w:t>
      </w:r>
    </w:p>
    <w:p w:rsidR="00F46DB8" w:rsidRPr="00B70787" w:rsidRDefault="00F46DB8" w:rsidP="00E53A5B">
      <w:pPr>
        <w:pStyle w:val="NoSpacing"/>
        <w:rPr>
          <w:szCs w:val="24"/>
        </w:rPr>
      </w:pPr>
      <w:r w:rsidRPr="00B70787">
        <w:rPr>
          <w:szCs w:val="24"/>
        </w:rPr>
        <w:t>CON certified as complete:</w:t>
      </w:r>
      <w:r w:rsidRPr="00B70787">
        <w:rPr>
          <w:szCs w:val="24"/>
        </w:rPr>
        <w:tab/>
      </w:r>
      <w:r w:rsidRPr="00B70787">
        <w:rPr>
          <w:szCs w:val="24"/>
        </w:rPr>
        <w:tab/>
      </w:r>
      <w:r w:rsidRPr="00B70787">
        <w:rPr>
          <w:szCs w:val="24"/>
        </w:rPr>
        <w:tab/>
      </w:r>
      <w:r w:rsidR="005A570D" w:rsidRPr="00B70787">
        <w:rPr>
          <w:szCs w:val="24"/>
        </w:rPr>
        <w:t>May 29, 2015</w:t>
      </w:r>
    </w:p>
    <w:p w:rsidR="00F46DB8" w:rsidRPr="00B70787" w:rsidRDefault="00F46DB8" w:rsidP="00E53A5B">
      <w:pPr>
        <w:pStyle w:val="NoSpacing"/>
        <w:rPr>
          <w:szCs w:val="24"/>
        </w:rPr>
      </w:pPr>
      <w:r w:rsidRPr="00B70787">
        <w:rPr>
          <w:szCs w:val="24"/>
        </w:rPr>
        <w:t>Public Hearing held:</w:t>
      </w:r>
      <w:r w:rsidRPr="00B70787">
        <w:rPr>
          <w:szCs w:val="24"/>
        </w:rPr>
        <w:tab/>
      </w:r>
      <w:r w:rsidRPr="00B70787">
        <w:rPr>
          <w:szCs w:val="24"/>
        </w:rPr>
        <w:tab/>
      </w:r>
      <w:r w:rsidRPr="00B70787">
        <w:rPr>
          <w:szCs w:val="24"/>
        </w:rPr>
        <w:tab/>
      </w:r>
      <w:r w:rsidRPr="00B70787">
        <w:rPr>
          <w:szCs w:val="24"/>
        </w:rPr>
        <w:tab/>
      </w:r>
      <w:r w:rsidR="005A570D" w:rsidRPr="00B70787">
        <w:rPr>
          <w:szCs w:val="24"/>
        </w:rPr>
        <w:t>None</w:t>
      </w:r>
    </w:p>
    <w:p w:rsidR="00F46DB8" w:rsidRPr="00B70787" w:rsidRDefault="001D1BA9" w:rsidP="00E53A5B">
      <w:pPr>
        <w:pStyle w:val="NoSpacing"/>
        <w:rPr>
          <w:szCs w:val="24"/>
        </w:rPr>
      </w:pPr>
      <w:r w:rsidRPr="00B70787">
        <w:rPr>
          <w:szCs w:val="24"/>
        </w:rPr>
        <w:t>Close of Public Record:</w:t>
      </w:r>
      <w:r w:rsidR="00F46DB8" w:rsidRPr="00B70787">
        <w:rPr>
          <w:szCs w:val="24"/>
        </w:rPr>
        <w:tab/>
      </w:r>
      <w:r w:rsidR="00F46DB8" w:rsidRPr="00B70787">
        <w:rPr>
          <w:szCs w:val="24"/>
        </w:rPr>
        <w:tab/>
      </w:r>
      <w:r w:rsidR="00F46DB8" w:rsidRPr="00B70787">
        <w:rPr>
          <w:szCs w:val="24"/>
        </w:rPr>
        <w:tab/>
      </w:r>
      <w:r w:rsidR="005A570D" w:rsidRPr="00B70787">
        <w:rPr>
          <w:szCs w:val="24"/>
        </w:rPr>
        <w:t>June 29, 2015</w:t>
      </w:r>
    </w:p>
    <w:p w:rsidR="00F46DB8" w:rsidRPr="00B70787" w:rsidRDefault="00F46DB8" w:rsidP="00E53A5B">
      <w:pPr>
        <w:pStyle w:val="NoSpacing"/>
        <w:rPr>
          <w:szCs w:val="24"/>
        </w:rPr>
      </w:pPr>
      <w:r w:rsidRPr="00B70787">
        <w:rPr>
          <w:szCs w:val="24"/>
        </w:rPr>
        <w:t>Preliminary Analysis released:</w:t>
      </w:r>
      <w:r w:rsidRPr="00B70787">
        <w:rPr>
          <w:szCs w:val="24"/>
        </w:rPr>
        <w:tab/>
      </w:r>
      <w:r w:rsidRPr="00B70787">
        <w:rPr>
          <w:szCs w:val="24"/>
        </w:rPr>
        <w:tab/>
      </w:r>
      <w:r w:rsidR="001D1BA9" w:rsidRPr="00B70787">
        <w:rPr>
          <w:szCs w:val="24"/>
        </w:rPr>
        <w:t>July 1</w:t>
      </w:r>
      <w:r w:rsidR="005A570D" w:rsidRPr="00B70787">
        <w:rPr>
          <w:szCs w:val="24"/>
        </w:rPr>
        <w:t>0</w:t>
      </w:r>
      <w:r w:rsidR="001D1BA9" w:rsidRPr="00B70787">
        <w:rPr>
          <w:szCs w:val="24"/>
        </w:rPr>
        <w:t>, 2015</w:t>
      </w:r>
    </w:p>
    <w:p w:rsidR="00F46DB8" w:rsidRPr="00B70787" w:rsidRDefault="00F46DB8" w:rsidP="00F46DB8">
      <w:pPr>
        <w:pStyle w:val="Intro"/>
        <w:spacing w:before="0" w:line="240" w:lineRule="auto"/>
        <w:ind w:left="450" w:hanging="450"/>
        <w:rPr>
          <w:b/>
          <w:szCs w:val="24"/>
        </w:rPr>
      </w:pPr>
      <w:r w:rsidRPr="00B70787">
        <w:rPr>
          <w:b/>
          <w:szCs w:val="24"/>
        </w:rPr>
        <w:lastRenderedPageBreak/>
        <w:t>IV. PUBLIC COMMENTS RECEIVED IN RESPO</w:t>
      </w:r>
      <w:r w:rsidR="002756DB">
        <w:rPr>
          <w:b/>
          <w:szCs w:val="24"/>
        </w:rPr>
        <w:t>NSE TO THE PRELIMINARY ANALYSIS</w:t>
      </w:r>
    </w:p>
    <w:p w:rsidR="00F46DB8" w:rsidRPr="00B70787" w:rsidRDefault="00F46DB8" w:rsidP="00F46DB8">
      <w:pPr>
        <w:rPr>
          <w:szCs w:val="24"/>
        </w:rPr>
      </w:pPr>
    </w:p>
    <w:p w:rsidR="00F46DB8" w:rsidRPr="00B70787" w:rsidRDefault="00067CF2" w:rsidP="00E53A5B">
      <w:pPr>
        <w:pStyle w:val="NoSpacing"/>
        <w:jc w:val="both"/>
        <w:rPr>
          <w:szCs w:val="24"/>
        </w:rPr>
      </w:pPr>
      <w:r w:rsidRPr="00B70787">
        <w:rPr>
          <w:szCs w:val="24"/>
        </w:rPr>
        <w:t>N</w:t>
      </w:r>
      <w:r w:rsidR="00F06027" w:rsidRPr="00B70787">
        <w:rPr>
          <w:szCs w:val="24"/>
        </w:rPr>
        <w:t>o public comments were received</w:t>
      </w:r>
      <w:r w:rsidRPr="00B70787">
        <w:rPr>
          <w:szCs w:val="24"/>
        </w:rPr>
        <w:t xml:space="preserve"> following the release of the preliminary analysis</w:t>
      </w:r>
      <w:r w:rsidR="00F06027" w:rsidRPr="00B70787">
        <w:rPr>
          <w:szCs w:val="24"/>
        </w:rPr>
        <w:t>.</w:t>
      </w:r>
    </w:p>
    <w:p w:rsidR="00C210C2" w:rsidRPr="00B70787" w:rsidRDefault="00C210C2" w:rsidP="00E53A5B">
      <w:pPr>
        <w:pStyle w:val="NoSpacing"/>
        <w:jc w:val="both"/>
        <w:rPr>
          <w:szCs w:val="24"/>
        </w:rPr>
      </w:pPr>
    </w:p>
    <w:p w:rsidR="00F46DB8" w:rsidRPr="00B70787" w:rsidRDefault="002756DB" w:rsidP="00F46DB8">
      <w:pPr>
        <w:tabs>
          <w:tab w:val="left" w:pos="90"/>
          <w:tab w:val="left" w:pos="180"/>
        </w:tabs>
        <w:rPr>
          <w:b/>
          <w:szCs w:val="24"/>
        </w:rPr>
      </w:pPr>
      <w:r>
        <w:rPr>
          <w:b/>
          <w:szCs w:val="24"/>
        </w:rPr>
        <w:t>V. CERTIFICATE OF NEED UNIT ANALYSIS</w:t>
      </w:r>
    </w:p>
    <w:p w:rsidR="00F46DB8" w:rsidRPr="00B70787" w:rsidRDefault="00F46DB8" w:rsidP="00E53A5B">
      <w:pPr>
        <w:pStyle w:val="NoSpacing"/>
        <w:rPr>
          <w:szCs w:val="24"/>
        </w:rPr>
      </w:pPr>
    </w:p>
    <w:p w:rsidR="00F46DB8" w:rsidRPr="00B70787" w:rsidRDefault="002756DB" w:rsidP="00BD5A3A">
      <w:pPr>
        <w:pStyle w:val="NoSpacing"/>
        <w:numPr>
          <w:ilvl w:val="0"/>
          <w:numId w:val="11"/>
        </w:numPr>
        <w:ind w:hanging="720"/>
        <w:rPr>
          <w:b/>
          <w:szCs w:val="24"/>
        </w:rPr>
      </w:pPr>
      <w:r>
        <w:rPr>
          <w:b/>
          <w:szCs w:val="24"/>
        </w:rPr>
        <w:t>Fit, Willing and Able</w:t>
      </w:r>
    </w:p>
    <w:p w:rsidR="00847CDC" w:rsidRPr="00B70787" w:rsidRDefault="00847CDC" w:rsidP="003D36EB">
      <w:pPr>
        <w:pStyle w:val="NoSpacing"/>
        <w:jc w:val="both"/>
        <w:rPr>
          <w:szCs w:val="24"/>
        </w:rPr>
      </w:pPr>
    </w:p>
    <w:p w:rsidR="0059037B" w:rsidRPr="00B70787" w:rsidRDefault="0059037B" w:rsidP="0059037B">
      <w:pPr>
        <w:jc w:val="both"/>
        <w:rPr>
          <w:szCs w:val="24"/>
        </w:rPr>
      </w:pPr>
      <w:r w:rsidRPr="00B70787">
        <w:rPr>
          <w:szCs w:val="24"/>
        </w:rPr>
        <w:t xml:space="preserve">Durgin Pines is licensed for </w:t>
      </w:r>
      <w:r w:rsidR="001F66A3">
        <w:rPr>
          <w:szCs w:val="24"/>
        </w:rPr>
        <w:t>81</w:t>
      </w:r>
      <w:r w:rsidR="007F2D15">
        <w:rPr>
          <w:szCs w:val="24"/>
        </w:rPr>
        <w:t xml:space="preserve"> </w:t>
      </w:r>
      <w:r w:rsidR="001F66A3">
        <w:rPr>
          <w:szCs w:val="24"/>
        </w:rPr>
        <w:t>S</w:t>
      </w:r>
      <w:r w:rsidRPr="00B70787">
        <w:rPr>
          <w:szCs w:val="24"/>
        </w:rPr>
        <w:t>NF</w:t>
      </w:r>
      <w:r w:rsidR="001F66A3">
        <w:rPr>
          <w:szCs w:val="24"/>
        </w:rPr>
        <w:t>/NF</w:t>
      </w:r>
      <w:r w:rsidRPr="00B70787">
        <w:rPr>
          <w:szCs w:val="24"/>
        </w:rPr>
        <w:t xml:space="preserve"> beds. The facility is located at 9 Lewis Road in Kittery, Maine. The administrator is Nicholas P. Bridges. The license was issued on March 2, 2015 and is valid through March 31, 2016.</w:t>
      </w:r>
    </w:p>
    <w:p w:rsidR="0059037B" w:rsidRPr="00B70787" w:rsidRDefault="0059037B" w:rsidP="0059037B">
      <w:pPr>
        <w:jc w:val="both"/>
        <w:rPr>
          <w:szCs w:val="24"/>
        </w:rPr>
      </w:pPr>
    </w:p>
    <w:p w:rsidR="0059037B" w:rsidRPr="00B70787" w:rsidRDefault="0059037B" w:rsidP="0059037B">
      <w:pPr>
        <w:jc w:val="both"/>
        <w:rPr>
          <w:szCs w:val="24"/>
        </w:rPr>
      </w:pPr>
      <w:r w:rsidRPr="00B70787">
        <w:rPr>
          <w:szCs w:val="24"/>
        </w:rPr>
        <w:t>A review of Durgin Pines last completed survey data, available from Medicare.gov website revealed the following ratings:</w:t>
      </w:r>
    </w:p>
    <w:p w:rsidR="0059037B" w:rsidRPr="00B70787" w:rsidRDefault="0059037B" w:rsidP="0059037B">
      <w:pPr>
        <w:jc w:val="both"/>
        <w:rPr>
          <w:szCs w:val="24"/>
        </w:rPr>
      </w:pPr>
    </w:p>
    <w:tbl>
      <w:tblPr>
        <w:tblW w:w="0" w:type="auto"/>
        <w:jc w:val="center"/>
        <w:tblInd w:w="1200" w:type="dxa"/>
        <w:tblLayout w:type="fixed"/>
        <w:tblCellMar>
          <w:left w:w="30" w:type="dxa"/>
          <w:right w:w="30" w:type="dxa"/>
        </w:tblCellMar>
        <w:tblLook w:val="0000" w:firstRow="0" w:lastRow="0" w:firstColumn="0" w:lastColumn="0" w:noHBand="0" w:noVBand="0"/>
      </w:tblPr>
      <w:tblGrid>
        <w:gridCol w:w="2524"/>
        <w:gridCol w:w="2710"/>
      </w:tblGrid>
      <w:tr w:rsidR="0059037B" w:rsidRPr="00B70787" w:rsidTr="00CF56F5">
        <w:trPr>
          <w:trHeight w:val="290"/>
          <w:jc w:val="center"/>
        </w:trPr>
        <w:tc>
          <w:tcPr>
            <w:tcW w:w="5234" w:type="dxa"/>
            <w:gridSpan w:val="2"/>
            <w:tcBorders>
              <w:top w:val="single" w:sz="6" w:space="0" w:color="auto"/>
              <w:left w:val="single" w:sz="6" w:space="0" w:color="auto"/>
              <w:bottom w:val="nil"/>
              <w:right w:val="single" w:sz="6" w:space="0" w:color="auto"/>
            </w:tcBorders>
          </w:tcPr>
          <w:p w:rsidR="0059037B" w:rsidRPr="00B70787" w:rsidRDefault="0059037B" w:rsidP="0059037B">
            <w:pPr>
              <w:autoSpaceDE w:val="0"/>
              <w:autoSpaceDN w:val="0"/>
              <w:adjustRightInd w:val="0"/>
              <w:jc w:val="center"/>
              <w:rPr>
                <w:b/>
                <w:bCs/>
                <w:color w:val="000000"/>
                <w:szCs w:val="24"/>
              </w:rPr>
            </w:pPr>
            <w:r w:rsidRPr="00B70787">
              <w:rPr>
                <w:b/>
                <w:bCs/>
                <w:color w:val="000000"/>
                <w:szCs w:val="24"/>
              </w:rPr>
              <w:t>Durgin Pines</w:t>
            </w:r>
          </w:p>
        </w:tc>
      </w:tr>
      <w:tr w:rsidR="0059037B" w:rsidRPr="00B70787" w:rsidTr="00CF56F5">
        <w:trPr>
          <w:trHeight w:val="290"/>
          <w:jc w:val="center"/>
        </w:trPr>
        <w:tc>
          <w:tcPr>
            <w:tcW w:w="5234" w:type="dxa"/>
            <w:gridSpan w:val="2"/>
            <w:tcBorders>
              <w:top w:val="nil"/>
              <w:left w:val="single" w:sz="6" w:space="0" w:color="auto"/>
              <w:bottom w:val="single" w:sz="6" w:space="0" w:color="auto"/>
              <w:right w:val="single" w:sz="6" w:space="0" w:color="auto"/>
            </w:tcBorders>
          </w:tcPr>
          <w:p w:rsidR="0059037B" w:rsidRPr="00B70787" w:rsidRDefault="0059037B" w:rsidP="0059037B">
            <w:pPr>
              <w:autoSpaceDE w:val="0"/>
              <w:autoSpaceDN w:val="0"/>
              <w:adjustRightInd w:val="0"/>
              <w:jc w:val="center"/>
              <w:rPr>
                <w:b/>
                <w:bCs/>
                <w:color w:val="000000"/>
                <w:szCs w:val="24"/>
              </w:rPr>
            </w:pPr>
            <w:r w:rsidRPr="00B70787">
              <w:rPr>
                <w:b/>
                <w:bCs/>
                <w:color w:val="000000"/>
                <w:szCs w:val="24"/>
              </w:rPr>
              <w:t>Nursing Home Compare Ratings</w:t>
            </w:r>
          </w:p>
        </w:tc>
      </w:tr>
      <w:tr w:rsidR="0059037B" w:rsidRPr="00B70787" w:rsidTr="00CF56F5">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59037B" w:rsidRPr="00B70787" w:rsidRDefault="0059037B" w:rsidP="0059037B">
            <w:pPr>
              <w:autoSpaceDE w:val="0"/>
              <w:autoSpaceDN w:val="0"/>
              <w:adjustRightInd w:val="0"/>
              <w:jc w:val="both"/>
              <w:rPr>
                <w:b/>
                <w:bCs/>
                <w:color w:val="000000"/>
                <w:szCs w:val="24"/>
              </w:rPr>
            </w:pPr>
            <w:r w:rsidRPr="00B70787">
              <w:rPr>
                <w:b/>
                <w:bCs/>
                <w:color w:val="000000"/>
                <w:szCs w:val="24"/>
              </w:rPr>
              <w:t>Category</w:t>
            </w:r>
          </w:p>
        </w:tc>
        <w:tc>
          <w:tcPr>
            <w:tcW w:w="2710" w:type="dxa"/>
            <w:tcBorders>
              <w:top w:val="single" w:sz="6" w:space="0" w:color="auto"/>
              <w:left w:val="single" w:sz="6" w:space="0" w:color="auto"/>
              <w:bottom w:val="single" w:sz="6" w:space="0" w:color="auto"/>
              <w:right w:val="single" w:sz="6" w:space="0" w:color="auto"/>
            </w:tcBorders>
          </w:tcPr>
          <w:p w:rsidR="0059037B" w:rsidRPr="00B70787" w:rsidRDefault="0059037B" w:rsidP="0059037B">
            <w:pPr>
              <w:autoSpaceDE w:val="0"/>
              <w:autoSpaceDN w:val="0"/>
              <w:adjustRightInd w:val="0"/>
              <w:jc w:val="both"/>
              <w:rPr>
                <w:b/>
                <w:bCs/>
                <w:color w:val="000000"/>
                <w:szCs w:val="24"/>
              </w:rPr>
            </w:pPr>
            <w:r w:rsidRPr="00B70787">
              <w:rPr>
                <w:b/>
                <w:bCs/>
                <w:color w:val="000000"/>
                <w:szCs w:val="24"/>
              </w:rPr>
              <w:t>Ratings</w:t>
            </w:r>
          </w:p>
        </w:tc>
      </w:tr>
      <w:tr w:rsidR="0059037B" w:rsidRPr="00B70787" w:rsidTr="00CF56F5">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59037B" w:rsidRPr="00B70787" w:rsidRDefault="0059037B" w:rsidP="0059037B">
            <w:pPr>
              <w:autoSpaceDE w:val="0"/>
              <w:autoSpaceDN w:val="0"/>
              <w:adjustRightInd w:val="0"/>
              <w:jc w:val="both"/>
              <w:rPr>
                <w:color w:val="000000"/>
                <w:szCs w:val="24"/>
              </w:rPr>
            </w:pPr>
            <w:r w:rsidRPr="00B70787">
              <w:rPr>
                <w:color w:val="000000"/>
                <w:szCs w:val="24"/>
              </w:rPr>
              <w:t>Overall</w:t>
            </w:r>
          </w:p>
        </w:tc>
        <w:tc>
          <w:tcPr>
            <w:tcW w:w="2710" w:type="dxa"/>
            <w:tcBorders>
              <w:top w:val="single" w:sz="6" w:space="0" w:color="auto"/>
              <w:left w:val="single" w:sz="6" w:space="0" w:color="auto"/>
              <w:bottom w:val="single" w:sz="6" w:space="0" w:color="auto"/>
              <w:right w:val="single" w:sz="6" w:space="0" w:color="auto"/>
            </w:tcBorders>
          </w:tcPr>
          <w:p w:rsidR="0059037B" w:rsidRPr="00B70787" w:rsidRDefault="0059037B" w:rsidP="0059037B">
            <w:pPr>
              <w:autoSpaceDE w:val="0"/>
              <w:autoSpaceDN w:val="0"/>
              <w:adjustRightInd w:val="0"/>
              <w:jc w:val="both"/>
              <w:rPr>
                <w:color w:val="000000"/>
                <w:szCs w:val="24"/>
              </w:rPr>
            </w:pPr>
            <w:r w:rsidRPr="00B70787">
              <w:rPr>
                <w:color w:val="000000"/>
                <w:szCs w:val="24"/>
              </w:rPr>
              <w:t>Much Above Average</w:t>
            </w:r>
          </w:p>
        </w:tc>
      </w:tr>
      <w:tr w:rsidR="0059037B" w:rsidRPr="00B70787" w:rsidTr="00CF56F5">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59037B" w:rsidRPr="00B70787" w:rsidRDefault="0059037B" w:rsidP="0059037B">
            <w:pPr>
              <w:autoSpaceDE w:val="0"/>
              <w:autoSpaceDN w:val="0"/>
              <w:adjustRightInd w:val="0"/>
              <w:jc w:val="both"/>
              <w:rPr>
                <w:color w:val="000000"/>
                <w:szCs w:val="24"/>
              </w:rPr>
            </w:pPr>
            <w:r w:rsidRPr="00B70787">
              <w:rPr>
                <w:color w:val="000000"/>
                <w:szCs w:val="24"/>
              </w:rPr>
              <w:t>Health Inspections</w:t>
            </w:r>
          </w:p>
        </w:tc>
        <w:tc>
          <w:tcPr>
            <w:tcW w:w="2710" w:type="dxa"/>
            <w:tcBorders>
              <w:top w:val="single" w:sz="6" w:space="0" w:color="auto"/>
              <w:left w:val="single" w:sz="6" w:space="0" w:color="auto"/>
              <w:bottom w:val="single" w:sz="6" w:space="0" w:color="auto"/>
              <w:right w:val="single" w:sz="6" w:space="0" w:color="auto"/>
            </w:tcBorders>
          </w:tcPr>
          <w:p w:rsidR="0059037B" w:rsidRPr="00B70787" w:rsidRDefault="0059037B" w:rsidP="0059037B">
            <w:pPr>
              <w:autoSpaceDE w:val="0"/>
              <w:autoSpaceDN w:val="0"/>
              <w:adjustRightInd w:val="0"/>
              <w:jc w:val="both"/>
              <w:rPr>
                <w:color w:val="000000"/>
                <w:szCs w:val="24"/>
              </w:rPr>
            </w:pPr>
            <w:r w:rsidRPr="00B70787">
              <w:rPr>
                <w:color w:val="000000"/>
                <w:szCs w:val="24"/>
              </w:rPr>
              <w:t>Much Above Average</w:t>
            </w:r>
          </w:p>
        </w:tc>
      </w:tr>
      <w:tr w:rsidR="0059037B" w:rsidRPr="00B70787" w:rsidTr="00CF56F5">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59037B" w:rsidRPr="00B70787" w:rsidRDefault="0059037B" w:rsidP="0059037B">
            <w:pPr>
              <w:autoSpaceDE w:val="0"/>
              <w:autoSpaceDN w:val="0"/>
              <w:adjustRightInd w:val="0"/>
              <w:jc w:val="both"/>
              <w:rPr>
                <w:color w:val="000000"/>
                <w:szCs w:val="24"/>
              </w:rPr>
            </w:pPr>
            <w:r w:rsidRPr="00B70787">
              <w:rPr>
                <w:color w:val="000000"/>
                <w:szCs w:val="24"/>
              </w:rPr>
              <w:t>Staffing</w:t>
            </w:r>
          </w:p>
        </w:tc>
        <w:tc>
          <w:tcPr>
            <w:tcW w:w="2710" w:type="dxa"/>
            <w:tcBorders>
              <w:top w:val="single" w:sz="6" w:space="0" w:color="auto"/>
              <w:left w:val="single" w:sz="6" w:space="0" w:color="auto"/>
              <w:bottom w:val="single" w:sz="6" w:space="0" w:color="auto"/>
              <w:right w:val="single" w:sz="6" w:space="0" w:color="auto"/>
            </w:tcBorders>
          </w:tcPr>
          <w:p w:rsidR="0059037B" w:rsidRPr="00B70787" w:rsidRDefault="0059037B" w:rsidP="0059037B">
            <w:pPr>
              <w:autoSpaceDE w:val="0"/>
              <w:autoSpaceDN w:val="0"/>
              <w:adjustRightInd w:val="0"/>
              <w:jc w:val="both"/>
              <w:rPr>
                <w:color w:val="000000"/>
                <w:szCs w:val="24"/>
              </w:rPr>
            </w:pPr>
            <w:r w:rsidRPr="00B70787">
              <w:rPr>
                <w:color w:val="000000"/>
                <w:szCs w:val="24"/>
              </w:rPr>
              <w:t>Above Average</w:t>
            </w:r>
          </w:p>
        </w:tc>
      </w:tr>
      <w:tr w:rsidR="0059037B" w:rsidRPr="00B70787" w:rsidTr="00CF56F5">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59037B" w:rsidRPr="00B70787" w:rsidRDefault="0059037B" w:rsidP="0059037B">
            <w:pPr>
              <w:autoSpaceDE w:val="0"/>
              <w:autoSpaceDN w:val="0"/>
              <w:adjustRightInd w:val="0"/>
              <w:jc w:val="both"/>
              <w:rPr>
                <w:color w:val="000000"/>
                <w:szCs w:val="24"/>
              </w:rPr>
            </w:pPr>
            <w:r w:rsidRPr="00B70787">
              <w:rPr>
                <w:color w:val="000000"/>
                <w:szCs w:val="24"/>
              </w:rPr>
              <w:t>Quality Ratings</w:t>
            </w:r>
          </w:p>
        </w:tc>
        <w:tc>
          <w:tcPr>
            <w:tcW w:w="2710" w:type="dxa"/>
            <w:tcBorders>
              <w:top w:val="single" w:sz="6" w:space="0" w:color="auto"/>
              <w:left w:val="single" w:sz="6" w:space="0" w:color="auto"/>
              <w:bottom w:val="single" w:sz="6" w:space="0" w:color="auto"/>
              <w:right w:val="single" w:sz="6" w:space="0" w:color="auto"/>
            </w:tcBorders>
          </w:tcPr>
          <w:p w:rsidR="0059037B" w:rsidRPr="00B70787" w:rsidRDefault="0059037B" w:rsidP="0059037B">
            <w:pPr>
              <w:autoSpaceDE w:val="0"/>
              <w:autoSpaceDN w:val="0"/>
              <w:adjustRightInd w:val="0"/>
              <w:jc w:val="both"/>
              <w:rPr>
                <w:color w:val="000000"/>
                <w:szCs w:val="24"/>
              </w:rPr>
            </w:pPr>
            <w:r w:rsidRPr="00B70787">
              <w:rPr>
                <w:color w:val="000000"/>
                <w:szCs w:val="24"/>
              </w:rPr>
              <w:t>Much Above Average</w:t>
            </w:r>
          </w:p>
        </w:tc>
      </w:tr>
    </w:tbl>
    <w:p w:rsidR="0059037B" w:rsidRPr="00B70787" w:rsidRDefault="0059037B" w:rsidP="0059037B">
      <w:pPr>
        <w:jc w:val="both"/>
        <w:rPr>
          <w:szCs w:val="24"/>
        </w:rPr>
      </w:pPr>
    </w:p>
    <w:p w:rsidR="007F2D15" w:rsidRDefault="0059037B" w:rsidP="0059037B">
      <w:pPr>
        <w:jc w:val="both"/>
        <w:rPr>
          <w:szCs w:val="24"/>
        </w:rPr>
      </w:pPr>
      <w:r w:rsidRPr="00B70787">
        <w:rPr>
          <w:szCs w:val="24"/>
        </w:rPr>
        <w:t xml:space="preserve">Durgin Pines scored “Much Above Average” in three categories rated by CMS, with an overall rating of “Much Above Average”. </w:t>
      </w:r>
    </w:p>
    <w:p w:rsidR="007F2D15" w:rsidRDefault="007F2D15" w:rsidP="0059037B">
      <w:pPr>
        <w:jc w:val="both"/>
        <w:rPr>
          <w:szCs w:val="24"/>
        </w:rPr>
      </w:pPr>
    </w:p>
    <w:p w:rsidR="0059037B" w:rsidRPr="00B70787" w:rsidRDefault="0059037B" w:rsidP="0059037B">
      <w:pPr>
        <w:jc w:val="both"/>
        <w:rPr>
          <w:szCs w:val="24"/>
        </w:rPr>
      </w:pPr>
      <w:r w:rsidRPr="00B70787">
        <w:rPr>
          <w:szCs w:val="24"/>
        </w:rPr>
        <w:t>The last recertification survey was conducted between April 13 and April 16, 2015. The result of the survey was the identification of three (3) deficiencies. All three deficiencies were Level 2 (minimal harm or potential for actual harm) or below. The average number of health deficiencies identified during a recertification survey in Maine is 3.9; the average number of health deficiencies in the United States is 6.8.</w:t>
      </w:r>
      <w:r w:rsidR="001F66A3" w:rsidRPr="00B70787" w:rsidDel="001F66A3">
        <w:rPr>
          <w:szCs w:val="24"/>
        </w:rPr>
        <w:t xml:space="preserve"> </w:t>
      </w:r>
      <w:r w:rsidR="001F66A3">
        <w:rPr>
          <w:szCs w:val="24"/>
        </w:rPr>
        <w:t>The</w:t>
      </w:r>
      <w:r w:rsidRPr="00B70787">
        <w:rPr>
          <w:szCs w:val="24"/>
        </w:rPr>
        <w:t xml:space="preserve"> deficiencies were corrected by May 5, 2015.</w:t>
      </w:r>
    </w:p>
    <w:p w:rsidR="0059037B" w:rsidRPr="00B70787" w:rsidRDefault="0059037B" w:rsidP="0059037B">
      <w:pPr>
        <w:jc w:val="both"/>
        <w:rPr>
          <w:szCs w:val="24"/>
        </w:rPr>
      </w:pPr>
    </w:p>
    <w:p w:rsidR="0059037B" w:rsidRPr="00B70787" w:rsidRDefault="0059037B" w:rsidP="0059037B">
      <w:pPr>
        <w:jc w:val="both"/>
        <w:rPr>
          <w:szCs w:val="24"/>
        </w:rPr>
      </w:pPr>
      <w:r w:rsidRPr="00B70787">
        <w:rPr>
          <w:szCs w:val="24"/>
        </w:rPr>
        <w:t>On April 23, 2015 a complaint survey was conducted and inspectors determined that the nursing home failed to:</w:t>
      </w:r>
    </w:p>
    <w:p w:rsidR="0059037B" w:rsidRPr="00D47963" w:rsidRDefault="0059037B" w:rsidP="0059037B">
      <w:pPr>
        <w:jc w:val="both"/>
        <w:rPr>
          <w:szCs w:val="24"/>
        </w:rPr>
      </w:pPr>
      <w:r w:rsidRPr="00B70787">
        <w:rPr>
          <w:szCs w:val="24"/>
        </w:rPr>
        <w:tab/>
      </w:r>
    </w:p>
    <w:p w:rsidR="0059037B" w:rsidRPr="00B70787" w:rsidRDefault="0059037B" w:rsidP="0059037B">
      <w:pPr>
        <w:numPr>
          <w:ilvl w:val="0"/>
          <w:numId w:val="19"/>
        </w:numPr>
        <w:jc w:val="both"/>
        <w:rPr>
          <w:b/>
          <w:szCs w:val="24"/>
        </w:rPr>
      </w:pPr>
      <w:r w:rsidRPr="00B70787">
        <w:rPr>
          <w:szCs w:val="24"/>
        </w:rPr>
        <w:t>Ensure a care plan was developed in accordance with the interdisciplinary team’s decision to proceed with care planning in the areas of: Activities of Daily Living (ADLs); urinary incontinence; falls; pressure ulcer; psychotropic drug use; pain and community discharge planning for 1 out of 3 residents reviewed.</w:t>
      </w:r>
    </w:p>
    <w:p w:rsidR="0059037B" w:rsidRPr="00D47963" w:rsidRDefault="0059037B" w:rsidP="0059037B">
      <w:pPr>
        <w:jc w:val="both"/>
        <w:rPr>
          <w:szCs w:val="24"/>
        </w:rPr>
      </w:pPr>
    </w:p>
    <w:p w:rsidR="0059037B" w:rsidRPr="00B70787" w:rsidRDefault="0059037B" w:rsidP="0059037B">
      <w:pPr>
        <w:jc w:val="both"/>
        <w:rPr>
          <w:szCs w:val="24"/>
        </w:rPr>
      </w:pPr>
      <w:r w:rsidRPr="00B70787">
        <w:rPr>
          <w:szCs w:val="24"/>
        </w:rPr>
        <w:t>This deficiency was corrected by May 11, 2015.</w:t>
      </w:r>
    </w:p>
    <w:p w:rsidR="0059037B" w:rsidRPr="00E837A6" w:rsidRDefault="0059037B" w:rsidP="0059037B">
      <w:pPr>
        <w:jc w:val="both"/>
        <w:rPr>
          <w:b/>
          <w:sz w:val="16"/>
          <w:szCs w:val="16"/>
        </w:rPr>
      </w:pPr>
    </w:p>
    <w:p w:rsidR="00D47963" w:rsidRDefault="00D47963" w:rsidP="0059037B">
      <w:pPr>
        <w:jc w:val="both"/>
        <w:rPr>
          <w:b/>
          <w:szCs w:val="24"/>
        </w:rPr>
        <w:sectPr w:rsidR="00D47963" w:rsidSect="00D47963">
          <w:headerReference w:type="default" r:id="rId9"/>
          <w:headerReference w:type="first" r:id="rId10"/>
          <w:pgSz w:w="12240" w:h="15840"/>
          <w:pgMar w:top="1440" w:right="1440" w:bottom="1440" w:left="1440" w:header="720" w:footer="720" w:gutter="0"/>
          <w:cols w:space="720"/>
          <w:titlePg/>
          <w:docGrid w:linePitch="360"/>
        </w:sectPr>
      </w:pPr>
    </w:p>
    <w:p w:rsidR="0059037B" w:rsidRPr="00B70787" w:rsidRDefault="0059037B" w:rsidP="0059037B">
      <w:pPr>
        <w:jc w:val="both"/>
        <w:rPr>
          <w:b/>
          <w:szCs w:val="24"/>
        </w:rPr>
      </w:pPr>
      <w:r w:rsidRPr="00B70787">
        <w:rPr>
          <w:b/>
          <w:szCs w:val="24"/>
        </w:rPr>
        <w:lastRenderedPageBreak/>
        <w:t>Deeming of Standard</w:t>
      </w:r>
    </w:p>
    <w:p w:rsidR="0059037B" w:rsidRPr="00B70787" w:rsidRDefault="0059037B" w:rsidP="0059037B">
      <w:pPr>
        <w:jc w:val="both"/>
        <w:rPr>
          <w:szCs w:val="24"/>
        </w:rPr>
      </w:pPr>
    </w:p>
    <w:p w:rsidR="0059037B" w:rsidRPr="00B70787" w:rsidRDefault="0059037B" w:rsidP="0059037B">
      <w:pPr>
        <w:jc w:val="both"/>
        <w:rPr>
          <w:szCs w:val="24"/>
        </w:rPr>
      </w:pPr>
      <w:r w:rsidRPr="00B70787">
        <w:rPr>
          <w:szCs w:val="24"/>
        </w:rPr>
        <w:t>As provided for at 22 M.R.S.</w:t>
      </w:r>
      <w:r w:rsidR="00ED58B7">
        <w:rPr>
          <w:szCs w:val="24"/>
        </w:rPr>
        <w:t>A. §</w:t>
      </w:r>
      <w:r w:rsidRPr="00B70787">
        <w:rPr>
          <w:szCs w:val="24"/>
        </w:rPr>
        <w:t>335 (7)(A),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p>
    <w:p w:rsidR="0059037B" w:rsidRPr="00B70787" w:rsidRDefault="0059037B" w:rsidP="0059037B">
      <w:pPr>
        <w:jc w:val="both"/>
        <w:rPr>
          <w:szCs w:val="24"/>
        </w:rPr>
      </w:pPr>
    </w:p>
    <w:p w:rsidR="00F46DB8" w:rsidRDefault="0059037B" w:rsidP="00B70787">
      <w:pPr>
        <w:jc w:val="both"/>
        <w:rPr>
          <w:szCs w:val="24"/>
        </w:rPr>
      </w:pPr>
      <w:r w:rsidRPr="00B70787">
        <w:rPr>
          <w:szCs w:val="24"/>
        </w:rPr>
        <w:t xml:space="preserve">Durgin Pines has operated under the </w:t>
      </w:r>
      <w:r w:rsidR="001F66A3">
        <w:rPr>
          <w:szCs w:val="24"/>
        </w:rPr>
        <w:t xml:space="preserve">joint </w:t>
      </w:r>
      <w:r w:rsidRPr="00B70787">
        <w:rPr>
          <w:szCs w:val="24"/>
        </w:rPr>
        <w:t>ownership of William Gillis and Joseph Hogan since May of 2008 and has been a provider of SNF/NF services since Durgin Pines opening. The services provided by the applicant are consistent with applicable licensing and certification standards.</w:t>
      </w:r>
    </w:p>
    <w:p w:rsidR="00B70787" w:rsidRPr="00B70787" w:rsidRDefault="00B70787" w:rsidP="00B70787">
      <w:pPr>
        <w:jc w:val="both"/>
        <w:rPr>
          <w:szCs w:val="24"/>
        </w:rPr>
      </w:pPr>
    </w:p>
    <w:p w:rsidR="00F46DB8" w:rsidRPr="00B70787" w:rsidRDefault="00F46DB8" w:rsidP="003B2AE5">
      <w:pPr>
        <w:pStyle w:val="NoSpacing"/>
        <w:numPr>
          <w:ilvl w:val="0"/>
          <w:numId w:val="11"/>
        </w:numPr>
        <w:ind w:hanging="720"/>
        <w:rPr>
          <w:szCs w:val="24"/>
        </w:rPr>
      </w:pPr>
      <w:r w:rsidRPr="00B70787">
        <w:rPr>
          <w:b/>
          <w:szCs w:val="24"/>
        </w:rPr>
        <w:t>Economic Feasibility</w:t>
      </w:r>
    </w:p>
    <w:p w:rsidR="0059037B" w:rsidRPr="00B70787" w:rsidRDefault="0059037B" w:rsidP="0059037B">
      <w:pPr>
        <w:jc w:val="both"/>
        <w:rPr>
          <w:szCs w:val="24"/>
        </w:rPr>
      </w:pPr>
    </w:p>
    <w:p w:rsidR="0059037B" w:rsidRPr="00B70787" w:rsidRDefault="0059037B" w:rsidP="0059037B">
      <w:pPr>
        <w:jc w:val="both"/>
        <w:rPr>
          <w:szCs w:val="24"/>
        </w:rPr>
      </w:pPr>
      <w:r w:rsidRPr="00B70787">
        <w:rPr>
          <w:szCs w:val="24"/>
        </w:rPr>
        <w:t>Kittery Commons, LLC owns the real estate of Durgin Pines and Sentry Commons, LLC is Durgin Pines operating company. This transaction is going to be an equity sale of membership interests. This transaction will have no impact on Durgin Pines cash flow, balance sheet or depreciable basis. This is reflected in the pro forma cost report submitted by the applicant and on file at CONU.</w:t>
      </w:r>
    </w:p>
    <w:p w:rsidR="0059037B" w:rsidRPr="002655E0" w:rsidRDefault="0059037B" w:rsidP="0059037B">
      <w:pPr>
        <w:jc w:val="both"/>
        <w:rPr>
          <w:b/>
          <w:szCs w:val="24"/>
        </w:rPr>
      </w:pPr>
    </w:p>
    <w:p w:rsidR="0059037B" w:rsidRPr="00B70787" w:rsidRDefault="0059037B" w:rsidP="0059037B">
      <w:pPr>
        <w:jc w:val="both"/>
        <w:rPr>
          <w:b/>
          <w:szCs w:val="24"/>
        </w:rPr>
      </w:pPr>
      <w:r w:rsidRPr="00B70787">
        <w:rPr>
          <w:b/>
          <w:szCs w:val="24"/>
        </w:rPr>
        <w:t>Deeming of Standard</w:t>
      </w:r>
    </w:p>
    <w:p w:rsidR="0059037B" w:rsidRPr="002655E0" w:rsidRDefault="0059037B" w:rsidP="0059037B">
      <w:pPr>
        <w:jc w:val="both"/>
        <w:rPr>
          <w:szCs w:val="24"/>
        </w:rPr>
      </w:pPr>
    </w:p>
    <w:p w:rsidR="0059037B" w:rsidRPr="00B70787" w:rsidRDefault="0059037B" w:rsidP="0059037B">
      <w:pPr>
        <w:jc w:val="both"/>
        <w:rPr>
          <w:szCs w:val="24"/>
        </w:rPr>
      </w:pPr>
      <w:r w:rsidRPr="00B70787">
        <w:rPr>
          <w:szCs w:val="24"/>
        </w:rPr>
        <w:t>As provided for at 22 M.R.S.</w:t>
      </w:r>
      <w:r w:rsidR="00ED58B7">
        <w:rPr>
          <w:szCs w:val="24"/>
        </w:rPr>
        <w:t>A.</w:t>
      </w:r>
      <w:r w:rsidR="00261FEE">
        <w:rPr>
          <w:szCs w:val="24"/>
        </w:rPr>
        <w:t xml:space="preserve"> §</w:t>
      </w:r>
      <w:r w:rsidRPr="00B70787">
        <w:rPr>
          <w:szCs w:val="24"/>
        </w:rPr>
        <w:t>335 (7)(B), if the applicant is a provider of health care services that are substantially similar to those services being reviewed and is licensed in the State, the applicant is deemed to have fulfilled the requirements of this standard if the services provided in the State by the applicant during the most recent 3-year period are of similar size and scope and are consistent with applicable licensing and certification standards.</w:t>
      </w:r>
    </w:p>
    <w:p w:rsidR="00495499" w:rsidRPr="002655E0" w:rsidRDefault="00495499" w:rsidP="0059037B">
      <w:pPr>
        <w:jc w:val="both"/>
        <w:rPr>
          <w:szCs w:val="24"/>
        </w:rPr>
      </w:pPr>
    </w:p>
    <w:p w:rsidR="0059037B" w:rsidRPr="00B70787" w:rsidRDefault="0059037B" w:rsidP="0059037B">
      <w:pPr>
        <w:jc w:val="both"/>
        <w:rPr>
          <w:szCs w:val="24"/>
        </w:rPr>
      </w:pPr>
      <w:r w:rsidRPr="00B70787">
        <w:rPr>
          <w:szCs w:val="24"/>
        </w:rPr>
        <w:t>The applicant has operated, and will continue to operate the Durgin Pines facility after the transaction.</w:t>
      </w:r>
    </w:p>
    <w:p w:rsidR="00BE20B9" w:rsidRPr="002655E0" w:rsidRDefault="00BE20B9" w:rsidP="00BE20B9">
      <w:pPr>
        <w:pStyle w:val="NoSpacing"/>
        <w:ind w:left="1080"/>
        <w:rPr>
          <w:szCs w:val="24"/>
        </w:rPr>
      </w:pPr>
    </w:p>
    <w:p w:rsidR="003D36EB" w:rsidRPr="00B70787" w:rsidRDefault="00E837A6" w:rsidP="003B2AE5">
      <w:pPr>
        <w:pStyle w:val="NoSpacing"/>
        <w:numPr>
          <w:ilvl w:val="0"/>
          <w:numId w:val="11"/>
        </w:numPr>
        <w:ind w:hanging="720"/>
        <w:rPr>
          <w:b/>
          <w:szCs w:val="24"/>
        </w:rPr>
      </w:pPr>
      <w:r>
        <w:rPr>
          <w:b/>
          <w:szCs w:val="24"/>
        </w:rPr>
        <w:t>Public Need</w:t>
      </w:r>
    </w:p>
    <w:p w:rsidR="0059037B" w:rsidRPr="002655E0" w:rsidRDefault="0059037B" w:rsidP="0059037B">
      <w:pPr>
        <w:pStyle w:val="NoSpacing"/>
        <w:ind w:left="360"/>
        <w:rPr>
          <w:b/>
          <w:szCs w:val="24"/>
        </w:rPr>
      </w:pPr>
    </w:p>
    <w:p w:rsidR="0059037B" w:rsidRPr="00B70787" w:rsidRDefault="0059037B" w:rsidP="0059037B">
      <w:pPr>
        <w:jc w:val="both"/>
        <w:rPr>
          <w:szCs w:val="24"/>
        </w:rPr>
      </w:pPr>
      <w:r w:rsidRPr="00B70787">
        <w:rPr>
          <w:szCs w:val="24"/>
        </w:rPr>
        <w:t xml:space="preserve">In order to determine public need, CONU reviewed the demographic and service use trends in Durgin Pines service area (York County, Maine). CONU utilized the </w:t>
      </w:r>
      <w:r w:rsidRPr="00B70787">
        <w:rPr>
          <w:szCs w:val="24"/>
          <w:u w:val="single"/>
        </w:rPr>
        <w:t>Older Adults with Physical Disabilities: Population and Service Use Trends in Maine, 2012 Edition</w:t>
      </w:r>
      <w:r w:rsidRPr="00B70787">
        <w:rPr>
          <w:szCs w:val="24"/>
        </w:rPr>
        <w:t xml:space="preserve">, prepared by the Muskie School of Public Service and the U.S. Census Bureau’s website located at </w:t>
      </w:r>
      <w:hyperlink r:id="rId11" w:history="1">
        <w:r w:rsidRPr="00B70787">
          <w:rPr>
            <w:color w:val="0000FF"/>
            <w:szCs w:val="24"/>
            <w:u w:val="single"/>
          </w:rPr>
          <w:t>http://quickfacts.census.gov</w:t>
        </w:r>
      </w:hyperlink>
      <w:r w:rsidRPr="00B70787">
        <w:rPr>
          <w:szCs w:val="24"/>
        </w:rPr>
        <w:t>.</w:t>
      </w:r>
    </w:p>
    <w:p w:rsidR="0059037B" w:rsidRPr="002655E0" w:rsidRDefault="0059037B" w:rsidP="0059037B">
      <w:pPr>
        <w:jc w:val="both"/>
        <w:rPr>
          <w:szCs w:val="24"/>
        </w:rPr>
      </w:pPr>
    </w:p>
    <w:p w:rsidR="0059037B" w:rsidRPr="002A2EF1" w:rsidRDefault="0059037B" w:rsidP="0059037B">
      <w:pPr>
        <w:jc w:val="both"/>
        <w:rPr>
          <w:sz w:val="14"/>
          <w:szCs w:val="14"/>
        </w:rPr>
      </w:pPr>
      <w:r w:rsidRPr="00B70787">
        <w:rPr>
          <w:szCs w:val="24"/>
        </w:rPr>
        <w:t xml:space="preserve">York County is the southern-most county in Maine with a population of 200,710. Approximately 17.3% of the population is 65 and over. The 65 and over population is expected to experience a 77.7% increase by 2022. York County had 24 nursing home beds per 1,000 persons age 65 and above which is lower than the State average of 33 beds per 1,000. </w:t>
      </w:r>
    </w:p>
    <w:p w:rsidR="007F2D15" w:rsidRDefault="007F2D15" w:rsidP="0059037B">
      <w:pPr>
        <w:jc w:val="both"/>
        <w:rPr>
          <w:szCs w:val="24"/>
        </w:rPr>
      </w:pPr>
    </w:p>
    <w:p w:rsidR="002655E0" w:rsidRDefault="002655E0" w:rsidP="0059037B">
      <w:pPr>
        <w:jc w:val="both"/>
        <w:rPr>
          <w:szCs w:val="24"/>
        </w:rPr>
        <w:sectPr w:rsidR="002655E0">
          <w:pgSz w:w="12240" w:h="15840"/>
          <w:pgMar w:top="1440" w:right="1440" w:bottom="1440" w:left="1440" w:header="720" w:footer="720" w:gutter="0"/>
          <w:cols w:space="720"/>
          <w:docGrid w:linePitch="360"/>
        </w:sectPr>
      </w:pPr>
    </w:p>
    <w:p w:rsidR="0059037B" w:rsidRPr="00B70787" w:rsidRDefault="0059037B" w:rsidP="0059037B">
      <w:pPr>
        <w:jc w:val="both"/>
        <w:rPr>
          <w:szCs w:val="24"/>
        </w:rPr>
      </w:pPr>
      <w:r w:rsidRPr="00B70787">
        <w:rPr>
          <w:szCs w:val="24"/>
        </w:rPr>
        <w:lastRenderedPageBreak/>
        <w:t xml:space="preserve">Durgin Pines occupancy rates </w:t>
      </w:r>
      <w:r w:rsidR="007F2D15">
        <w:rPr>
          <w:szCs w:val="24"/>
        </w:rPr>
        <w:t xml:space="preserve">are consistent for the area. </w:t>
      </w:r>
      <w:r w:rsidR="007F2D15" w:rsidRPr="00B70787">
        <w:rPr>
          <w:szCs w:val="24"/>
        </w:rPr>
        <w:t>The occupancy data demonstrates that York County facilities average greater than 90% occupancy. The</w:t>
      </w:r>
      <w:r w:rsidRPr="00B70787">
        <w:rPr>
          <w:szCs w:val="24"/>
        </w:rPr>
        <w:t xml:space="preserve"> demographics of York County along with Durgin Pines occupancy data clearly demonstrate a need for SNF/NF services in the area. </w:t>
      </w:r>
    </w:p>
    <w:p w:rsidR="0059037B" w:rsidRPr="002655E0" w:rsidRDefault="0059037B" w:rsidP="0059037B">
      <w:pPr>
        <w:jc w:val="both"/>
        <w:rPr>
          <w:sz w:val="20"/>
        </w:rPr>
      </w:pPr>
    </w:p>
    <w:p w:rsidR="0059037B" w:rsidRPr="00B70787" w:rsidRDefault="0059037B" w:rsidP="0059037B">
      <w:pPr>
        <w:jc w:val="both"/>
        <w:rPr>
          <w:szCs w:val="24"/>
        </w:rPr>
      </w:pPr>
      <w:r w:rsidRPr="00B70787">
        <w:rPr>
          <w:szCs w:val="24"/>
        </w:rPr>
        <w:t xml:space="preserve">Retaining needed SNF/NF services will have a positive impact on the health status indicators of the population to be served. </w:t>
      </w:r>
    </w:p>
    <w:p w:rsidR="0059037B" w:rsidRPr="002655E0" w:rsidRDefault="0059037B" w:rsidP="0059037B">
      <w:pPr>
        <w:jc w:val="both"/>
        <w:rPr>
          <w:sz w:val="20"/>
        </w:rPr>
      </w:pPr>
    </w:p>
    <w:p w:rsidR="0059037B" w:rsidRPr="00B70787" w:rsidRDefault="0059037B" w:rsidP="0059037B">
      <w:pPr>
        <w:jc w:val="both"/>
        <w:rPr>
          <w:szCs w:val="24"/>
        </w:rPr>
      </w:pPr>
      <w:r w:rsidRPr="00B70787">
        <w:rPr>
          <w:szCs w:val="24"/>
        </w:rPr>
        <w:t>No services will be affected by this project and both skilled and long-term care services will be accessible to all residents in the area.</w:t>
      </w:r>
    </w:p>
    <w:p w:rsidR="00FA6F26" w:rsidRPr="002655E0" w:rsidRDefault="00FA6F26" w:rsidP="0059037B">
      <w:pPr>
        <w:jc w:val="both"/>
        <w:rPr>
          <w:sz w:val="20"/>
        </w:rPr>
      </w:pPr>
    </w:p>
    <w:p w:rsidR="003D36EB" w:rsidRPr="00B70787" w:rsidRDefault="003D36EB" w:rsidP="003B2AE5">
      <w:pPr>
        <w:pStyle w:val="NoSpacing"/>
        <w:numPr>
          <w:ilvl w:val="0"/>
          <w:numId w:val="11"/>
        </w:numPr>
        <w:ind w:hanging="720"/>
        <w:rPr>
          <w:b/>
          <w:szCs w:val="24"/>
        </w:rPr>
      </w:pPr>
      <w:r w:rsidRPr="00B70787">
        <w:rPr>
          <w:b/>
          <w:szCs w:val="24"/>
        </w:rPr>
        <w:t>O</w:t>
      </w:r>
      <w:r w:rsidR="002A35ED">
        <w:rPr>
          <w:b/>
          <w:szCs w:val="24"/>
        </w:rPr>
        <w:t>rderly and Economic Development</w:t>
      </w:r>
    </w:p>
    <w:p w:rsidR="00BE20B9" w:rsidRPr="002655E0" w:rsidRDefault="00BE20B9" w:rsidP="00BE20B9">
      <w:pPr>
        <w:pStyle w:val="Heading3"/>
        <w:spacing w:before="0" w:after="0"/>
        <w:rPr>
          <w:rFonts w:ascii="Times New Roman" w:hAnsi="Times New Roman" w:cs="Times New Roman"/>
          <w:b w:val="0"/>
          <w:sz w:val="20"/>
          <w:szCs w:val="20"/>
        </w:rPr>
      </w:pPr>
    </w:p>
    <w:p w:rsidR="0059037B" w:rsidRPr="00B70787" w:rsidRDefault="0059037B" w:rsidP="0059037B">
      <w:pPr>
        <w:tabs>
          <w:tab w:val="left" w:pos="-180"/>
        </w:tabs>
        <w:jc w:val="both"/>
        <w:rPr>
          <w:szCs w:val="24"/>
        </w:rPr>
      </w:pPr>
      <w:r w:rsidRPr="00B70787">
        <w:rPr>
          <w:szCs w:val="24"/>
        </w:rPr>
        <w:t>Because of the nature of this transaction, there will be no impact on total health care expenditures.</w:t>
      </w:r>
    </w:p>
    <w:p w:rsidR="0059037B" w:rsidRPr="00B70787" w:rsidRDefault="0059037B" w:rsidP="0059037B">
      <w:pPr>
        <w:tabs>
          <w:tab w:val="left" w:pos="-180"/>
        </w:tabs>
        <w:jc w:val="both"/>
        <w:rPr>
          <w:szCs w:val="24"/>
        </w:rPr>
      </w:pPr>
    </w:p>
    <w:p w:rsidR="0059037B" w:rsidRPr="00B70787" w:rsidRDefault="0059037B" w:rsidP="0059037B">
      <w:pPr>
        <w:tabs>
          <w:tab w:val="left" w:pos="-180"/>
        </w:tabs>
        <w:jc w:val="both"/>
        <w:rPr>
          <w:szCs w:val="24"/>
        </w:rPr>
      </w:pPr>
      <w:r w:rsidRPr="00B70787">
        <w:rPr>
          <w:szCs w:val="24"/>
        </w:rPr>
        <w:t>MaineCare reimbursement rates for direct care and routine services will not c</w:t>
      </w:r>
      <w:r w:rsidR="002A35ED">
        <w:rPr>
          <w:szCs w:val="24"/>
        </w:rPr>
        <w:t xml:space="preserve">hange due to this transaction. </w:t>
      </w:r>
      <w:r w:rsidRPr="00B70787">
        <w:rPr>
          <w:szCs w:val="24"/>
        </w:rPr>
        <w:t xml:space="preserve">No capital expenditures are required due to this transfer of ownership. </w:t>
      </w:r>
      <w:r w:rsidR="007F2D15">
        <w:rPr>
          <w:szCs w:val="24"/>
        </w:rPr>
        <w:t>T</w:t>
      </w:r>
      <w:r w:rsidRPr="00B70787">
        <w:rPr>
          <w:szCs w:val="24"/>
        </w:rPr>
        <w:t>here are no increases in state costs</w:t>
      </w:r>
      <w:r w:rsidR="007F2D15">
        <w:rPr>
          <w:szCs w:val="24"/>
        </w:rPr>
        <w:t xml:space="preserve"> attributable to this transaction</w:t>
      </w:r>
      <w:r w:rsidRPr="00B70787">
        <w:rPr>
          <w:szCs w:val="24"/>
        </w:rPr>
        <w:t>.</w:t>
      </w:r>
      <w:r w:rsidR="007F2D15" w:rsidRPr="00B70787" w:rsidDel="007F2D15">
        <w:rPr>
          <w:szCs w:val="24"/>
        </w:rPr>
        <w:t xml:space="preserve"> </w:t>
      </w:r>
      <w:r w:rsidRPr="00B70787">
        <w:rPr>
          <w:szCs w:val="24"/>
        </w:rPr>
        <w:t xml:space="preserve">It is highly unlikely that more effective, more accessible or less costly alternative technologies or methods of service delivery will become available. </w:t>
      </w:r>
    </w:p>
    <w:p w:rsidR="003D36EB" w:rsidRPr="002655E0" w:rsidRDefault="003D36EB" w:rsidP="003D36EB">
      <w:pPr>
        <w:pStyle w:val="NoSpacing"/>
        <w:rPr>
          <w:sz w:val="20"/>
        </w:rPr>
      </w:pPr>
    </w:p>
    <w:p w:rsidR="003D36EB" w:rsidRPr="00B70787" w:rsidRDefault="002A35ED" w:rsidP="003B2AE5">
      <w:pPr>
        <w:pStyle w:val="NoSpacing"/>
        <w:numPr>
          <w:ilvl w:val="0"/>
          <w:numId w:val="11"/>
        </w:numPr>
        <w:ind w:hanging="720"/>
        <w:rPr>
          <w:b/>
          <w:szCs w:val="24"/>
        </w:rPr>
      </w:pPr>
      <w:r>
        <w:rPr>
          <w:b/>
          <w:szCs w:val="24"/>
        </w:rPr>
        <w:t>Outcomes and Community Impact</w:t>
      </w:r>
    </w:p>
    <w:p w:rsidR="003D36EB" w:rsidRPr="002655E0" w:rsidRDefault="003D36EB" w:rsidP="003D36EB">
      <w:pPr>
        <w:pStyle w:val="NoSpacing"/>
        <w:rPr>
          <w:sz w:val="20"/>
        </w:rPr>
      </w:pPr>
    </w:p>
    <w:p w:rsidR="007F2D15" w:rsidRDefault="007F2D15" w:rsidP="0059037B">
      <w:pPr>
        <w:widowControl w:val="0"/>
        <w:autoSpaceDE w:val="0"/>
        <w:autoSpaceDN w:val="0"/>
        <w:adjustRightInd w:val="0"/>
        <w:jc w:val="both"/>
        <w:rPr>
          <w:szCs w:val="24"/>
        </w:rPr>
      </w:pPr>
      <w:r>
        <w:rPr>
          <w:szCs w:val="24"/>
        </w:rPr>
        <w:t>T</w:t>
      </w:r>
      <w:r w:rsidR="0059037B" w:rsidRPr="00B70787">
        <w:rPr>
          <w:szCs w:val="24"/>
        </w:rPr>
        <w:t>here will be no change in either services or the number of licensed beds</w:t>
      </w:r>
      <w:r>
        <w:rPr>
          <w:szCs w:val="24"/>
        </w:rPr>
        <w:t>. E</w:t>
      </w:r>
      <w:r w:rsidR="0059037B" w:rsidRPr="00B70787">
        <w:rPr>
          <w:szCs w:val="24"/>
        </w:rPr>
        <w:t>xisting service providers will not be impacted</w:t>
      </w:r>
      <w:r w:rsidRPr="007F2D15">
        <w:rPr>
          <w:szCs w:val="24"/>
        </w:rPr>
        <w:t xml:space="preserve"> </w:t>
      </w:r>
      <w:r w:rsidRPr="00B70787">
        <w:rPr>
          <w:szCs w:val="24"/>
        </w:rPr>
        <w:t>negatively</w:t>
      </w:r>
      <w:r w:rsidR="0059037B" w:rsidRPr="00B70787">
        <w:rPr>
          <w:szCs w:val="24"/>
        </w:rPr>
        <w:t>. The applicant has undertaken several initiatives to improve overall performance and quality</w:t>
      </w:r>
      <w:r>
        <w:rPr>
          <w:szCs w:val="24"/>
        </w:rPr>
        <w:t xml:space="preserve"> including</w:t>
      </w:r>
      <w:r w:rsidR="0059037B" w:rsidRPr="00B70787">
        <w:rPr>
          <w:szCs w:val="24"/>
        </w:rPr>
        <w:t>:</w:t>
      </w:r>
    </w:p>
    <w:p w:rsidR="0059037B" w:rsidRPr="002655E0" w:rsidRDefault="0059037B" w:rsidP="0059037B">
      <w:pPr>
        <w:widowControl w:val="0"/>
        <w:autoSpaceDE w:val="0"/>
        <w:autoSpaceDN w:val="0"/>
        <w:adjustRightInd w:val="0"/>
        <w:jc w:val="both"/>
        <w:rPr>
          <w:sz w:val="20"/>
        </w:rPr>
      </w:pPr>
    </w:p>
    <w:p w:rsidR="0059037B" w:rsidRPr="00B70787" w:rsidRDefault="0059037B" w:rsidP="0059037B">
      <w:pPr>
        <w:widowControl w:val="0"/>
        <w:autoSpaceDE w:val="0"/>
        <w:autoSpaceDN w:val="0"/>
        <w:adjustRightInd w:val="0"/>
        <w:jc w:val="both"/>
        <w:rPr>
          <w:szCs w:val="24"/>
        </w:rPr>
      </w:pPr>
      <w:r w:rsidRPr="00B70787">
        <w:rPr>
          <w:szCs w:val="24"/>
        </w:rPr>
        <w:t>1</w:t>
      </w:r>
      <w:r w:rsidR="007F2D15">
        <w:rPr>
          <w:szCs w:val="24"/>
        </w:rPr>
        <w:t>)</w:t>
      </w:r>
      <w:r w:rsidRPr="00B70787">
        <w:rPr>
          <w:szCs w:val="24"/>
        </w:rPr>
        <w:t xml:space="preserve"> Implementation of the Abaqis program to enhance quality improvement.</w:t>
      </w:r>
    </w:p>
    <w:p w:rsidR="0059037B" w:rsidRPr="00B70787" w:rsidRDefault="007F2D15" w:rsidP="0059037B">
      <w:pPr>
        <w:widowControl w:val="0"/>
        <w:autoSpaceDE w:val="0"/>
        <w:autoSpaceDN w:val="0"/>
        <w:adjustRightInd w:val="0"/>
        <w:jc w:val="both"/>
        <w:rPr>
          <w:szCs w:val="24"/>
        </w:rPr>
      </w:pPr>
      <w:r>
        <w:rPr>
          <w:szCs w:val="24"/>
        </w:rPr>
        <w:t>2</w:t>
      </w:r>
      <w:r w:rsidR="0059037B" w:rsidRPr="00B70787">
        <w:rPr>
          <w:szCs w:val="24"/>
        </w:rPr>
        <w:t>) New processes have been implemented to ensure compliance with medication orders.</w:t>
      </w:r>
    </w:p>
    <w:p w:rsidR="0059037B" w:rsidRPr="00B70787" w:rsidRDefault="007F2D15" w:rsidP="0059037B">
      <w:pPr>
        <w:widowControl w:val="0"/>
        <w:autoSpaceDE w:val="0"/>
        <w:autoSpaceDN w:val="0"/>
        <w:adjustRightInd w:val="0"/>
        <w:jc w:val="both"/>
        <w:rPr>
          <w:szCs w:val="24"/>
        </w:rPr>
      </w:pPr>
      <w:r>
        <w:rPr>
          <w:szCs w:val="24"/>
        </w:rPr>
        <w:t>3</w:t>
      </w:r>
      <w:r w:rsidR="0059037B" w:rsidRPr="00B70787">
        <w:rPr>
          <w:szCs w:val="24"/>
        </w:rPr>
        <w:t>) Increased real-time communication between staff to share clinical updates.</w:t>
      </w:r>
    </w:p>
    <w:p w:rsidR="0059037B" w:rsidRDefault="007F2D15" w:rsidP="0059037B">
      <w:pPr>
        <w:widowControl w:val="0"/>
        <w:autoSpaceDE w:val="0"/>
        <w:autoSpaceDN w:val="0"/>
        <w:adjustRightInd w:val="0"/>
        <w:jc w:val="both"/>
        <w:rPr>
          <w:szCs w:val="24"/>
        </w:rPr>
      </w:pPr>
      <w:r>
        <w:rPr>
          <w:szCs w:val="24"/>
        </w:rPr>
        <w:t>4</w:t>
      </w:r>
      <w:r w:rsidR="0059037B" w:rsidRPr="00B70787">
        <w:rPr>
          <w:szCs w:val="24"/>
        </w:rPr>
        <w:t>) Transitioning to the Point Click electronic medical records system.</w:t>
      </w:r>
    </w:p>
    <w:p w:rsidR="002A35ED" w:rsidRPr="002655E0" w:rsidRDefault="002A35ED" w:rsidP="0059037B">
      <w:pPr>
        <w:widowControl w:val="0"/>
        <w:autoSpaceDE w:val="0"/>
        <w:autoSpaceDN w:val="0"/>
        <w:adjustRightInd w:val="0"/>
        <w:jc w:val="both"/>
        <w:rPr>
          <w:sz w:val="20"/>
        </w:rPr>
      </w:pPr>
    </w:p>
    <w:p w:rsidR="0059037B" w:rsidRPr="00B70787" w:rsidRDefault="007F2D15" w:rsidP="0059037B">
      <w:pPr>
        <w:widowControl w:val="0"/>
        <w:autoSpaceDE w:val="0"/>
        <w:autoSpaceDN w:val="0"/>
        <w:adjustRightInd w:val="0"/>
        <w:jc w:val="both"/>
        <w:rPr>
          <w:szCs w:val="24"/>
        </w:rPr>
      </w:pPr>
      <w:r>
        <w:rPr>
          <w:szCs w:val="24"/>
        </w:rPr>
        <w:t>T</w:t>
      </w:r>
      <w:r w:rsidR="0059037B" w:rsidRPr="00B70787">
        <w:rPr>
          <w:szCs w:val="24"/>
        </w:rPr>
        <w:t xml:space="preserve">he facility received </w:t>
      </w:r>
      <w:r w:rsidR="00356D87" w:rsidRPr="00B70787">
        <w:rPr>
          <w:szCs w:val="24"/>
        </w:rPr>
        <w:t>a</w:t>
      </w:r>
      <w:r w:rsidR="0059037B" w:rsidRPr="00B70787">
        <w:rPr>
          <w:szCs w:val="24"/>
        </w:rPr>
        <w:t xml:space="preserve"> “Much Above Average” rating for quality on the medicare.gov website.</w:t>
      </w:r>
    </w:p>
    <w:p w:rsidR="003B2AE5" w:rsidRPr="002655E0" w:rsidRDefault="003B2AE5" w:rsidP="003D36EB">
      <w:pPr>
        <w:pStyle w:val="NoSpacing"/>
        <w:jc w:val="both"/>
        <w:rPr>
          <w:sz w:val="20"/>
        </w:rPr>
      </w:pPr>
    </w:p>
    <w:p w:rsidR="003B2AE5" w:rsidRPr="00B70787" w:rsidRDefault="002A35ED" w:rsidP="003B2AE5">
      <w:pPr>
        <w:pStyle w:val="NoSpacing"/>
        <w:numPr>
          <w:ilvl w:val="0"/>
          <w:numId w:val="11"/>
        </w:numPr>
        <w:ind w:hanging="720"/>
        <w:rPr>
          <w:b/>
          <w:szCs w:val="24"/>
        </w:rPr>
      </w:pPr>
      <w:r>
        <w:rPr>
          <w:b/>
          <w:szCs w:val="24"/>
        </w:rPr>
        <w:t>Service Utilization</w:t>
      </w:r>
    </w:p>
    <w:p w:rsidR="0059037B" w:rsidRPr="002655E0" w:rsidRDefault="0059037B" w:rsidP="0059037B">
      <w:pPr>
        <w:pStyle w:val="NoSpacing"/>
        <w:ind w:left="1080"/>
        <w:rPr>
          <w:b/>
          <w:sz w:val="20"/>
        </w:rPr>
      </w:pPr>
    </w:p>
    <w:p w:rsidR="0059037B" w:rsidRPr="00B70787" w:rsidRDefault="0059037B" w:rsidP="0059037B">
      <w:pPr>
        <w:jc w:val="both"/>
        <w:rPr>
          <w:szCs w:val="24"/>
        </w:rPr>
      </w:pPr>
      <w:r w:rsidRPr="00B70787">
        <w:rPr>
          <w:szCs w:val="24"/>
        </w:rPr>
        <w:t>The Maine Quality Forum has not adopted any principles of evidence-based medicine directly applicable to the application; therefore this application meets the standard for this determination.</w:t>
      </w:r>
    </w:p>
    <w:p w:rsidR="00FA6F26" w:rsidRPr="002655E0" w:rsidRDefault="00FA6F26" w:rsidP="003B2AE5">
      <w:pPr>
        <w:pStyle w:val="NoSpacing"/>
        <w:rPr>
          <w:sz w:val="20"/>
        </w:rPr>
      </w:pPr>
    </w:p>
    <w:p w:rsidR="003B2AE5" w:rsidRPr="00B70787" w:rsidRDefault="002A35ED" w:rsidP="003B2AE5">
      <w:pPr>
        <w:pStyle w:val="NoSpacing"/>
        <w:rPr>
          <w:b/>
          <w:szCs w:val="24"/>
        </w:rPr>
      </w:pPr>
      <w:r>
        <w:rPr>
          <w:b/>
          <w:szCs w:val="24"/>
        </w:rPr>
        <w:t>VI. CONCLUSION</w:t>
      </w:r>
    </w:p>
    <w:p w:rsidR="003B2AE5" w:rsidRPr="002655E0" w:rsidRDefault="003B2AE5" w:rsidP="003B2AE5">
      <w:pPr>
        <w:pStyle w:val="NoSpacing"/>
        <w:jc w:val="both"/>
        <w:rPr>
          <w:sz w:val="20"/>
        </w:rPr>
      </w:pPr>
    </w:p>
    <w:p w:rsidR="003B2AE5" w:rsidRPr="00B70787" w:rsidRDefault="003B2AE5" w:rsidP="003B2AE5">
      <w:pPr>
        <w:pStyle w:val="NoSpacing"/>
        <w:jc w:val="both"/>
        <w:rPr>
          <w:szCs w:val="24"/>
        </w:rPr>
      </w:pPr>
      <w:r w:rsidRPr="00B70787">
        <w:rPr>
          <w:szCs w:val="24"/>
        </w:rPr>
        <w:t>For all the reasons set forth in the Preliminary Analysis and in the record, CONU concludes that the review standards have been satisfied. CONU recommends the approval of the CON.</w:t>
      </w:r>
    </w:p>
    <w:p w:rsidR="003B2AE5" w:rsidRPr="002655E0" w:rsidRDefault="003B2AE5" w:rsidP="003B2AE5">
      <w:pPr>
        <w:pStyle w:val="NoSpacing"/>
        <w:jc w:val="both"/>
        <w:rPr>
          <w:sz w:val="20"/>
        </w:rPr>
      </w:pPr>
    </w:p>
    <w:p w:rsidR="003B2AE5" w:rsidRPr="00B70787" w:rsidRDefault="002A35ED" w:rsidP="003B2AE5">
      <w:pPr>
        <w:pStyle w:val="NoSpacing"/>
        <w:rPr>
          <w:b/>
          <w:szCs w:val="24"/>
        </w:rPr>
      </w:pPr>
      <w:r>
        <w:rPr>
          <w:b/>
          <w:szCs w:val="24"/>
        </w:rPr>
        <w:t>VII. RECOMMENDATION</w:t>
      </w:r>
    </w:p>
    <w:p w:rsidR="003B2AE5" w:rsidRPr="002655E0" w:rsidRDefault="003B2AE5" w:rsidP="003B2AE5">
      <w:pPr>
        <w:pStyle w:val="NoSpacing"/>
        <w:rPr>
          <w:sz w:val="20"/>
        </w:rPr>
      </w:pPr>
    </w:p>
    <w:p w:rsidR="003B2AE5" w:rsidRPr="00B70787" w:rsidRDefault="003B2AE5" w:rsidP="003B2AE5">
      <w:pPr>
        <w:pStyle w:val="NoSpacing"/>
        <w:jc w:val="both"/>
        <w:rPr>
          <w:b/>
          <w:szCs w:val="24"/>
        </w:rPr>
      </w:pPr>
      <w:r w:rsidRPr="00B70787">
        <w:rPr>
          <w:szCs w:val="24"/>
        </w:rPr>
        <w:t xml:space="preserve">CONU recommends that this application be </w:t>
      </w:r>
      <w:r w:rsidRPr="00B70787">
        <w:rPr>
          <w:b/>
          <w:szCs w:val="24"/>
        </w:rPr>
        <w:t>Approved</w:t>
      </w:r>
      <w:r w:rsidR="0059037B" w:rsidRPr="00B70787">
        <w:rPr>
          <w:b/>
          <w:szCs w:val="24"/>
        </w:rPr>
        <w:t>.</w:t>
      </w:r>
    </w:p>
    <w:p w:rsidR="003929DA" w:rsidRPr="002655E0" w:rsidRDefault="003929DA" w:rsidP="003B2AE5">
      <w:pPr>
        <w:pStyle w:val="NoSpacing"/>
        <w:rPr>
          <w:sz w:val="20"/>
        </w:rPr>
      </w:pPr>
    </w:p>
    <w:sectPr w:rsidR="003929DA" w:rsidRPr="002655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EC" w:rsidRDefault="00BF33EC" w:rsidP="00F46DB8">
      <w:r>
        <w:separator/>
      </w:r>
    </w:p>
  </w:endnote>
  <w:endnote w:type="continuationSeparator" w:id="0">
    <w:p w:rsidR="00BF33EC" w:rsidRDefault="00BF33EC" w:rsidP="00F4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EC" w:rsidRDefault="00BF33EC" w:rsidP="00F46DB8">
      <w:r>
        <w:separator/>
      </w:r>
    </w:p>
  </w:footnote>
  <w:footnote w:type="continuationSeparator" w:id="0">
    <w:p w:rsidR="00BF33EC" w:rsidRDefault="00BF33EC" w:rsidP="00F46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87" w:rsidRPr="00356D87" w:rsidRDefault="00356D87" w:rsidP="00356D87">
    <w:pPr>
      <w:pStyle w:val="Header"/>
    </w:pPr>
    <w:r>
      <w:t>Durgin Pine</w:t>
    </w:r>
    <w:r w:rsidR="00F50875">
      <w:t>s</w:t>
    </w:r>
    <w:r>
      <w:tab/>
    </w:r>
    <w:r>
      <w:tab/>
      <w:t>Acquisition of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63" w:rsidRDefault="00D47963" w:rsidP="00D47963">
    <w:pPr>
      <w:pStyle w:val="Header"/>
      <w:jc w:val="center"/>
      <w:rPr>
        <w:b/>
        <w:sz w:val="32"/>
        <w:szCs w:val="32"/>
        <w:u w:val="single"/>
      </w:rPr>
    </w:pPr>
    <w:r>
      <w:rPr>
        <w:b/>
        <w:sz w:val="32"/>
        <w:szCs w:val="32"/>
        <w:u w:val="single"/>
      </w:rPr>
      <w:t>BRIEFING MEMO</w:t>
    </w:r>
  </w:p>
  <w:p w:rsidR="00D47963" w:rsidRPr="00D47963" w:rsidRDefault="00D47963" w:rsidP="00D47963">
    <w:pPr>
      <w:pStyle w:val="Header"/>
      <w:jc w:val="center"/>
      <w:rPr>
        <w:b/>
        <w:sz w:val="32"/>
        <w:szCs w:val="32"/>
      </w:rPr>
    </w:pPr>
    <w:r w:rsidRPr="00D47963">
      <w:rPr>
        <w:b/>
        <w:sz w:val="32"/>
        <w:szCs w:val="32"/>
      </w:rPr>
      <w:t>Durgin Pines</w:t>
    </w:r>
  </w:p>
  <w:p w:rsidR="00D47963" w:rsidRPr="00D47963" w:rsidRDefault="00D47963" w:rsidP="00D47963">
    <w:pPr>
      <w:pStyle w:val="Header"/>
      <w:jc w:val="center"/>
      <w:rPr>
        <w:b/>
        <w:sz w:val="32"/>
        <w:szCs w:val="32"/>
      </w:rPr>
    </w:pPr>
    <w:r w:rsidRPr="00D47963">
      <w:rPr>
        <w:b/>
        <w:sz w:val="32"/>
        <w:szCs w:val="32"/>
      </w:rPr>
      <w:t>Acquisition of Control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30F0EFF"/>
    <w:multiLevelType w:val="hybridMultilevel"/>
    <w:tmpl w:val="0980CB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35C9B"/>
    <w:multiLevelType w:val="hybridMultilevel"/>
    <w:tmpl w:val="4EEE7EDE"/>
    <w:lvl w:ilvl="0" w:tplc="6D9A1450">
      <w:start w:val="1"/>
      <w:numFmt w:val="lowerLetter"/>
      <w:lvlText w:val="%1)"/>
      <w:lvlJc w:val="left"/>
      <w:pPr>
        <w:ind w:left="108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44314E5"/>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50EE3"/>
    <w:multiLevelType w:val="hybridMultilevel"/>
    <w:tmpl w:val="527CB888"/>
    <w:lvl w:ilvl="0" w:tplc="AA2A9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D57DA"/>
    <w:multiLevelType w:val="hybridMultilevel"/>
    <w:tmpl w:val="EDD0D8D0"/>
    <w:lvl w:ilvl="0" w:tplc="6498A8C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nsid w:val="31391042"/>
    <w:multiLevelType w:val="hybridMultilevel"/>
    <w:tmpl w:val="ECD06ED2"/>
    <w:lvl w:ilvl="0" w:tplc="BD46C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84CD7"/>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50C37"/>
    <w:multiLevelType w:val="hybridMultilevel"/>
    <w:tmpl w:val="4EEE7EDE"/>
    <w:lvl w:ilvl="0" w:tplc="6D9A1450">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867EB"/>
    <w:multiLevelType w:val="hybridMultilevel"/>
    <w:tmpl w:val="E1DA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A220C"/>
    <w:multiLevelType w:val="multilevel"/>
    <w:tmpl w:val="DDC8C298"/>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Courier New" w:hint="default"/>
        <w:sz w:val="20"/>
      </w:rPr>
    </w:lvl>
    <w:lvl w:ilvl="2" w:tentative="1">
      <w:start w:val="1"/>
      <w:numFmt w:val="bullet"/>
      <w:lvlText w:val=""/>
      <w:lvlPicBulletId w:val="0"/>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0">
    <w:nsid w:val="42EB0274"/>
    <w:multiLevelType w:val="hybridMultilevel"/>
    <w:tmpl w:val="86CE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AC4FBC"/>
    <w:multiLevelType w:val="hybridMultilevel"/>
    <w:tmpl w:val="6940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45E42"/>
    <w:multiLevelType w:val="multilevel"/>
    <w:tmpl w:val="19AAF816"/>
    <w:lvl w:ilvl="0">
      <w:start w:val="1"/>
      <w:numFmt w:val="bullet"/>
      <w:lvlText w:val=""/>
      <w:lvlJc w:val="left"/>
      <w:pPr>
        <w:tabs>
          <w:tab w:val="num" w:pos="3600"/>
        </w:tabs>
        <w:ind w:left="3600" w:hanging="360"/>
      </w:pPr>
      <w:rPr>
        <w:rFonts w:ascii="Symbol" w:hAnsi="Symbol" w:hint="default"/>
        <w:sz w:val="24"/>
        <w:szCs w:val="24"/>
      </w:rPr>
    </w:lvl>
    <w:lvl w:ilvl="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PicBulletId w:val="0"/>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3">
    <w:nsid w:val="559279EB"/>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50408"/>
    <w:multiLevelType w:val="hybridMultilevel"/>
    <w:tmpl w:val="FEA21CBC"/>
    <w:lvl w:ilvl="0" w:tplc="4F98E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561BC4"/>
    <w:multiLevelType w:val="hybridMultilevel"/>
    <w:tmpl w:val="4EEE7EDE"/>
    <w:lvl w:ilvl="0" w:tplc="6D9A1450">
      <w:start w:val="1"/>
      <w:numFmt w:val="lowerLetter"/>
      <w:lvlText w:val="%1)"/>
      <w:lvlJc w:val="left"/>
      <w:pPr>
        <w:ind w:left="108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5E5C2E19"/>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F45422"/>
    <w:multiLevelType w:val="hybridMultilevel"/>
    <w:tmpl w:val="4EEE7EDE"/>
    <w:lvl w:ilvl="0" w:tplc="6D9A1450">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9262BB"/>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8"/>
  </w:num>
  <w:num w:numId="4">
    <w:abstractNumId w:val="2"/>
  </w:num>
  <w:num w:numId="5">
    <w:abstractNumId w:val="6"/>
  </w:num>
  <w:num w:numId="6">
    <w:abstractNumId w:val="13"/>
  </w:num>
  <w:num w:numId="7">
    <w:abstractNumId w:val="11"/>
  </w:num>
  <w:num w:numId="8">
    <w:abstractNumId w:val="10"/>
  </w:num>
  <w:num w:numId="9">
    <w:abstractNumId w:val="9"/>
  </w:num>
  <w:num w:numId="10">
    <w:abstractNumId w:val="0"/>
  </w:num>
  <w:num w:numId="11">
    <w:abstractNumId w:val="15"/>
  </w:num>
  <w:num w:numId="12">
    <w:abstractNumId w:val="7"/>
  </w:num>
  <w:num w:numId="13">
    <w:abstractNumId w:val="17"/>
  </w:num>
  <w:num w:numId="14">
    <w:abstractNumId w:val="1"/>
  </w:num>
  <w:num w:numId="15">
    <w:abstractNumId w:val="8"/>
  </w:num>
  <w:num w:numId="16">
    <w:abstractNumId w:val="5"/>
  </w:num>
  <w:num w:numId="17">
    <w:abstractNumId w:val="14"/>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B8"/>
    <w:rsid w:val="00042108"/>
    <w:rsid w:val="0005170C"/>
    <w:rsid w:val="00053D26"/>
    <w:rsid w:val="00064209"/>
    <w:rsid w:val="00067CF2"/>
    <w:rsid w:val="000776C4"/>
    <w:rsid w:val="000865F9"/>
    <w:rsid w:val="000941E4"/>
    <w:rsid w:val="000B7727"/>
    <w:rsid w:val="00106774"/>
    <w:rsid w:val="00111ED2"/>
    <w:rsid w:val="001260A6"/>
    <w:rsid w:val="00143E81"/>
    <w:rsid w:val="00146C64"/>
    <w:rsid w:val="00170C4F"/>
    <w:rsid w:val="001C55F1"/>
    <w:rsid w:val="001D1BA9"/>
    <w:rsid w:val="001F66A3"/>
    <w:rsid w:val="00261FEE"/>
    <w:rsid w:val="002655E0"/>
    <w:rsid w:val="002756DB"/>
    <w:rsid w:val="002871C1"/>
    <w:rsid w:val="00287F3E"/>
    <w:rsid w:val="002A2EF1"/>
    <w:rsid w:val="002A35ED"/>
    <w:rsid w:val="002B5A8E"/>
    <w:rsid w:val="002E0407"/>
    <w:rsid w:val="00300B2B"/>
    <w:rsid w:val="00356D87"/>
    <w:rsid w:val="003743FC"/>
    <w:rsid w:val="003929DA"/>
    <w:rsid w:val="003930C8"/>
    <w:rsid w:val="003B2AE5"/>
    <w:rsid w:val="003D36EB"/>
    <w:rsid w:val="003D5BF1"/>
    <w:rsid w:val="003E3B51"/>
    <w:rsid w:val="003F3F23"/>
    <w:rsid w:val="0041598E"/>
    <w:rsid w:val="0047028F"/>
    <w:rsid w:val="00495499"/>
    <w:rsid w:val="004C32B8"/>
    <w:rsid w:val="00506183"/>
    <w:rsid w:val="0059037B"/>
    <w:rsid w:val="005A570D"/>
    <w:rsid w:val="005D7535"/>
    <w:rsid w:val="006011F8"/>
    <w:rsid w:val="00604D9E"/>
    <w:rsid w:val="006115C7"/>
    <w:rsid w:val="00627EF9"/>
    <w:rsid w:val="00667ABF"/>
    <w:rsid w:val="0068165C"/>
    <w:rsid w:val="00700660"/>
    <w:rsid w:val="007A59C1"/>
    <w:rsid w:val="007D32E0"/>
    <w:rsid w:val="007D3EB3"/>
    <w:rsid w:val="007F2D15"/>
    <w:rsid w:val="00847CDC"/>
    <w:rsid w:val="008879BA"/>
    <w:rsid w:val="008A2E61"/>
    <w:rsid w:val="008C692C"/>
    <w:rsid w:val="00963566"/>
    <w:rsid w:val="009A70D7"/>
    <w:rsid w:val="009F2261"/>
    <w:rsid w:val="00A0020B"/>
    <w:rsid w:val="00A011F8"/>
    <w:rsid w:val="00A1067C"/>
    <w:rsid w:val="00A861D5"/>
    <w:rsid w:val="00AA7536"/>
    <w:rsid w:val="00AD2E1D"/>
    <w:rsid w:val="00AE26CD"/>
    <w:rsid w:val="00B70787"/>
    <w:rsid w:val="00BD5A3A"/>
    <w:rsid w:val="00BD5B90"/>
    <w:rsid w:val="00BE20B9"/>
    <w:rsid w:val="00BF33EC"/>
    <w:rsid w:val="00C210C2"/>
    <w:rsid w:val="00C317CA"/>
    <w:rsid w:val="00C44BB2"/>
    <w:rsid w:val="00C90C97"/>
    <w:rsid w:val="00D068B4"/>
    <w:rsid w:val="00D46987"/>
    <w:rsid w:val="00D47963"/>
    <w:rsid w:val="00D72D76"/>
    <w:rsid w:val="00DA03D0"/>
    <w:rsid w:val="00DA5B90"/>
    <w:rsid w:val="00E25F9C"/>
    <w:rsid w:val="00E341E0"/>
    <w:rsid w:val="00E52B34"/>
    <w:rsid w:val="00E53A5B"/>
    <w:rsid w:val="00E7128A"/>
    <w:rsid w:val="00E837A6"/>
    <w:rsid w:val="00E94F16"/>
    <w:rsid w:val="00ED58B7"/>
    <w:rsid w:val="00F06027"/>
    <w:rsid w:val="00F27DA9"/>
    <w:rsid w:val="00F46DB8"/>
    <w:rsid w:val="00F50875"/>
    <w:rsid w:val="00F72A27"/>
    <w:rsid w:val="00FA6F26"/>
    <w:rsid w:val="00FF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B8"/>
    <w:pPr>
      <w:spacing w:after="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qFormat/>
    <w:rsid w:val="00BE20B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DB8"/>
    <w:pPr>
      <w:tabs>
        <w:tab w:val="center" w:pos="4680"/>
        <w:tab w:val="right" w:pos="9360"/>
      </w:tabs>
    </w:pPr>
  </w:style>
  <w:style w:type="character" w:customStyle="1" w:styleId="HeaderChar">
    <w:name w:val="Header Char"/>
    <w:basedOn w:val="DefaultParagraphFont"/>
    <w:link w:val="Header"/>
    <w:uiPriority w:val="99"/>
    <w:rsid w:val="00F46DB8"/>
  </w:style>
  <w:style w:type="paragraph" w:styleId="Footer">
    <w:name w:val="footer"/>
    <w:basedOn w:val="Normal"/>
    <w:link w:val="FooterChar"/>
    <w:uiPriority w:val="99"/>
    <w:unhideWhenUsed/>
    <w:rsid w:val="00F46DB8"/>
    <w:pPr>
      <w:tabs>
        <w:tab w:val="center" w:pos="4680"/>
        <w:tab w:val="right" w:pos="9360"/>
      </w:tabs>
    </w:pPr>
  </w:style>
  <w:style w:type="character" w:customStyle="1" w:styleId="FooterChar">
    <w:name w:val="Footer Char"/>
    <w:basedOn w:val="DefaultParagraphFont"/>
    <w:link w:val="Footer"/>
    <w:uiPriority w:val="99"/>
    <w:rsid w:val="00F46DB8"/>
  </w:style>
  <w:style w:type="paragraph" w:customStyle="1" w:styleId="Intro">
    <w:name w:val="Intro"/>
    <w:basedOn w:val="Normal"/>
    <w:rsid w:val="00F46DB8"/>
    <w:pPr>
      <w:spacing w:before="240" w:line="240" w:lineRule="exact"/>
      <w:ind w:left="1440" w:hanging="1440"/>
    </w:pPr>
  </w:style>
  <w:style w:type="paragraph" w:customStyle="1" w:styleId="Cover">
    <w:name w:val="Cover"/>
    <w:basedOn w:val="Normal"/>
    <w:rsid w:val="00F46DB8"/>
    <w:pPr>
      <w:tabs>
        <w:tab w:val="left" w:pos="720"/>
        <w:tab w:val="left" w:pos="1440"/>
        <w:tab w:val="left" w:pos="2160"/>
        <w:tab w:val="left" w:pos="4464"/>
        <w:tab w:val="left" w:pos="8496"/>
      </w:tabs>
      <w:spacing w:line="240" w:lineRule="exact"/>
      <w:ind w:left="720" w:hanging="720"/>
    </w:pPr>
  </w:style>
  <w:style w:type="paragraph" w:styleId="BalloonText">
    <w:name w:val="Balloon Text"/>
    <w:basedOn w:val="Normal"/>
    <w:link w:val="BalloonTextChar"/>
    <w:uiPriority w:val="99"/>
    <w:semiHidden/>
    <w:unhideWhenUsed/>
    <w:rsid w:val="00F46DB8"/>
    <w:rPr>
      <w:rFonts w:ascii="Tahoma" w:hAnsi="Tahoma" w:cs="Tahoma"/>
      <w:sz w:val="16"/>
      <w:szCs w:val="16"/>
    </w:rPr>
  </w:style>
  <w:style w:type="character" w:customStyle="1" w:styleId="BalloonTextChar">
    <w:name w:val="Balloon Text Char"/>
    <w:basedOn w:val="DefaultParagraphFont"/>
    <w:link w:val="BalloonText"/>
    <w:uiPriority w:val="99"/>
    <w:semiHidden/>
    <w:rsid w:val="00F46DB8"/>
    <w:rPr>
      <w:rFonts w:ascii="Tahoma" w:eastAsia="Times New Roman" w:hAnsi="Tahoma" w:cs="Tahoma"/>
      <w:sz w:val="16"/>
      <w:szCs w:val="16"/>
    </w:rPr>
  </w:style>
  <w:style w:type="paragraph" w:styleId="ListParagraph">
    <w:name w:val="List Paragraph"/>
    <w:basedOn w:val="Normal"/>
    <w:uiPriority w:val="34"/>
    <w:qFormat/>
    <w:rsid w:val="00300B2B"/>
    <w:pPr>
      <w:ind w:left="720"/>
      <w:contextualSpacing/>
    </w:pPr>
  </w:style>
  <w:style w:type="paragraph" w:styleId="NoSpacing">
    <w:name w:val="No Spacing"/>
    <w:uiPriority w:val="1"/>
    <w:qFormat/>
    <w:rsid w:val="00BD5A3A"/>
    <w:pPr>
      <w:spacing w:after="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67ABF"/>
    <w:rPr>
      <w:sz w:val="16"/>
      <w:szCs w:val="16"/>
    </w:rPr>
  </w:style>
  <w:style w:type="paragraph" w:styleId="CommentText">
    <w:name w:val="annotation text"/>
    <w:basedOn w:val="Normal"/>
    <w:link w:val="CommentTextChar"/>
    <w:uiPriority w:val="99"/>
    <w:semiHidden/>
    <w:unhideWhenUsed/>
    <w:rsid w:val="00667ABF"/>
    <w:rPr>
      <w:sz w:val="20"/>
    </w:rPr>
  </w:style>
  <w:style w:type="character" w:customStyle="1" w:styleId="CommentTextChar">
    <w:name w:val="Comment Text Char"/>
    <w:basedOn w:val="DefaultParagraphFont"/>
    <w:link w:val="CommentText"/>
    <w:uiPriority w:val="99"/>
    <w:semiHidden/>
    <w:rsid w:val="00667A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7ABF"/>
    <w:rPr>
      <w:b/>
      <w:bCs/>
    </w:rPr>
  </w:style>
  <w:style w:type="character" w:customStyle="1" w:styleId="CommentSubjectChar">
    <w:name w:val="Comment Subject Char"/>
    <w:basedOn w:val="CommentTextChar"/>
    <w:link w:val="CommentSubject"/>
    <w:uiPriority w:val="99"/>
    <w:semiHidden/>
    <w:rsid w:val="00667AB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BE20B9"/>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B8"/>
    <w:pPr>
      <w:spacing w:after="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qFormat/>
    <w:rsid w:val="00BE20B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DB8"/>
    <w:pPr>
      <w:tabs>
        <w:tab w:val="center" w:pos="4680"/>
        <w:tab w:val="right" w:pos="9360"/>
      </w:tabs>
    </w:pPr>
  </w:style>
  <w:style w:type="character" w:customStyle="1" w:styleId="HeaderChar">
    <w:name w:val="Header Char"/>
    <w:basedOn w:val="DefaultParagraphFont"/>
    <w:link w:val="Header"/>
    <w:uiPriority w:val="99"/>
    <w:rsid w:val="00F46DB8"/>
  </w:style>
  <w:style w:type="paragraph" w:styleId="Footer">
    <w:name w:val="footer"/>
    <w:basedOn w:val="Normal"/>
    <w:link w:val="FooterChar"/>
    <w:uiPriority w:val="99"/>
    <w:unhideWhenUsed/>
    <w:rsid w:val="00F46DB8"/>
    <w:pPr>
      <w:tabs>
        <w:tab w:val="center" w:pos="4680"/>
        <w:tab w:val="right" w:pos="9360"/>
      </w:tabs>
    </w:pPr>
  </w:style>
  <w:style w:type="character" w:customStyle="1" w:styleId="FooterChar">
    <w:name w:val="Footer Char"/>
    <w:basedOn w:val="DefaultParagraphFont"/>
    <w:link w:val="Footer"/>
    <w:uiPriority w:val="99"/>
    <w:rsid w:val="00F46DB8"/>
  </w:style>
  <w:style w:type="paragraph" w:customStyle="1" w:styleId="Intro">
    <w:name w:val="Intro"/>
    <w:basedOn w:val="Normal"/>
    <w:rsid w:val="00F46DB8"/>
    <w:pPr>
      <w:spacing w:before="240" w:line="240" w:lineRule="exact"/>
      <w:ind w:left="1440" w:hanging="1440"/>
    </w:pPr>
  </w:style>
  <w:style w:type="paragraph" w:customStyle="1" w:styleId="Cover">
    <w:name w:val="Cover"/>
    <w:basedOn w:val="Normal"/>
    <w:rsid w:val="00F46DB8"/>
    <w:pPr>
      <w:tabs>
        <w:tab w:val="left" w:pos="720"/>
        <w:tab w:val="left" w:pos="1440"/>
        <w:tab w:val="left" w:pos="2160"/>
        <w:tab w:val="left" w:pos="4464"/>
        <w:tab w:val="left" w:pos="8496"/>
      </w:tabs>
      <w:spacing w:line="240" w:lineRule="exact"/>
      <w:ind w:left="720" w:hanging="720"/>
    </w:pPr>
  </w:style>
  <w:style w:type="paragraph" w:styleId="BalloonText">
    <w:name w:val="Balloon Text"/>
    <w:basedOn w:val="Normal"/>
    <w:link w:val="BalloonTextChar"/>
    <w:uiPriority w:val="99"/>
    <w:semiHidden/>
    <w:unhideWhenUsed/>
    <w:rsid w:val="00F46DB8"/>
    <w:rPr>
      <w:rFonts w:ascii="Tahoma" w:hAnsi="Tahoma" w:cs="Tahoma"/>
      <w:sz w:val="16"/>
      <w:szCs w:val="16"/>
    </w:rPr>
  </w:style>
  <w:style w:type="character" w:customStyle="1" w:styleId="BalloonTextChar">
    <w:name w:val="Balloon Text Char"/>
    <w:basedOn w:val="DefaultParagraphFont"/>
    <w:link w:val="BalloonText"/>
    <w:uiPriority w:val="99"/>
    <w:semiHidden/>
    <w:rsid w:val="00F46DB8"/>
    <w:rPr>
      <w:rFonts w:ascii="Tahoma" w:eastAsia="Times New Roman" w:hAnsi="Tahoma" w:cs="Tahoma"/>
      <w:sz w:val="16"/>
      <w:szCs w:val="16"/>
    </w:rPr>
  </w:style>
  <w:style w:type="paragraph" w:styleId="ListParagraph">
    <w:name w:val="List Paragraph"/>
    <w:basedOn w:val="Normal"/>
    <w:uiPriority w:val="34"/>
    <w:qFormat/>
    <w:rsid w:val="00300B2B"/>
    <w:pPr>
      <w:ind w:left="720"/>
      <w:contextualSpacing/>
    </w:pPr>
  </w:style>
  <w:style w:type="paragraph" w:styleId="NoSpacing">
    <w:name w:val="No Spacing"/>
    <w:uiPriority w:val="1"/>
    <w:qFormat/>
    <w:rsid w:val="00BD5A3A"/>
    <w:pPr>
      <w:spacing w:after="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67ABF"/>
    <w:rPr>
      <w:sz w:val="16"/>
      <w:szCs w:val="16"/>
    </w:rPr>
  </w:style>
  <w:style w:type="paragraph" w:styleId="CommentText">
    <w:name w:val="annotation text"/>
    <w:basedOn w:val="Normal"/>
    <w:link w:val="CommentTextChar"/>
    <w:uiPriority w:val="99"/>
    <w:semiHidden/>
    <w:unhideWhenUsed/>
    <w:rsid w:val="00667ABF"/>
    <w:rPr>
      <w:sz w:val="20"/>
    </w:rPr>
  </w:style>
  <w:style w:type="character" w:customStyle="1" w:styleId="CommentTextChar">
    <w:name w:val="Comment Text Char"/>
    <w:basedOn w:val="DefaultParagraphFont"/>
    <w:link w:val="CommentText"/>
    <w:uiPriority w:val="99"/>
    <w:semiHidden/>
    <w:rsid w:val="00667A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7ABF"/>
    <w:rPr>
      <w:b/>
      <w:bCs/>
    </w:rPr>
  </w:style>
  <w:style w:type="character" w:customStyle="1" w:styleId="CommentSubjectChar">
    <w:name w:val="Comment Subject Char"/>
    <w:basedOn w:val="CommentTextChar"/>
    <w:link w:val="CommentSubject"/>
    <w:uiPriority w:val="99"/>
    <w:semiHidden/>
    <w:rsid w:val="00667AB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BE20B9"/>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uickfacts.census.gov"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33FDA-1C83-4940-B73F-DFF7DCFD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Katie</dc:creator>
  <cp:lastModifiedBy>Smith, Katie</cp:lastModifiedBy>
  <cp:revision>2</cp:revision>
  <cp:lastPrinted>2015-07-30T11:43:00Z</cp:lastPrinted>
  <dcterms:created xsi:type="dcterms:W3CDTF">2015-08-24T17:47:00Z</dcterms:created>
  <dcterms:modified xsi:type="dcterms:W3CDTF">2015-08-24T17:47:00Z</dcterms:modified>
</cp:coreProperties>
</file>