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59C" w:rsidRDefault="007A659C" w:rsidP="007A659C">
      <w:pPr>
        <w:pStyle w:val="Header"/>
        <w:jc w:val="center"/>
        <w:rPr>
          <w:b/>
        </w:rPr>
      </w:pPr>
      <w:bookmarkStart w:id="0" w:name="_GoBack"/>
      <w:bookmarkEnd w:id="0"/>
    </w:p>
    <w:p w:rsidR="007A659C" w:rsidRDefault="007A659C" w:rsidP="007A659C">
      <w:pPr>
        <w:pStyle w:val="Header"/>
        <w:jc w:val="center"/>
        <w:rPr>
          <w:b/>
        </w:rPr>
      </w:pPr>
    </w:p>
    <w:p w:rsidR="007A659C" w:rsidRDefault="007A659C" w:rsidP="007A659C">
      <w:pPr>
        <w:pStyle w:val="Header"/>
        <w:jc w:val="center"/>
        <w:rPr>
          <w:rStyle w:val="PageNumber"/>
        </w:rPr>
      </w:pPr>
      <w:r w:rsidRPr="001A755E">
        <w:rPr>
          <w:b/>
        </w:rPr>
        <w:t>Preliminary Analysis</w:t>
      </w:r>
    </w:p>
    <w:p w:rsidR="007A659C" w:rsidRDefault="007A659C" w:rsidP="007A659C">
      <w:pPr>
        <w:pStyle w:val="Heading4"/>
        <w:spacing w:before="0" w:after="0"/>
        <w:jc w:val="center"/>
        <w:rPr>
          <w:rFonts w:ascii="Times New Roman" w:hAnsi="Times New Roman"/>
          <w:sz w:val="24"/>
          <w:szCs w:val="24"/>
        </w:rPr>
      </w:pPr>
    </w:p>
    <w:p w:rsidR="007A659C" w:rsidRDefault="007A659C" w:rsidP="007A659C">
      <w:pPr>
        <w:pStyle w:val="Heading4"/>
        <w:spacing w:before="0" w:after="0"/>
        <w:rPr>
          <w:rFonts w:ascii="Times New Roman" w:hAnsi="Times New Roman"/>
          <w:sz w:val="24"/>
          <w:szCs w:val="24"/>
        </w:rPr>
      </w:pPr>
    </w:p>
    <w:p w:rsidR="00A461C0" w:rsidRPr="00FA0BFF" w:rsidRDefault="00A461C0" w:rsidP="004A3A12">
      <w:pPr>
        <w:pStyle w:val="Heading4"/>
        <w:spacing w:before="0" w:after="0"/>
        <w:rPr>
          <w:rFonts w:ascii="Times New Roman" w:hAnsi="Times New Roman"/>
          <w:sz w:val="24"/>
          <w:szCs w:val="24"/>
        </w:rPr>
      </w:pPr>
      <w:r w:rsidRPr="00FA0BFF">
        <w:rPr>
          <w:rFonts w:ascii="Times New Roman" w:hAnsi="Times New Roman"/>
          <w:sz w:val="24"/>
          <w:szCs w:val="24"/>
        </w:rPr>
        <w:t xml:space="preserve">Date: </w:t>
      </w:r>
      <w:r w:rsidR="00D87A67">
        <w:rPr>
          <w:rFonts w:ascii="Times New Roman" w:hAnsi="Times New Roman"/>
          <w:sz w:val="24"/>
          <w:szCs w:val="24"/>
        </w:rPr>
        <w:tab/>
      </w:r>
      <w:r w:rsidRPr="00FA0BFF">
        <w:rPr>
          <w:rFonts w:ascii="Times New Roman" w:hAnsi="Times New Roman"/>
          <w:sz w:val="24"/>
          <w:szCs w:val="24"/>
        </w:rPr>
        <w:t xml:space="preserve"> </w:t>
      </w:r>
      <w:r w:rsidRPr="00FA0BFF">
        <w:rPr>
          <w:rFonts w:ascii="Times New Roman" w:hAnsi="Times New Roman"/>
          <w:sz w:val="24"/>
          <w:szCs w:val="24"/>
        </w:rPr>
        <w:tab/>
      </w:r>
      <w:r w:rsidR="007A659C">
        <w:rPr>
          <w:rFonts w:ascii="Times New Roman" w:hAnsi="Times New Roman"/>
          <w:sz w:val="24"/>
          <w:szCs w:val="24"/>
        </w:rPr>
        <w:tab/>
      </w:r>
      <w:r w:rsidR="006F1D1B">
        <w:rPr>
          <w:rFonts w:ascii="Times New Roman" w:hAnsi="Times New Roman"/>
          <w:sz w:val="24"/>
          <w:szCs w:val="24"/>
        </w:rPr>
        <w:t>October 18</w:t>
      </w:r>
      <w:r w:rsidR="002843F4">
        <w:rPr>
          <w:rFonts w:ascii="Times New Roman" w:hAnsi="Times New Roman"/>
          <w:sz w:val="24"/>
          <w:szCs w:val="24"/>
        </w:rPr>
        <w:t>, 2013</w:t>
      </w:r>
    </w:p>
    <w:p w:rsidR="00A461C0" w:rsidRPr="0019690A" w:rsidRDefault="00A461C0" w:rsidP="004A3A12"/>
    <w:p w:rsidR="005B4607" w:rsidRPr="0019690A" w:rsidRDefault="00A461C0" w:rsidP="005B4607">
      <w:pPr>
        <w:ind w:left="1440" w:hanging="1440"/>
      </w:pPr>
      <w:r w:rsidRPr="0019690A">
        <w:rPr>
          <w:b/>
        </w:rPr>
        <w:t>Project</w:t>
      </w:r>
      <w:r w:rsidRPr="0019690A">
        <w:t>:</w:t>
      </w:r>
      <w:r w:rsidRPr="0019690A">
        <w:tab/>
      </w:r>
      <w:r w:rsidR="007A659C">
        <w:tab/>
      </w:r>
      <w:r w:rsidR="006F1D1B" w:rsidRPr="006F1D1B">
        <w:rPr>
          <w:b/>
        </w:rPr>
        <w:t xml:space="preserve">Acquisition of Control of </w:t>
      </w:r>
      <w:r w:rsidR="002843F4" w:rsidRPr="006F1D1B">
        <w:rPr>
          <w:b/>
        </w:rPr>
        <w:t xml:space="preserve">Cummings Health Care Facility, Inc. </w:t>
      </w:r>
    </w:p>
    <w:p w:rsidR="00A461C0" w:rsidRPr="0019690A" w:rsidRDefault="00A461C0" w:rsidP="00A461C0">
      <w:pPr>
        <w:ind w:left="1080" w:hanging="1080"/>
        <w:rPr>
          <w:b/>
        </w:rPr>
      </w:pPr>
    </w:p>
    <w:p w:rsidR="00A461C0" w:rsidRDefault="00A461C0" w:rsidP="002843F4">
      <w:pPr>
        <w:ind w:left="1080" w:hanging="1080"/>
        <w:rPr>
          <w:b/>
        </w:rPr>
      </w:pPr>
      <w:r w:rsidRPr="0019690A">
        <w:rPr>
          <w:b/>
        </w:rPr>
        <w:t xml:space="preserve">Proposal by: </w:t>
      </w:r>
      <w:r w:rsidRPr="0019690A">
        <w:rPr>
          <w:b/>
        </w:rPr>
        <w:tab/>
      </w:r>
      <w:r w:rsidR="002843F4">
        <w:rPr>
          <w:b/>
        </w:rPr>
        <w:t>Cummings Health Care Facility, Inc.</w:t>
      </w:r>
    </w:p>
    <w:p w:rsidR="002843F4" w:rsidRPr="0019690A" w:rsidRDefault="002843F4" w:rsidP="002843F4">
      <w:pPr>
        <w:ind w:left="1080" w:hanging="1080"/>
      </w:pPr>
    </w:p>
    <w:p w:rsidR="00A461C0" w:rsidRPr="0019690A" w:rsidRDefault="00A461C0" w:rsidP="00A461C0">
      <w:pPr>
        <w:rPr>
          <w:b/>
        </w:rPr>
      </w:pPr>
      <w:r w:rsidRPr="0019690A">
        <w:rPr>
          <w:b/>
        </w:rPr>
        <w:t>Prepared by:</w:t>
      </w:r>
      <w:r w:rsidRPr="0019690A">
        <w:rPr>
          <w:b/>
        </w:rPr>
        <w:tab/>
        <w:t xml:space="preserve">Phyllis Powell, </w:t>
      </w:r>
      <w:r w:rsidR="001804AF" w:rsidRPr="0019690A">
        <w:rPr>
          <w:b/>
        </w:rPr>
        <w:t xml:space="preserve">Assistant </w:t>
      </w:r>
      <w:r w:rsidR="005B4607" w:rsidRPr="0019690A">
        <w:rPr>
          <w:b/>
        </w:rPr>
        <w:t>Director, Medical Facilities</w:t>
      </w:r>
    </w:p>
    <w:p w:rsidR="00B8242F" w:rsidRPr="0019690A" w:rsidRDefault="00A461C0" w:rsidP="007A659C">
      <w:pPr>
        <w:ind w:left="1440" w:firstLine="288"/>
        <w:rPr>
          <w:b/>
        </w:rPr>
      </w:pPr>
      <w:r w:rsidRPr="0019690A">
        <w:rPr>
          <w:b/>
        </w:rPr>
        <w:t>Larry Carbonne</w:t>
      </w:r>
      <w:r w:rsidR="001804AF" w:rsidRPr="0019690A">
        <w:rPr>
          <w:b/>
        </w:rPr>
        <w:t xml:space="preserve">au, </w:t>
      </w:r>
      <w:r w:rsidR="00A624BF">
        <w:rPr>
          <w:b/>
        </w:rPr>
        <w:t>Manager</w:t>
      </w:r>
      <w:r w:rsidR="00411AD9" w:rsidRPr="0019690A">
        <w:rPr>
          <w:b/>
        </w:rPr>
        <w:t xml:space="preserve"> </w:t>
      </w:r>
      <w:r w:rsidR="001804AF" w:rsidRPr="0019690A">
        <w:rPr>
          <w:b/>
        </w:rPr>
        <w:t>Health</w:t>
      </w:r>
      <w:r w:rsidR="00A624BF">
        <w:rPr>
          <w:b/>
        </w:rPr>
        <w:t xml:space="preserve"> C</w:t>
      </w:r>
      <w:r w:rsidR="001804AF" w:rsidRPr="0019690A">
        <w:rPr>
          <w:b/>
        </w:rPr>
        <w:t xml:space="preserve">are </w:t>
      </w:r>
      <w:r w:rsidR="00A624BF">
        <w:rPr>
          <w:b/>
        </w:rPr>
        <w:t>Oversight</w:t>
      </w:r>
    </w:p>
    <w:p w:rsidR="001804AF" w:rsidRPr="0019690A" w:rsidRDefault="00B8242F" w:rsidP="007A659C">
      <w:pPr>
        <w:ind w:left="1440" w:firstLine="288"/>
        <w:rPr>
          <w:b/>
        </w:rPr>
      </w:pPr>
      <w:r w:rsidRPr="0019690A">
        <w:rPr>
          <w:b/>
        </w:rPr>
        <w:t>Richard Lawrence, Senior Health</w:t>
      </w:r>
      <w:r w:rsidR="00A624BF">
        <w:rPr>
          <w:b/>
        </w:rPr>
        <w:t xml:space="preserve"> C</w:t>
      </w:r>
      <w:r w:rsidRPr="0019690A">
        <w:rPr>
          <w:b/>
        </w:rPr>
        <w:t>are Financial Analyst</w:t>
      </w:r>
    </w:p>
    <w:p w:rsidR="008856EE" w:rsidRDefault="008856EE" w:rsidP="00A461C0">
      <w:pPr>
        <w:ind w:left="1440"/>
        <w:rPr>
          <w:b/>
        </w:rPr>
      </w:pPr>
    </w:p>
    <w:p w:rsidR="007A659C" w:rsidRPr="0019690A" w:rsidRDefault="007A659C" w:rsidP="00A461C0">
      <w:pPr>
        <w:ind w:left="1440"/>
        <w:rPr>
          <w:b/>
        </w:rPr>
      </w:pPr>
    </w:p>
    <w:p w:rsidR="00BF0D2E" w:rsidRPr="0019690A" w:rsidRDefault="00A461C0" w:rsidP="00A461C0">
      <w:pPr>
        <w:rPr>
          <w:b/>
        </w:rPr>
      </w:pPr>
      <w:r w:rsidRPr="0019690A">
        <w:rPr>
          <w:b/>
        </w:rPr>
        <w:t>Directly Affected Party:</w:t>
      </w:r>
      <w:r w:rsidR="00D76F46" w:rsidRPr="0019690A">
        <w:rPr>
          <w:b/>
        </w:rPr>
        <w:t xml:space="preserve">  None</w:t>
      </w:r>
    </w:p>
    <w:p w:rsidR="00BF0D2E" w:rsidRPr="0019690A" w:rsidRDefault="00BF0D2E" w:rsidP="00A461C0">
      <w:pPr>
        <w:rPr>
          <w:b/>
        </w:rPr>
      </w:pPr>
    </w:p>
    <w:p w:rsidR="00A461C0" w:rsidRPr="0019690A" w:rsidRDefault="00A461C0" w:rsidP="00362413">
      <w:pPr>
        <w:rPr>
          <w:b/>
        </w:rPr>
      </w:pPr>
    </w:p>
    <w:p w:rsidR="00A461C0" w:rsidRPr="0019690A" w:rsidRDefault="006A7CB7" w:rsidP="00A461C0">
      <w:pPr>
        <w:rPr>
          <w:b/>
        </w:rPr>
      </w:pPr>
      <w:r w:rsidRPr="0019690A">
        <w:rPr>
          <w:b/>
        </w:rPr>
        <w:t xml:space="preserve">Certificate of Need Unit </w:t>
      </w:r>
      <w:r w:rsidR="008F244E" w:rsidRPr="0019690A">
        <w:rPr>
          <w:b/>
        </w:rPr>
        <w:t>Recommendation</w:t>
      </w:r>
      <w:r w:rsidR="00A461C0" w:rsidRPr="0019690A">
        <w:rPr>
          <w:b/>
        </w:rPr>
        <w:t xml:space="preserve">: </w:t>
      </w:r>
      <w:r w:rsidR="006908B4">
        <w:rPr>
          <w:b/>
        </w:rPr>
        <w:t>Approval</w:t>
      </w:r>
      <w:r w:rsidR="007A659C">
        <w:rPr>
          <w:b/>
        </w:rPr>
        <w:tab/>
      </w:r>
    </w:p>
    <w:p w:rsidR="00A461C0" w:rsidRDefault="00A461C0" w:rsidP="00A461C0">
      <w:pPr>
        <w:rPr>
          <w:b/>
        </w:rPr>
      </w:pPr>
    </w:p>
    <w:p w:rsidR="007A659C" w:rsidRPr="0019690A" w:rsidRDefault="007A659C" w:rsidP="00A461C0">
      <w:pPr>
        <w:rPr>
          <w:b/>
        </w:rPr>
      </w:pPr>
    </w:p>
    <w:p w:rsidR="00A461C0" w:rsidRPr="0019690A" w:rsidRDefault="00A461C0" w:rsidP="00A461C0">
      <w:pPr>
        <w:pBdr>
          <w:bottom w:val="single" w:sz="12" w:space="1" w:color="auto"/>
        </w:pBdr>
        <w:rPr>
          <w:b/>
        </w:rPr>
      </w:pPr>
      <w:r w:rsidRPr="0019690A">
        <w:tab/>
      </w:r>
      <w:r w:rsidRPr="0019690A">
        <w:tab/>
      </w:r>
      <w:r w:rsidRPr="0019690A">
        <w:tab/>
      </w:r>
      <w:r w:rsidRPr="0019690A">
        <w:tab/>
      </w:r>
      <w:r w:rsidRPr="0019690A">
        <w:tab/>
      </w:r>
      <w:r w:rsidRPr="0019690A">
        <w:tab/>
      </w:r>
      <w:r w:rsidR="001950B6">
        <w:tab/>
      </w:r>
      <w:r w:rsidR="001950B6">
        <w:tab/>
      </w:r>
      <w:r w:rsidR="001950B6">
        <w:tab/>
      </w:r>
      <w:r w:rsidR="001950B6">
        <w:tab/>
      </w:r>
      <w:r w:rsidR="001950B6">
        <w:tab/>
      </w:r>
      <w:r w:rsidR="001950B6">
        <w:tab/>
      </w:r>
      <w:r w:rsidRPr="0019690A">
        <w:rPr>
          <w:b/>
        </w:rPr>
        <w:t>Proposed</w:t>
      </w:r>
      <w:r w:rsidRPr="0019690A">
        <w:rPr>
          <w:b/>
        </w:rPr>
        <w:tab/>
      </w:r>
      <w:r w:rsidR="007A659C">
        <w:rPr>
          <w:b/>
        </w:rPr>
        <w:tab/>
      </w:r>
      <w:r w:rsidRPr="0019690A">
        <w:rPr>
          <w:b/>
        </w:rPr>
        <w:tab/>
        <w:t>Approved</w:t>
      </w:r>
    </w:p>
    <w:p w:rsidR="00A461C0" w:rsidRPr="0019690A" w:rsidRDefault="00A461C0" w:rsidP="00A461C0">
      <w:pPr>
        <w:pBdr>
          <w:bottom w:val="single" w:sz="12" w:space="1" w:color="auto"/>
        </w:pBdr>
      </w:pPr>
      <w:r w:rsidRPr="0019690A">
        <w:rPr>
          <w:b/>
        </w:rPr>
        <w:tab/>
      </w:r>
      <w:r w:rsidRPr="0019690A">
        <w:rPr>
          <w:b/>
        </w:rPr>
        <w:tab/>
      </w:r>
      <w:r w:rsidRPr="0019690A">
        <w:rPr>
          <w:b/>
        </w:rPr>
        <w:tab/>
      </w:r>
      <w:r w:rsidRPr="0019690A">
        <w:rPr>
          <w:b/>
        </w:rPr>
        <w:tab/>
      </w:r>
      <w:r w:rsidRPr="0019690A">
        <w:rPr>
          <w:b/>
        </w:rPr>
        <w:tab/>
      </w:r>
      <w:r w:rsidR="001950B6">
        <w:rPr>
          <w:b/>
        </w:rPr>
        <w:tab/>
      </w:r>
      <w:r w:rsidR="001950B6">
        <w:rPr>
          <w:b/>
        </w:rPr>
        <w:tab/>
      </w:r>
      <w:r w:rsidR="001950B6">
        <w:rPr>
          <w:b/>
        </w:rPr>
        <w:tab/>
      </w:r>
      <w:r w:rsidR="001950B6">
        <w:rPr>
          <w:b/>
        </w:rPr>
        <w:tab/>
      </w:r>
      <w:r w:rsidR="001950B6">
        <w:rPr>
          <w:b/>
        </w:rPr>
        <w:tab/>
      </w:r>
      <w:r w:rsidR="001950B6">
        <w:rPr>
          <w:b/>
        </w:rPr>
        <w:tab/>
      </w:r>
      <w:r w:rsidRPr="0019690A">
        <w:rPr>
          <w:b/>
        </w:rPr>
        <w:tab/>
        <w:t>Per Applicant</w:t>
      </w:r>
      <w:r w:rsidRPr="0019690A">
        <w:tab/>
      </w:r>
      <w:r w:rsidRPr="0019690A">
        <w:tab/>
      </w:r>
      <w:r w:rsidRPr="0019690A">
        <w:rPr>
          <w:b/>
        </w:rPr>
        <w:t>CON</w:t>
      </w:r>
    </w:p>
    <w:p w:rsidR="00A461C0" w:rsidRPr="0019690A" w:rsidRDefault="00A461C0" w:rsidP="00A461C0"/>
    <w:p w:rsidR="00C634AE" w:rsidRPr="0019690A" w:rsidRDefault="00A461C0" w:rsidP="001950B6">
      <w:r w:rsidRPr="0019690A">
        <w:t xml:space="preserve">Estimated Capital Expenditure </w:t>
      </w:r>
      <w:r w:rsidRPr="0019690A">
        <w:tab/>
      </w:r>
      <w:r w:rsidRPr="0019690A">
        <w:tab/>
      </w:r>
      <w:r w:rsidR="001950B6">
        <w:tab/>
      </w:r>
      <w:r w:rsidR="001950B6">
        <w:tab/>
      </w:r>
      <w:r w:rsidR="001950B6">
        <w:tab/>
      </w:r>
      <w:r w:rsidRPr="0019690A">
        <w:tab/>
        <w:t>$</w:t>
      </w:r>
      <w:r w:rsidR="004B0A6B">
        <w:t>1,039,848</w:t>
      </w:r>
      <w:r w:rsidR="002843F4">
        <w:tab/>
      </w:r>
      <w:r w:rsidR="004B0A6B">
        <w:tab/>
      </w:r>
      <w:r w:rsidRPr="0019690A">
        <w:t>$</w:t>
      </w:r>
      <w:r w:rsidR="00EC7048">
        <w:t xml:space="preserve">   </w:t>
      </w:r>
      <w:r w:rsidRPr="0019690A">
        <w:t xml:space="preserve"> </w:t>
      </w:r>
      <w:r w:rsidR="004B0A6B">
        <w:t>1,039,848</w:t>
      </w:r>
    </w:p>
    <w:p w:rsidR="001950B6" w:rsidRDefault="005B4607" w:rsidP="001950B6">
      <w:r w:rsidRPr="0019690A">
        <w:t xml:space="preserve">Maximum Contingency </w:t>
      </w:r>
      <w:r w:rsidRPr="0019690A">
        <w:tab/>
      </w:r>
      <w:r w:rsidRPr="0019690A">
        <w:tab/>
      </w:r>
      <w:r w:rsidRPr="0019690A">
        <w:tab/>
      </w:r>
      <w:r w:rsidR="001950B6">
        <w:tab/>
      </w:r>
      <w:r w:rsidR="001950B6">
        <w:tab/>
      </w:r>
      <w:r w:rsidR="001950B6">
        <w:tab/>
      </w:r>
      <w:r w:rsidRPr="0019690A">
        <w:tab/>
        <w:t>$</w:t>
      </w:r>
      <w:r w:rsidR="004B0A6B">
        <w:t xml:space="preserve">              </w:t>
      </w:r>
      <w:r w:rsidR="002843F4">
        <w:t>0</w:t>
      </w:r>
      <w:r w:rsidRPr="0019690A">
        <w:t xml:space="preserve">        </w:t>
      </w:r>
      <w:r w:rsidR="004B0A6B">
        <w:tab/>
        <w:t>$</w:t>
      </w:r>
      <w:r w:rsidR="006504B0" w:rsidRPr="0019690A">
        <w:t xml:space="preserve"> </w:t>
      </w:r>
      <w:r w:rsidR="00EC7048">
        <w:t xml:space="preserve">   </w:t>
      </w:r>
      <w:r w:rsidR="004B0A6B">
        <w:t xml:space="preserve">              </w:t>
      </w:r>
      <w:r w:rsidR="002843F4">
        <w:t>0</w:t>
      </w:r>
    </w:p>
    <w:p w:rsidR="00A461C0" w:rsidRPr="0019690A" w:rsidRDefault="00A461C0" w:rsidP="001950B6">
      <w:r w:rsidRPr="0019690A">
        <w:t>Total Capital Expenditure with Contingency</w:t>
      </w:r>
      <w:r w:rsidRPr="0019690A">
        <w:tab/>
      </w:r>
      <w:r w:rsidR="001950B6">
        <w:tab/>
      </w:r>
      <w:r w:rsidRPr="0019690A">
        <w:tab/>
        <w:t>$</w:t>
      </w:r>
      <w:r w:rsidR="004B0A6B">
        <w:t>1,039,848</w:t>
      </w:r>
      <w:r w:rsidR="00B8242F" w:rsidRPr="0019690A">
        <w:tab/>
      </w:r>
      <w:r w:rsidR="004B0A6B">
        <w:tab/>
      </w:r>
      <w:r w:rsidRPr="0019690A">
        <w:t xml:space="preserve">$ </w:t>
      </w:r>
      <w:r w:rsidR="00EC7048">
        <w:t xml:space="preserve">   </w:t>
      </w:r>
      <w:r w:rsidR="004B0A6B">
        <w:t>1,039,848</w:t>
      </w:r>
    </w:p>
    <w:p w:rsidR="00F803AB" w:rsidRDefault="00B92A34" w:rsidP="001950B6">
      <w:pPr>
        <w:pBdr>
          <w:bottom w:val="single" w:sz="12" w:space="1" w:color="auto"/>
        </w:pBdr>
      </w:pPr>
      <w:r w:rsidRPr="0019690A">
        <w:t>Pro-Forma Marginal Operating Costs</w:t>
      </w:r>
      <w:r w:rsidRPr="0019690A">
        <w:tab/>
      </w:r>
      <w:r w:rsidR="001950B6">
        <w:tab/>
      </w:r>
      <w:r w:rsidRPr="0019690A">
        <w:tab/>
      </w:r>
      <w:r w:rsidR="008B0356" w:rsidRPr="0019690A">
        <w:tab/>
        <w:t>$</w:t>
      </w:r>
      <w:r w:rsidR="004B0A6B">
        <w:t xml:space="preserve">     </w:t>
      </w:r>
      <w:r w:rsidR="00C0193A">
        <w:t>70,079</w:t>
      </w:r>
      <w:r w:rsidR="008660FA">
        <w:tab/>
      </w:r>
      <w:r w:rsidR="004B0A6B">
        <w:tab/>
      </w:r>
      <w:r w:rsidR="00B8242F" w:rsidRPr="0019690A">
        <w:t xml:space="preserve">$ </w:t>
      </w:r>
      <w:r w:rsidR="00623218">
        <w:t xml:space="preserve">  </w:t>
      </w:r>
      <w:r w:rsidR="008660FA">
        <w:t xml:space="preserve"> </w:t>
      </w:r>
      <w:r w:rsidR="004B0A6B">
        <w:t xml:space="preserve">     </w:t>
      </w:r>
      <w:r w:rsidR="00A44ABE">
        <w:t>70,079</w:t>
      </w:r>
    </w:p>
    <w:p w:rsidR="00A461C0" w:rsidRPr="0019690A" w:rsidRDefault="00F803AB" w:rsidP="001950B6">
      <w:pPr>
        <w:pBdr>
          <w:bottom w:val="single" w:sz="12" w:space="1" w:color="auto"/>
        </w:pBdr>
      </w:pPr>
      <w:r>
        <w:t>MaineCare Neutrality Established</w:t>
      </w:r>
      <w:r w:rsidR="00062BF0" w:rsidRPr="0019690A">
        <w:t xml:space="preserve">        </w:t>
      </w:r>
      <w:r w:rsidR="00CF25AD">
        <w:tab/>
      </w:r>
      <w:r w:rsidR="001950B6">
        <w:tab/>
      </w:r>
      <w:r w:rsidR="001950B6">
        <w:tab/>
      </w:r>
      <w:r w:rsidR="001950B6">
        <w:tab/>
      </w:r>
      <w:r w:rsidR="00CF25AD">
        <w:tab/>
      </w:r>
      <w:r w:rsidR="00CF25AD">
        <w:tab/>
      </w:r>
      <w:r w:rsidR="00CF25AD">
        <w:tab/>
      </w:r>
      <w:r w:rsidR="00CF25AD">
        <w:tab/>
        <w:t xml:space="preserve">    </w:t>
      </w:r>
      <w:r w:rsidR="00835A63">
        <w:t xml:space="preserve"> </w:t>
      </w:r>
      <w:r>
        <w:t xml:space="preserve"> </w:t>
      </w:r>
      <w:r w:rsidR="004B0A6B">
        <w:tab/>
        <w:t xml:space="preserve">    </w:t>
      </w:r>
      <w:r>
        <w:t>Yes</w:t>
      </w:r>
    </w:p>
    <w:p w:rsidR="00A461C0" w:rsidRPr="0019690A" w:rsidRDefault="00A461C0" w:rsidP="00A461C0">
      <w:pPr>
        <w:pBdr>
          <w:bottom w:val="single" w:sz="12" w:space="1" w:color="auto"/>
        </w:pBdr>
      </w:pPr>
    </w:p>
    <w:p w:rsidR="00A461C0" w:rsidRPr="0019690A" w:rsidRDefault="00A461C0" w:rsidP="00A461C0">
      <w:pPr>
        <w:pStyle w:val="Heading1"/>
        <w:rPr>
          <w:rFonts w:ascii="Times New Roman" w:hAnsi="Times New Roman" w:cs="Times New Roman"/>
        </w:rPr>
        <w:sectPr w:rsidR="00A461C0" w:rsidRPr="0019690A" w:rsidSect="00552817">
          <w:headerReference w:type="default" r:id="rId9"/>
          <w:pgSz w:w="12240" w:h="15840"/>
          <w:pgMar w:top="1440" w:right="1440" w:bottom="1440" w:left="1440" w:header="360" w:footer="720" w:gutter="0"/>
          <w:pgNumType w:start="1"/>
          <w:cols w:space="720"/>
          <w:docGrid w:linePitch="360"/>
        </w:sectPr>
      </w:pPr>
    </w:p>
    <w:p w:rsidR="00F62A4F" w:rsidRDefault="00F62A4F" w:rsidP="00A461C0">
      <w:pPr>
        <w:pStyle w:val="Heading1"/>
        <w:rPr>
          <w:rFonts w:ascii="Times New Roman" w:hAnsi="Times New Roman" w:cs="Times New Roman"/>
        </w:rPr>
        <w:sectPr w:rsidR="00F62A4F" w:rsidSect="00552817">
          <w:headerReference w:type="default" r:id="rId10"/>
          <w:type w:val="continuous"/>
          <w:pgSz w:w="12240" w:h="15840"/>
          <w:pgMar w:top="1440" w:right="1080" w:bottom="1440" w:left="1620" w:header="360" w:footer="720" w:gutter="0"/>
          <w:cols w:space="720"/>
          <w:docGrid w:linePitch="360"/>
        </w:sectPr>
      </w:pPr>
    </w:p>
    <w:p w:rsidR="00AE764D" w:rsidRPr="009D7AC0" w:rsidRDefault="00434034" w:rsidP="001E09AD">
      <w:pPr>
        <w:pStyle w:val="Heading1"/>
        <w:spacing w:before="0" w:after="0"/>
        <w:rPr>
          <w:rFonts w:ascii="Times New Roman" w:hAnsi="Times New Roman" w:cs="Times New Roman"/>
          <w:sz w:val="26"/>
          <w:szCs w:val="26"/>
          <w:u w:val="single"/>
        </w:rPr>
      </w:pPr>
      <w:r w:rsidRPr="009D7AC0">
        <w:rPr>
          <w:rFonts w:ascii="Times New Roman" w:hAnsi="Times New Roman" w:cs="Times New Roman"/>
          <w:sz w:val="26"/>
          <w:szCs w:val="26"/>
          <w:u w:val="single"/>
        </w:rPr>
        <w:lastRenderedPageBreak/>
        <w:fldChar w:fldCharType="begin">
          <w:ffData>
            <w:name w:val="Text77"/>
            <w:enabled/>
            <w:calcOnExit w:val="0"/>
            <w:textInput/>
          </w:ffData>
        </w:fldChar>
      </w:r>
      <w:bookmarkStart w:id="1" w:name="Text77"/>
      <w:r w:rsidR="00BB1625" w:rsidRPr="009D7AC0">
        <w:rPr>
          <w:rFonts w:ascii="Times New Roman" w:hAnsi="Times New Roman" w:cs="Times New Roman"/>
          <w:sz w:val="26"/>
          <w:szCs w:val="26"/>
          <w:u w:val="single"/>
        </w:rPr>
        <w:instrText xml:space="preserve"> FORMTEXT </w:instrText>
      </w:r>
      <w:r w:rsidRPr="009D7AC0">
        <w:rPr>
          <w:rFonts w:ascii="Times New Roman" w:hAnsi="Times New Roman" w:cs="Times New Roman"/>
          <w:sz w:val="26"/>
          <w:szCs w:val="26"/>
          <w:u w:val="single"/>
        </w:rPr>
      </w:r>
      <w:r w:rsidRPr="009D7AC0">
        <w:rPr>
          <w:rFonts w:ascii="Times New Roman" w:hAnsi="Times New Roman" w:cs="Times New Roman"/>
          <w:sz w:val="26"/>
          <w:szCs w:val="26"/>
          <w:u w:val="single"/>
        </w:rPr>
        <w:fldChar w:fldCharType="separate"/>
      </w:r>
      <w:r w:rsidR="00BB1625" w:rsidRPr="009D7AC0">
        <w:rPr>
          <w:rFonts w:ascii="Times New Roman" w:hAnsi="Times New Roman" w:cs="Times New Roman"/>
          <w:sz w:val="26"/>
          <w:szCs w:val="26"/>
          <w:u w:val="single"/>
        </w:rPr>
        <w:t>I. Abstract</w:t>
      </w:r>
      <w:r w:rsidRPr="009D7AC0">
        <w:rPr>
          <w:rFonts w:ascii="Times New Roman" w:hAnsi="Times New Roman" w:cs="Times New Roman"/>
          <w:sz w:val="26"/>
          <w:szCs w:val="26"/>
          <w:u w:val="single"/>
        </w:rPr>
        <w:fldChar w:fldCharType="end"/>
      </w:r>
      <w:bookmarkEnd w:id="1"/>
    </w:p>
    <w:p w:rsidR="00AE764D" w:rsidRPr="0019690A" w:rsidRDefault="00AE764D" w:rsidP="00AE764D"/>
    <w:p w:rsidR="00F16789" w:rsidRPr="007A659C" w:rsidRDefault="000F59B6" w:rsidP="000F59B6">
      <w:pPr>
        <w:rPr>
          <w:b/>
        </w:rPr>
      </w:pPr>
      <w:r w:rsidRPr="000F59B6">
        <w:rPr>
          <w:b/>
        </w:rPr>
        <w:t>A</w:t>
      </w:r>
      <w:r w:rsidRPr="007A659C">
        <w:rPr>
          <w:b/>
        </w:rPr>
        <w:t xml:space="preserve">. </w:t>
      </w:r>
      <w:r w:rsidR="00E20C60" w:rsidRPr="007A659C">
        <w:rPr>
          <w:b/>
        </w:rPr>
        <w:t xml:space="preserve">From Applicant </w:t>
      </w:r>
      <w:bookmarkStart w:id="2" w:name="_DV_C33"/>
    </w:p>
    <w:p w:rsidR="008500D6" w:rsidRPr="001E09AD" w:rsidRDefault="008500D6" w:rsidP="008500D6">
      <w:pPr>
        <w:autoSpaceDE w:val="0"/>
        <w:autoSpaceDN w:val="0"/>
        <w:adjustRightInd w:val="0"/>
        <w:rPr>
          <w:sz w:val="16"/>
          <w:szCs w:val="16"/>
        </w:rPr>
      </w:pPr>
      <w:bookmarkStart w:id="3" w:name="_DV_M23"/>
      <w:bookmarkStart w:id="4" w:name="_DV_M24"/>
      <w:bookmarkStart w:id="5" w:name="_DV_M25"/>
      <w:bookmarkStart w:id="6" w:name="_DV_M27"/>
      <w:bookmarkStart w:id="7" w:name="_DV_M29"/>
      <w:bookmarkStart w:id="8" w:name="_DV_M34"/>
      <w:bookmarkStart w:id="9" w:name="_DV_M35"/>
      <w:bookmarkStart w:id="10" w:name="_DV_M36"/>
      <w:bookmarkStart w:id="11" w:name="_DV_M37"/>
      <w:bookmarkEnd w:id="3"/>
      <w:bookmarkEnd w:id="4"/>
      <w:bookmarkEnd w:id="5"/>
      <w:bookmarkEnd w:id="6"/>
      <w:bookmarkEnd w:id="7"/>
      <w:bookmarkEnd w:id="8"/>
      <w:bookmarkEnd w:id="9"/>
      <w:bookmarkEnd w:id="10"/>
      <w:bookmarkEnd w:id="11"/>
    </w:p>
    <w:p w:rsidR="00A01541" w:rsidRPr="000F59B6" w:rsidRDefault="000F59B6" w:rsidP="00A01541">
      <w:pPr>
        <w:jc w:val="both"/>
        <w:rPr>
          <w:sz w:val="22"/>
          <w:szCs w:val="22"/>
        </w:rPr>
      </w:pPr>
      <w:bookmarkStart w:id="12" w:name="_DV_M72"/>
      <w:bookmarkStart w:id="13" w:name="_Ref195319930"/>
      <w:bookmarkEnd w:id="2"/>
      <w:bookmarkEnd w:id="12"/>
      <w:r w:rsidRPr="000F59B6">
        <w:rPr>
          <w:sz w:val="22"/>
          <w:szCs w:val="22"/>
        </w:rPr>
        <w:t>“</w:t>
      </w:r>
      <w:r w:rsidR="00A01541" w:rsidRPr="000F59B6">
        <w:rPr>
          <w:sz w:val="22"/>
          <w:szCs w:val="22"/>
        </w:rPr>
        <w:t>Cummings Health Care Facility, Inc. (CHCF) operates a 34-bed nursing and a 20-bed residential care facility in Howland, Maine. This facility has been a vital part of the community of Howland, Enfield, Maxfield, Medford, Seboeis, Lowell, Burlington, Passadumkeag, Greenbush, Costigan, Millinocket and Lincoln since the late 1950’s. The Cummings family has owned and operated the business since 1973. The facility has consistently complied with both Federal and State regulations. Located in a very rural community in northern Penobscot County, CHCF provides a necessary service to the frail and elderly, rehabilitation services to the population after surgery or illness and various career opportunities. CHCF is one of the largest employers in Howland, second only to the public school system. CHCF has a presence in the area for community involvement with area schools, Boys and Girl Scouts, Vocational Education Programs, churches and other civic organizations. The facility has always prided itself on being a positive, stable environment for those needing services, those seeking good paying jobs and a resource for learning by encouraging an open door policy for those needing guidance for health care.</w:t>
      </w:r>
      <w:r w:rsidRPr="000F59B6">
        <w:rPr>
          <w:sz w:val="22"/>
          <w:szCs w:val="22"/>
        </w:rPr>
        <w:t>”</w:t>
      </w:r>
      <w:r w:rsidR="00A01541" w:rsidRPr="000F59B6">
        <w:rPr>
          <w:sz w:val="22"/>
          <w:szCs w:val="22"/>
        </w:rPr>
        <w:t xml:space="preserve"> </w:t>
      </w:r>
    </w:p>
    <w:p w:rsidR="00A01541" w:rsidRPr="000F59B6" w:rsidRDefault="00A01541" w:rsidP="00A01541">
      <w:pPr>
        <w:jc w:val="both"/>
        <w:rPr>
          <w:sz w:val="22"/>
          <w:szCs w:val="22"/>
        </w:rPr>
      </w:pPr>
    </w:p>
    <w:p w:rsidR="00A01541" w:rsidRPr="000F59B6" w:rsidRDefault="000F59B6" w:rsidP="00A01541">
      <w:pPr>
        <w:jc w:val="both"/>
        <w:rPr>
          <w:sz w:val="22"/>
          <w:szCs w:val="22"/>
        </w:rPr>
      </w:pPr>
      <w:r w:rsidRPr="000F59B6">
        <w:rPr>
          <w:sz w:val="22"/>
          <w:szCs w:val="22"/>
        </w:rPr>
        <w:t>“</w:t>
      </w:r>
      <w:r w:rsidR="00A01541" w:rsidRPr="000F59B6">
        <w:rPr>
          <w:sz w:val="22"/>
          <w:szCs w:val="22"/>
        </w:rPr>
        <w:t>The proposed project involves transferring the remaining 32 shares of CHCF currently owned by Fern P. Cummings to Melinda E. and David B. Goslin. The transfer of the remaining shares will give control to Melinda and David Goslin who currently own 68 shares between them. The transfer of the remaining shares as well as the deeding of the remaining one-third interest in the proprietors’ leased assets will facilitate the refinancing of the outstanding mortgage notes with TD Bank which balloon in September.</w:t>
      </w:r>
      <w:r w:rsidR="00283C25">
        <w:rPr>
          <w:sz w:val="22"/>
          <w:szCs w:val="22"/>
        </w:rPr>
        <w:t>”</w:t>
      </w:r>
      <w:r w:rsidR="00A01541" w:rsidRPr="000F59B6">
        <w:rPr>
          <w:sz w:val="22"/>
          <w:szCs w:val="22"/>
        </w:rPr>
        <w:t xml:space="preserve">  </w:t>
      </w:r>
    </w:p>
    <w:p w:rsidR="00A01541" w:rsidRPr="000F59B6" w:rsidRDefault="00A01541" w:rsidP="00A01541">
      <w:pPr>
        <w:jc w:val="both"/>
        <w:rPr>
          <w:sz w:val="22"/>
          <w:szCs w:val="22"/>
        </w:rPr>
      </w:pPr>
    </w:p>
    <w:p w:rsidR="00A01541" w:rsidRPr="000F59B6" w:rsidRDefault="00283C25" w:rsidP="00A01541">
      <w:pPr>
        <w:jc w:val="both"/>
        <w:rPr>
          <w:sz w:val="22"/>
          <w:szCs w:val="22"/>
        </w:rPr>
      </w:pPr>
      <w:r>
        <w:rPr>
          <w:sz w:val="22"/>
          <w:szCs w:val="22"/>
        </w:rPr>
        <w:t>“</w:t>
      </w:r>
      <w:r w:rsidR="00A01541" w:rsidRPr="000F59B6">
        <w:rPr>
          <w:sz w:val="22"/>
          <w:szCs w:val="22"/>
        </w:rPr>
        <w:t>The following table summarizes ownership in both CHCF and proprietors’ leased asset before and after the proposed transaction:</w:t>
      </w:r>
    </w:p>
    <w:p w:rsidR="00A01541" w:rsidRPr="000F59B6" w:rsidRDefault="00A01541" w:rsidP="00A01541">
      <w:pPr>
        <w:jc w:val="both"/>
        <w:rPr>
          <w:sz w:val="22"/>
          <w:szCs w:val="22"/>
        </w:rPr>
      </w:pPr>
    </w:p>
    <w:tbl>
      <w:tblPr>
        <w:tblW w:w="0" w:type="auto"/>
        <w:tblInd w:w="198" w:type="dxa"/>
        <w:tblLayout w:type="fixed"/>
        <w:tblLook w:val="04A0" w:firstRow="1" w:lastRow="0" w:firstColumn="1" w:lastColumn="0" w:noHBand="0" w:noVBand="1"/>
      </w:tblPr>
      <w:tblGrid>
        <w:gridCol w:w="2070"/>
        <w:gridCol w:w="1440"/>
        <w:gridCol w:w="1350"/>
      </w:tblGrid>
      <w:tr w:rsidR="00A01541" w:rsidRPr="000F59B6" w:rsidTr="00F61C34">
        <w:tc>
          <w:tcPr>
            <w:tcW w:w="2070" w:type="dxa"/>
            <w:shd w:val="clear" w:color="auto" w:fill="auto"/>
          </w:tcPr>
          <w:p w:rsidR="00A01541" w:rsidRPr="000F59B6" w:rsidRDefault="00A01541" w:rsidP="00BE6DEE">
            <w:pPr>
              <w:jc w:val="both"/>
              <w:rPr>
                <w:b/>
                <w:sz w:val="22"/>
                <w:szCs w:val="22"/>
              </w:rPr>
            </w:pPr>
            <w:r w:rsidRPr="000F59B6">
              <w:rPr>
                <w:b/>
                <w:sz w:val="22"/>
                <w:szCs w:val="22"/>
              </w:rPr>
              <w:t>CHCF</w:t>
            </w:r>
          </w:p>
        </w:tc>
        <w:tc>
          <w:tcPr>
            <w:tcW w:w="1440" w:type="dxa"/>
            <w:shd w:val="clear" w:color="auto" w:fill="auto"/>
          </w:tcPr>
          <w:p w:rsidR="00A01541" w:rsidRPr="000F59B6" w:rsidRDefault="00A01541" w:rsidP="00BE6DEE">
            <w:pPr>
              <w:jc w:val="center"/>
              <w:rPr>
                <w:sz w:val="22"/>
                <w:szCs w:val="22"/>
              </w:rPr>
            </w:pPr>
            <w:r w:rsidRPr="000F59B6">
              <w:rPr>
                <w:sz w:val="22"/>
                <w:szCs w:val="22"/>
              </w:rPr>
              <w:t>Current</w:t>
            </w:r>
          </w:p>
          <w:p w:rsidR="00A01541" w:rsidRPr="000F59B6" w:rsidRDefault="00A01541" w:rsidP="00BE6DEE">
            <w:pPr>
              <w:jc w:val="center"/>
              <w:rPr>
                <w:sz w:val="22"/>
                <w:szCs w:val="22"/>
                <w:u w:val="single"/>
              </w:rPr>
            </w:pPr>
            <w:r w:rsidRPr="000F59B6">
              <w:rPr>
                <w:sz w:val="22"/>
                <w:szCs w:val="22"/>
                <w:u w:val="single"/>
              </w:rPr>
              <w:t>Ownership</w:t>
            </w:r>
          </w:p>
        </w:tc>
        <w:tc>
          <w:tcPr>
            <w:tcW w:w="1350" w:type="dxa"/>
            <w:shd w:val="clear" w:color="auto" w:fill="auto"/>
          </w:tcPr>
          <w:p w:rsidR="00A01541" w:rsidRPr="000F59B6" w:rsidRDefault="00A01541" w:rsidP="00BE6DEE">
            <w:pPr>
              <w:jc w:val="center"/>
              <w:rPr>
                <w:sz w:val="22"/>
                <w:szCs w:val="22"/>
              </w:rPr>
            </w:pPr>
            <w:r w:rsidRPr="000F59B6">
              <w:rPr>
                <w:sz w:val="22"/>
                <w:szCs w:val="22"/>
              </w:rPr>
              <w:t>Proposed</w:t>
            </w:r>
          </w:p>
          <w:p w:rsidR="00A01541" w:rsidRPr="000F59B6" w:rsidRDefault="00A01541" w:rsidP="00BE6DEE">
            <w:pPr>
              <w:jc w:val="center"/>
              <w:rPr>
                <w:sz w:val="22"/>
                <w:szCs w:val="22"/>
                <w:u w:val="single"/>
              </w:rPr>
            </w:pPr>
            <w:r w:rsidRPr="000F59B6">
              <w:rPr>
                <w:sz w:val="22"/>
                <w:szCs w:val="22"/>
                <w:u w:val="single"/>
              </w:rPr>
              <w:t>Ownership</w:t>
            </w:r>
          </w:p>
        </w:tc>
      </w:tr>
      <w:tr w:rsidR="00A01541" w:rsidRPr="000F59B6" w:rsidTr="00F61C34">
        <w:tc>
          <w:tcPr>
            <w:tcW w:w="2070" w:type="dxa"/>
            <w:shd w:val="clear" w:color="auto" w:fill="auto"/>
          </w:tcPr>
          <w:p w:rsidR="00A01541" w:rsidRPr="000F59B6" w:rsidRDefault="00A01541" w:rsidP="00BE6DEE">
            <w:pPr>
              <w:tabs>
                <w:tab w:val="left" w:pos="270"/>
              </w:tabs>
              <w:jc w:val="both"/>
              <w:rPr>
                <w:sz w:val="22"/>
                <w:szCs w:val="22"/>
              </w:rPr>
            </w:pPr>
          </w:p>
        </w:tc>
        <w:tc>
          <w:tcPr>
            <w:tcW w:w="1440" w:type="dxa"/>
            <w:shd w:val="clear" w:color="auto" w:fill="auto"/>
          </w:tcPr>
          <w:p w:rsidR="00A01541" w:rsidRPr="000F59B6" w:rsidRDefault="00A01541" w:rsidP="00BE6DEE">
            <w:pPr>
              <w:tabs>
                <w:tab w:val="decimal" w:pos="2268"/>
              </w:tabs>
              <w:jc w:val="both"/>
              <w:rPr>
                <w:sz w:val="22"/>
                <w:szCs w:val="22"/>
              </w:rPr>
            </w:pPr>
          </w:p>
        </w:tc>
        <w:tc>
          <w:tcPr>
            <w:tcW w:w="1350" w:type="dxa"/>
            <w:shd w:val="clear" w:color="auto" w:fill="auto"/>
          </w:tcPr>
          <w:p w:rsidR="00A01541" w:rsidRPr="000F59B6" w:rsidRDefault="00A01541" w:rsidP="00BE6DEE">
            <w:pPr>
              <w:tabs>
                <w:tab w:val="decimal" w:pos="2376"/>
              </w:tabs>
              <w:jc w:val="both"/>
              <w:rPr>
                <w:sz w:val="22"/>
                <w:szCs w:val="22"/>
              </w:rPr>
            </w:pPr>
          </w:p>
        </w:tc>
      </w:tr>
      <w:tr w:rsidR="00A01541" w:rsidRPr="000F59B6" w:rsidTr="00F61C34">
        <w:tc>
          <w:tcPr>
            <w:tcW w:w="2070" w:type="dxa"/>
            <w:shd w:val="clear" w:color="auto" w:fill="auto"/>
          </w:tcPr>
          <w:p w:rsidR="00A01541" w:rsidRPr="000F59B6" w:rsidRDefault="00A01541" w:rsidP="00BE6DEE">
            <w:pPr>
              <w:tabs>
                <w:tab w:val="left" w:pos="270"/>
              </w:tabs>
              <w:jc w:val="both"/>
              <w:rPr>
                <w:sz w:val="22"/>
                <w:szCs w:val="22"/>
              </w:rPr>
            </w:pPr>
            <w:r w:rsidRPr="000F59B6">
              <w:rPr>
                <w:sz w:val="22"/>
                <w:szCs w:val="22"/>
              </w:rPr>
              <w:t xml:space="preserve"> Fern P. Cummings</w:t>
            </w:r>
          </w:p>
        </w:tc>
        <w:tc>
          <w:tcPr>
            <w:tcW w:w="1440" w:type="dxa"/>
            <w:shd w:val="clear" w:color="auto" w:fill="auto"/>
          </w:tcPr>
          <w:p w:rsidR="00A01541" w:rsidRPr="000F59B6" w:rsidRDefault="00A01541" w:rsidP="00F61C34">
            <w:pPr>
              <w:tabs>
                <w:tab w:val="decimal" w:pos="972"/>
                <w:tab w:val="decimal" w:pos="2268"/>
              </w:tabs>
              <w:jc w:val="center"/>
              <w:rPr>
                <w:sz w:val="22"/>
                <w:szCs w:val="22"/>
              </w:rPr>
            </w:pPr>
            <w:r w:rsidRPr="000F59B6">
              <w:rPr>
                <w:sz w:val="22"/>
                <w:szCs w:val="22"/>
              </w:rPr>
              <w:t>32</w:t>
            </w:r>
          </w:p>
        </w:tc>
        <w:tc>
          <w:tcPr>
            <w:tcW w:w="1350" w:type="dxa"/>
            <w:shd w:val="clear" w:color="auto" w:fill="auto"/>
          </w:tcPr>
          <w:p w:rsidR="00A01541" w:rsidRPr="000F59B6" w:rsidRDefault="00A01541" w:rsidP="00F61C34">
            <w:pPr>
              <w:tabs>
                <w:tab w:val="right" w:pos="522"/>
                <w:tab w:val="decimal" w:pos="1062"/>
                <w:tab w:val="decimal" w:pos="2376"/>
              </w:tabs>
              <w:jc w:val="center"/>
              <w:rPr>
                <w:sz w:val="22"/>
                <w:szCs w:val="22"/>
              </w:rPr>
            </w:pPr>
            <w:r w:rsidRPr="000F59B6">
              <w:rPr>
                <w:sz w:val="22"/>
                <w:szCs w:val="22"/>
              </w:rPr>
              <w:t>0</w:t>
            </w:r>
          </w:p>
        </w:tc>
      </w:tr>
      <w:tr w:rsidR="00A01541" w:rsidRPr="000F59B6" w:rsidTr="00F61C34">
        <w:tc>
          <w:tcPr>
            <w:tcW w:w="2070" w:type="dxa"/>
            <w:shd w:val="clear" w:color="auto" w:fill="auto"/>
          </w:tcPr>
          <w:p w:rsidR="00A01541" w:rsidRPr="000F59B6" w:rsidRDefault="00A01541" w:rsidP="00BE6DEE">
            <w:pPr>
              <w:tabs>
                <w:tab w:val="left" w:pos="270"/>
              </w:tabs>
              <w:jc w:val="both"/>
              <w:rPr>
                <w:sz w:val="22"/>
                <w:szCs w:val="22"/>
              </w:rPr>
            </w:pPr>
            <w:r w:rsidRPr="000F59B6">
              <w:rPr>
                <w:sz w:val="22"/>
                <w:szCs w:val="22"/>
              </w:rPr>
              <w:t xml:space="preserve"> Melinda E. Goslin</w:t>
            </w:r>
          </w:p>
        </w:tc>
        <w:tc>
          <w:tcPr>
            <w:tcW w:w="1440" w:type="dxa"/>
            <w:shd w:val="clear" w:color="auto" w:fill="auto"/>
          </w:tcPr>
          <w:p w:rsidR="00A01541" w:rsidRPr="000F59B6" w:rsidRDefault="00A01541" w:rsidP="00F61C34">
            <w:pPr>
              <w:tabs>
                <w:tab w:val="decimal" w:pos="972"/>
                <w:tab w:val="decimal" w:pos="2268"/>
              </w:tabs>
              <w:jc w:val="center"/>
              <w:rPr>
                <w:sz w:val="22"/>
                <w:szCs w:val="22"/>
              </w:rPr>
            </w:pPr>
            <w:r w:rsidRPr="000F59B6">
              <w:rPr>
                <w:sz w:val="22"/>
                <w:szCs w:val="22"/>
              </w:rPr>
              <w:t>34</w:t>
            </w:r>
          </w:p>
        </w:tc>
        <w:tc>
          <w:tcPr>
            <w:tcW w:w="1350" w:type="dxa"/>
            <w:shd w:val="clear" w:color="auto" w:fill="auto"/>
          </w:tcPr>
          <w:p w:rsidR="00A01541" w:rsidRPr="000F59B6" w:rsidRDefault="00A01541" w:rsidP="00F61C34">
            <w:pPr>
              <w:tabs>
                <w:tab w:val="right" w:pos="522"/>
                <w:tab w:val="decimal" w:pos="1062"/>
                <w:tab w:val="decimal" w:pos="2376"/>
              </w:tabs>
              <w:jc w:val="center"/>
              <w:rPr>
                <w:sz w:val="22"/>
                <w:szCs w:val="22"/>
              </w:rPr>
            </w:pPr>
            <w:r w:rsidRPr="000F59B6">
              <w:rPr>
                <w:sz w:val="22"/>
                <w:szCs w:val="22"/>
              </w:rPr>
              <w:t>50</w:t>
            </w:r>
          </w:p>
        </w:tc>
      </w:tr>
      <w:tr w:rsidR="00A01541" w:rsidRPr="000F59B6" w:rsidTr="00F61C34">
        <w:tc>
          <w:tcPr>
            <w:tcW w:w="2070" w:type="dxa"/>
            <w:shd w:val="clear" w:color="auto" w:fill="auto"/>
          </w:tcPr>
          <w:p w:rsidR="00A01541" w:rsidRPr="000F59B6" w:rsidRDefault="00A01541" w:rsidP="00BE6DEE">
            <w:pPr>
              <w:tabs>
                <w:tab w:val="left" w:pos="270"/>
              </w:tabs>
              <w:jc w:val="both"/>
              <w:rPr>
                <w:sz w:val="22"/>
                <w:szCs w:val="22"/>
              </w:rPr>
            </w:pPr>
            <w:r w:rsidRPr="000F59B6">
              <w:rPr>
                <w:sz w:val="22"/>
                <w:szCs w:val="22"/>
              </w:rPr>
              <w:t xml:space="preserve"> David B. Goslin</w:t>
            </w:r>
          </w:p>
        </w:tc>
        <w:tc>
          <w:tcPr>
            <w:tcW w:w="1440" w:type="dxa"/>
            <w:shd w:val="clear" w:color="auto" w:fill="auto"/>
          </w:tcPr>
          <w:p w:rsidR="00A01541" w:rsidRPr="000F59B6" w:rsidRDefault="00A01541" w:rsidP="00F61C34">
            <w:pPr>
              <w:tabs>
                <w:tab w:val="right" w:pos="627"/>
                <w:tab w:val="decimal" w:pos="972"/>
                <w:tab w:val="decimal" w:pos="2268"/>
              </w:tabs>
              <w:jc w:val="center"/>
              <w:rPr>
                <w:sz w:val="22"/>
                <w:szCs w:val="22"/>
                <w:u w:val="single"/>
              </w:rPr>
            </w:pPr>
            <w:r w:rsidRPr="000F59B6">
              <w:rPr>
                <w:sz w:val="22"/>
                <w:szCs w:val="22"/>
                <w:u w:val="single"/>
              </w:rPr>
              <w:t>34</w:t>
            </w:r>
          </w:p>
        </w:tc>
        <w:tc>
          <w:tcPr>
            <w:tcW w:w="1350" w:type="dxa"/>
            <w:shd w:val="clear" w:color="auto" w:fill="auto"/>
          </w:tcPr>
          <w:p w:rsidR="00A01541" w:rsidRPr="000F59B6" w:rsidRDefault="00A01541" w:rsidP="00F61C34">
            <w:pPr>
              <w:tabs>
                <w:tab w:val="right" w:pos="702"/>
                <w:tab w:val="decimal" w:pos="1062"/>
                <w:tab w:val="decimal" w:pos="2376"/>
              </w:tabs>
              <w:jc w:val="center"/>
              <w:rPr>
                <w:sz w:val="22"/>
                <w:szCs w:val="22"/>
                <w:u w:val="single"/>
              </w:rPr>
            </w:pPr>
            <w:r w:rsidRPr="000F59B6">
              <w:rPr>
                <w:sz w:val="22"/>
                <w:szCs w:val="22"/>
                <w:u w:val="single"/>
              </w:rPr>
              <w:t>50</w:t>
            </w:r>
          </w:p>
        </w:tc>
      </w:tr>
      <w:tr w:rsidR="00A01541" w:rsidRPr="000F59B6" w:rsidTr="00F61C34">
        <w:tc>
          <w:tcPr>
            <w:tcW w:w="2070" w:type="dxa"/>
            <w:shd w:val="clear" w:color="auto" w:fill="auto"/>
          </w:tcPr>
          <w:p w:rsidR="00A01541" w:rsidRPr="000F59B6" w:rsidRDefault="00A01541" w:rsidP="00BE6DEE">
            <w:pPr>
              <w:jc w:val="both"/>
              <w:rPr>
                <w:sz w:val="22"/>
                <w:szCs w:val="22"/>
              </w:rPr>
            </w:pPr>
          </w:p>
        </w:tc>
        <w:tc>
          <w:tcPr>
            <w:tcW w:w="1440" w:type="dxa"/>
            <w:shd w:val="clear" w:color="auto" w:fill="auto"/>
          </w:tcPr>
          <w:p w:rsidR="00A01541" w:rsidRPr="000F59B6" w:rsidRDefault="00A01541" w:rsidP="00F61C34">
            <w:pPr>
              <w:tabs>
                <w:tab w:val="right" w:pos="627"/>
                <w:tab w:val="decimal" w:pos="972"/>
                <w:tab w:val="decimal" w:pos="2268"/>
              </w:tabs>
              <w:jc w:val="center"/>
              <w:rPr>
                <w:sz w:val="22"/>
                <w:szCs w:val="22"/>
              </w:rPr>
            </w:pPr>
          </w:p>
        </w:tc>
        <w:tc>
          <w:tcPr>
            <w:tcW w:w="1350" w:type="dxa"/>
            <w:shd w:val="clear" w:color="auto" w:fill="auto"/>
          </w:tcPr>
          <w:p w:rsidR="00A01541" w:rsidRPr="000F59B6" w:rsidRDefault="00A01541" w:rsidP="00F61C34">
            <w:pPr>
              <w:tabs>
                <w:tab w:val="right" w:pos="702"/>
                <w:tab w:val="decimal" w:pos="1062"/>
                <w:tab w:val="decimal" w:pos="2376"/>
              </w:tabs>
              <w:jc w:val="center"/>
              <w:rPr>
                <w:sz w:val="22"/>
                <w:szCs w:val="22"/>
              </w:rPr>
            </w:pPr>
          </w:p>
        </w:tc>
      </w:tr>
      <w:tr w:rsidR="00A01541" w:rsidRPr="000F59B6" w:rsidTr="00F61C34">
        <w:tc>
          <w:tcPr>
            <w:tcW w:w="2070" w:type="dxa"/>
            <w:shd w:val="clear" w:color="auto" w:fill="auto"/>
          </w:tcPr>
          <w:p w:rsidR="00A01541" w:rsidRPr="000F59B6" w:rsidRDefault="00F61C34" w:rsidP="00BE6DEE">
            <w:pPr>
              <w:tabs>
                <w:tab w:val="left" w:pos="1065"/>
              </w:tabs>
              <w:rPr>
                <w:sz w:val="22"/>
                <w:szCs w:val="22"/>
              </w:rPr>
            </w:pPr>
            <w:r>
              <w:rPr>
                <w:sz w:val="22"/>
                <w:szCs w:val="22"/>
              </w:rPr>
              <w:t xml:space="preserve">          </w:t>
            </w:r>
            <w:r w:rsidR="00A01541" w:rsidRPr="000F59B6">
              <w:rPr>
                <w:sz w:val="22"/>
                <w:szCs w:val="22"/>
              </w:rPr>
              <w:t>Total (shares)</w:t>
            </w:r>
          </w:p>
        </w:tc>
        <w:tc>
          <w:tcPr>
            <w:tcW w:w="1440" w:type="dxa"/>
            <w:shd w:val="clear" w:color="auto" w:fill="auto"/>
          </w:tcPr>
          <w:p w:rsidR="00A01541" w:rsidRPr="000F59B6" w:rsidRDefault="00A01541" w:rsidP="00F61C34">
            <w:pPr>
              <w:tabs>
                <w:tab w:val="right" w:pos="627"/>
                <w:tab w:val="decimal" w:pos="972"/>
                <w:tab w:val="decimal" w:pos="2268"/>
              </w:tabs>
              <w:jc w:val="center"/>
              <w:rPr>
                <w:sz w:val="22"/>
                <w:szCs w:val="22"/>
                <w:u w:val="double"/>
              </w:rPr>
            </w:pPr>
            <w:r w:rsidRPr="000F59B6">
              <w:rPr>
                <w:sz w:val="22"/>
                <w:szCs w:val="22"/>
                <w:u w:val="double"/>
              </w:rPr>
              <w:t>100</w:t>
            </w:r>
          </w:p>
        </w:tc>
        <w:tc>
          <w:tcPr>
            <w:tcW w:w="1350" w:type="dxa"/>
            <w:shd w:val="clear" w:color="auto" w:fill="auto"/>
          </w:tcPr>
          <w:p w:rsidR="00A01541" w:rsidRPr="000F59B6" w:rsidRDefault="00A01541" w:rsidP="00F61C34">
            <w:pPr>
              <w:tabs>
                <w:tab w:val="right" w:pos="702"/>
                <w:tab w:val="decimal" w:pos="1062"/>
                <w:tab w:val="decimal" w:pos="2376"/>
              </w:tabs>
              <w:jc w:val="center"/>
              <w:rPr>
                <w:sz w:val="22"/>
                <w:szCs w:val="22"/>
                <w:u w:val="double"/>
              </w:rPr>
            </w:pPr>
            <w:r w:rsidRPr="000F59B6">
              <w:rPr>
                <w:sz w:val="22"/>
                <w:szCs w:val="22"/>
                <w:u w:val="double"/>
              </w:rPr>
              <w:t>100</w:t>
            </w:r>
          </w:p>
        </w:tc>
      </w:tr>
    </w:tbl>
    <w:tbl>
      <w:tblPr>
        <w:tblpPr w:leftFromText="180" w:rightFromText="180" w:vertAnchor="text" w:horzAnchor="page" w:tblpX="6966" w:tblpY="-2032"/>
        <w:tblW w:w="0" w:type="auto"/>
        <w:tblLayout w:type="fixed"/>
        <w:tblLook w:val="04A0" w:firstRow="1" w:lastRow="0" w:firstColumn="1" w:lastColumn="0" w:noHBand="0" w:noVBand="1"/>
      </w:tblPr>
      <w:tblGrid>
        <w:gridCol w:w="1998"/>
        <w:gridCol w:w="1224"/>
        <w:gridCol w:w="1368"/>
      </w:tblGrid>
      <w:tr w:rsidR="00F61C34" w:rsidRPr="000F59B6" w:rsidTr="00F61C34">
        <w:tc>
          <w:tcPr>
            <w:tcW w:w="1998" w:type="dxa"/>
            <w:shd w:val="clear" w:color="auto" w:fill="auto"/>
          </w:tcPr>
          <w:p w:rsidR="00F61C34" w:rsidRPr="000F59B6" w:rsidRDefault="00F61C34" w:rsidP="00F61C34">
            <w:pPr>
              <w:jc w:val="both"/>
              <w:rPr>
                <w:b/>
                <w:sz w:val="22"/>
                <w:szCs w:val="22"/>
              </w:rPr>
            </w:pPr>
            <w:r w:rsidRPr="000F59B6">
              <w:rPr>
                <w:b/>
                <w:sz w:val="22"/>
                <w:szCs w:val="22"/>
              </w:rPr>
              <w:t>Proprietors’ Leased Assets</w:t>
            </w:r>
          </w:p>
        </w:tc>
        <w:tc>
          <w:tcPr>
            <w:tcW w:w="1224" w:type="dxa"/>
            <w:shd w:val="clear" w:color="auto" w:fill="auto"/>
          </w:tcPr>
          <w:p w:rsidR="00F61C34" w:rsidRPr="000F59B6" w:rsidRDefault="00F61C34" w:rsidP="00F61C34">
            <w:pPr>
              <w:jc w:val="center"/>
              <w:rPr>
                <w:sz w:val="22"/>
                <w:szCs w:val="22"/>
                <w:u w:val="single"/>
              </w:rPr>
            </w:pPr>
            <w:r w:rsidRPr="000F59B6">
              <w:rPr>
                <w:sz w:val="22"/>
                <w:szCs w:val="22"/>
              </w:rPr>
              <w:t>Current</w:t>
            </w:r>
            <w:r w:rsidRPr="000F59B6">
              <w:rPr>
                <w:sz w:val="22"/>
                <w:szCs w:val="22"/>
                <w:u w:val="single"/>
              </w:rPr>
              <w:t xml:space="preserve"> Ownership</w:t>
            </w:r>
          </w:p>
        </w:tc>
        <w:tc>
          <w:tcPr>
            <w:tcW w:w="1368" w:type="dxa"/>
            <w:shd w:val="clear" w:color="auto" w:fill="auto"/>
          </w:tcPr>
          <w:p w:rsidR="00F61C34" w:rsidRPr="000F59B6" w:rsidRDefault="00F61C34" w:rsidP="00F61C34">
            <w:pPr>
              <w:jc w:val="center"/>
              <w:rPr>
                <w:sz w:val="22"/>
                <w:szCs w:val="22"/>
                <w:u w:val="single"/>
              </w:rPr>
            </w:pPr>
            <w:r w:rsidRPr="000F59B6">
              <w:rPr>
                <w:sz w:val="22"/>
                <w:szCs w:val="22"/>
              </w:rPr>
              <w:t xml:space="preserve">Proposed </w:t>
            </w:r>
            <w:r w:rsidRPr="000F59B6">
              <w:rPr>
                <w:sz w:val="22"/>
                <w:szCs w:val="22"/>
                <w:u w:val="single"/>
              </w:rPr>
              <w:t>Ownership</w:t>
            </w:r>
          </w:p>
        </w:tc>
      </w:tr>
      <w:tr w:rsidR="00F61C34" w:rsidRPr="000F59B6" w:rsidTr="00F61C34">
        <w:tc>
          <w:tcPr>
            <w:tcW w:w="1998" w:type="dxa"/>
            <w:shd w:val="clear" w:color="auto" w:fill="auto"/>
          </w:tcPr>
          <w:p w:rsidR="00F61C34" w:rsidRPr="000F59B6" w:rsidRDefault="00F61C34" w:rsidP="00F61C34">
            <w:pPr>
              <w:tabs>
                <w:tab w:val="left" w:pos="270"/>
              </w:tabs>
              <w:jc w:val="both"/>
              <w:rPr>
                <w:sz w:val="22"/>
                <w:szCs w:val="22"/>
              </w:rPr>
            </w:pPr>
          </w:p>
        </w:tc>
        <w:tc>
          <w:tcPr>
            <w:tcW w:w="1224" w:type="dxa"/>
            <w:shd w:val="clear" w:color="auto" w:fill="auto"/>
          </w:tcPr>
          <w:p w:rsidR="00F61C34" w:rsidRPr="000F59B6" w:rsidRDefault="00F61C34" w:rsidP="00F61C34">
            <w:pPr>
              <w:tabs>
                <w:tab w:val="decimal" w:pos="2268"/>
              </w:tabs>
              <w:jc w:val="both"/>
              <w:rPr>
                <w:sz w:val="22"/>
                <w:szCs w:val="22"/>
              </w:rPr>
            </w:pPr>
          </w:p>
        </w:tc>
        <w:tc>
          <w:tcPr>
            <w:tcW w:w="1368" w:type="dxa"/>
            <w:shd w:val="clear" w:color="auto" w:fill="auto"/>
          </w:tcPr>
          <w:p w:rsidR="00F61C34" w:rsidRPr="000F59B6" w:rsidRDefault="00F61C34" w:rsidP="00F61C34">
            <w:pPr>
              <w:tabs>
                <w:tab w:val="decimal" w:pos="2376"/>
              </w:tabs>
              <w:jc w:val="both"/>
              <w:rPr>
                <w:sz w:val="22"/>
                <w:szCs w:val="22"/>
              </w:rPr>
            </w:pPr>
          </w:p>
        </w:tc>
      </w:tr>
      <w:tr w:rsidR="00F61C34" w:rsidRPr="000F59B6" w:rsidTr="00F61C34">
        <w:tc>
          <w:tcPr>
            <w:tcW w:w="1998" w:type="dxa"/>
            <w:shd w:val="clear" w:color="auto" w:fill="auto"/>
          </w:tcPr>
          <w:p w:rsidR="00F61C34" w:rsidRPr="000F59B6" w:rsidRDefault="00F61C34" w:rsidP="00F61C34">
            <w:pPr>
              <w:tabs>
                <w:tab w:val="left" w:pos="270"/>
              </w:tabs>
              <w:jc w:val="both"/>
              <w:rPr>
                <w:sz w:val="22"/>
                <w:szCs w:val="22"/>
              </w:rPr>
            </w:pPr>
            <w:r w:rsidRPr="000F59B6">
              <w:rPr>
                <w:sz w:val="22"/>
                <w:szCs w:val="22"/>
              </w:rPr>
              <w:t xml:space="preserve"> Fern P. Cummings</w:t>
            </w:r>
          </w:p>
        </w:tc>
        <w:tc>
          <w:tcPr>
            <w:tcW w:w="1224" w:type="dxa"/>
            <w:shd w:val="clear" w:color="auto" w:fill="auto"/>
          </w:tcPr>
          <w:p w:rsidR="00F61C34" w:rsidRPr="000F59B6" w:rsidRDefault="00F61C34" w:rsidP="00F61C34">
            <w:pPr>
              <w:tabs>
                <w:tab w:val="right" w:pos="0"/>
                <w:tab w:val="decimal" w:pos="972"/>
                <w:tab w:val="decimal" w:pos="2268"/>
              </w:tabs>
              <w:ind w:right="162"/>
              <w:jc w:val="center"/>
              <w:rPr>
                <w:sz w:val="22"/>
                <w:szCs w:val="22"/>
              </w:rPr>
            </w:pPr>
            <w:r w:rsidRPr="000F59B6">
              <w:rPr>
                <w:sz w:val="22"/>
                <w:szCs w:val="22"/>
              </w:rPr>
              <w:t>34%</w:t>
            </w:r>
          </w:p>
        </w:tc>
        <w:tc>
          <w:tcPr>
            <w:tcW w:w="1368" w:type="dxa"/>
            <w:shd w:val="clear" w:color="auto" w:fill="auto"/>
          </w:tcPr>
          <w:p w:rsidR="00F61C34" w:rsidRPr="000F59B6" w:rsidRDefault="00F61C34" w:rsidP="00F61C34">
            <w:pPr>
              <w:tabs>
                <w:tab w:val="right" w:pos="0"/>
                <w:tab w:val="decimal" w:pos="1077"/>
                <w:tab w:val="decimal" w:pos="2376"/>
              </w:tabs>
              <w:jc w:val="center"/>
              <w:rPr>
                <w:sz w:val="22"/>
                <w:szCs w:val="22"/>
              </w:rPr>
            </w:pPr>
            <w:r w:rsidRPr="000F59B6">
              <w:rPr>
                <w:sz w:val="22"/>
                <w:szCs w:val="22"/>
              </w:rPr>
              <w:t>0%</w:t>
            </w:r>
          </w:p>
        </w:tc>
      </w:tr>
      <w:tr w:rsidR="00F61C34" w:rsidRPr="000F59B6" w:rsidTr="00F61C34">
        <w:tc>
          <w:tcPr>
            <w:tcW w:w="1998" w:type="dxa"/>
            <w:shd w:val="clear" w:color="auto" w:fill="auto"/>
          </w:tcPr>
          <w:p w:rsidR="00F61C34" w:rsidRPr="000F59B6" w:rsidRDefault="00F61C34" w:rsidP="00F61C34">
            <w:pPr>
              <w:tabs>
                <w:tab w:val="left" w:pos="270"/>
              </w:tabs>
              <w:jc w:val="both"/>
              <w:rPr>
                <w:sz w:val="22"/>
                <w:szCs w:val="22"/>
              </w:rPr>
            </w:pPr>
            <w:r w:rsidRPr="000F59B6">
              <w:rPr>
                <w:sz w:val="22"/>
                <w:szCs w:val="22"/>
              </w:rPr>
              <w:t xml:space="preserve"> Melinda E. Goslin</w:t>
            </w:r>
          </w:p>
        </w:tc>
        <w:tc>
          <w:tcPr>
            <w:tcW w:w="1224" w:type="dxa"/>
            <w:shd w:val="clear" w:color="auto" w:fill="auto"/>
          </w:tcPr>
          <w:p w:rsidR="00F61C34" w:rsidRPr="000F59B6" w:rsidRDefault="00F61C34" w:rsidP="00F61C34">
            <w:pPr>
              <w:tabs>
                <w:tab w:val="right" w:pos="0"/>
                <w:tab w:val="decimal" w:pos="972"/>
                <w:tab w:val="decimal" w:pos="2268"/>
              </w:tabs>
              <w:ind w:right="162"/>
              <w:jc w:val="center"/>
              <w:rPr>
                <w:sz w:val="22"/>
                <w:szCs w:val="22"/>
              </w:rPr>
            </w:pPr>
            <w:r w:rsidRPr="000F59B6">
              <w:rPr>
                <w:sz w:val="22"/>
                <w:szCs w:val="22"/>
              </w:rPr>
              <w:t>33</w:t>
            </w:r>
          </w:p>
        </w:tc>
        <w:tc>
          <w:tcPr>
            <w:tcW w:w="1368" w:type="dxa"/>
            <w:shd w:val="clear" w:color="auto" w:fill="auto"/>
          </w:tcPr>
          <w:p w:rsidR="00F61C34" w:rsidRPr="000F59B6" w:rsidRDefault="00F61C34" w:rsidP="00F61C34">
            <w:pPr>
              <w:tabs>
                <w:tab w:val="right" w:pos="0"/>
                <w:tab w:val="decimal" w:pos="1077"/>
                <w:tab w:val="decimal" w:pos="2376"/>
              </w:tabs>
              <w:jc w:val="center"/>
              <w:rPr>
                <w:sz w:val="22"/>
                <w:szCs w:val="22"/>
              </w:rPr>
            </w:pPr>
            <w:r w:rsidRPr="000F59B6">
              <w:rPr>
                <w:sz w:val="22"/>
                <w:szCs w:val="22"/>
              </w:rPr>
              <w:t>50</w:t>
            </w:r>
          </w:p>
        </w:tc>
      </w:tr>
      <w:tr w:rsidR="00F61C34" w:rsidRPr="000F59B6" w:rsidTr="00F61C34">
        <w:tc>
          <w:tcPr>
            <w:tcW w:w="1998" w:type="dxa"/>
            <w:shd w:val="clear" w:color="auto" w:fill="auto"/>
          </w:tcPr>
          <w:p w:rsidR="00F61C34" w:rsidRPr="000F59B6" w:rsidRDefault="00F61C34" w:rsidP="00F61C34">
            <w:pPr>
              <w:tabs>
                <w:tab w:val="left" w:pos="270"/>
              </w:tabs>
              <w:jc w:val="both"/>
              <w:rPr>
                <w:sz w:val="22"/>
                <w:szCs w:val="22"/>
              </w:rPr>
            </w:pPr>
            <w:r w:rsidRPr="000F59B6">
              <w:rPr>
                <w:sz w:val="22"/>
                <w:szCs w:val="22"/>
              </w:rPr>
              <w:t xml:space="preserve"> David B. Goslin</w:t>
            </w:r>
          </w:p>
        </w:tc>
        <w:tc>
          <w:tcPr>
            <w:tcW w:w="1224" w:type="dxa"/>
            <w:shd w:val="clear" w:color="auto" w:fill="auto"/>
          </w:tcPr>
          <w:p w:rsidR="00F61C34" w:rsidRPr="000F59B6" w:rsidRDefault="00F61C34" w:rsidP="00F61C34">
            <w:pPr>
              <w:tabs>
                <w:tab w:val="right" w:pos="0"/>
                <w:tab w:val="right" w:pos="597"/>
                <w:tab w:val="decimal" w:pos="972"/>
                <w:tab w:val="decimal" w:pos="2268"/>
              </w:tabs>
              <w:jc w:val="center"/>
              <w:rPr>
                <w:sz w:val="22"/>
                <w:szCs w:val="22"/>
                <w:u w:val="single"/>
              </w:rPr>
            </w:pPr>
            <w:r w:rsidRPr="000F59B6">
              <w:rPr>
                <w:sz w:val="22"/>
                <w:szCs w:val="22"/>
                <w:u w:val="single"/>
              </w:rPr>
              <w:t>33</w:t>
            </w:r>
          </w:p>
        </w:tc>
        <w:tc>
          <w:tcPr>
            <w:tcW w:w="1368" w:type="dxa"/>
            <w:shd w:val="clear" w:color="auto" w:fill="auto"/>
          </w:tcPr>
          <w:p w:rsidR="00F61C34" w:rsidRPr="000F59B6" w:rsidRDefault="00F61C34" w:rsidP="00F61C34">
            <w:pPr>
              <w:tabs>
                <w:tab w:val="right" w:pos="0"/>
                <w:tab w:val="right" w:pos="702"/>
                <w:tab w:val="decimal" w:pos="1077"/>
                <w:tab w:val="decimal" w:pos="2376"/>
              </w:tabs>
              <w:jc w:val="center"/>
              <w:rPr>
                <w:sz w:val="22"/>
                <w:szCs w:val="22"/>
                <w:u w:val="single"/>
              </w:rPr>
            </w:pPr>
            <w:r w:rsidRPr="000F59B6">
              <w:rPr>
                <w:sz w:val="22"/>
                <w:szCs w:val="22"/>
                <w:u w:val="single"/>
              </w:rPr>
              <w:t>50</w:t>
            </w:r>
          </w:p>
        </w:tc>
      </w:tr>
      <w:tr w:rsidR="00F61C34" w:rsidRPr="000F59B6" w:rsidTr="00F61C34">
        <w:tc>
          <w:tcPr>
            <w:tcW w:w="1998" w:type="dxa"/>
            <w:shd w:val="clear" w:color="auto" w:fill="auto"/>
          </w:tcPr>
          <w:p w:rsidR="00F61C34" w:rsidRPr="000F59B6" w:rsidRDefault="00F61C34" w:rsidP="00F61C34">
            <w:pPr>
              <w:jc w:val="both"/>
              <w:rPr>
                <w:sz w:val="22"/>
                <w:szCs w:val="22"/>
              </w:rPr>
            </w:pPr>
          </w:p>
        </w:tc>
        <w:tc>
          <w:tcPr>
            <w:tcW w:w="1224" w:type="dxa"/>
            <w:shd w:val="clear" w:color="auto" w:fill="auto"/>
          </w:tcPr>
          <w:p w:rsidR="00F61C34" w:rsidRPr="000F59B6" w:rsidRDefault="00F61C34" w:rsidP="00F61C34">
            <w:pPr>
              <w:tabs>
                <w:tab w:val="right" w:pos="0"/>
                <w:tab w:val="right" w:pos="597"/>
                <w:tab w:val="decimal" w:pos="972"/>
                <w:tab w:val="decimal" w:pos="2268"/>
              </w:tabs>
              <w:jc w:val="center"/>
              <w:rPr>
                <w:sz w:val="22"/>
                <w:szCs w:val="22"/>
              </w:rPr>
            </w:pPr>
          </w:p>
        </w:tc>
        <w:tc>
          <w:tcPr>
            <w:tcW w:w="1368" w:type="dxa"/>
            <w:shd w:val="clear" w:color="auto" w:fill="auto"/>
          </w:tcPr>
          <w:p w:rsidR="00F61C34" w:rsidRPr="000F59B6" w:rsidRDefault="00F61C34" w:rsidP="00F61C34">
            <w:pPr>
              <w:tabs>
                <w:tab w:val="right" w:pos="0"/>
                <w:tab w:val="right" w:pos="702"/>
                <w:tab w:val="decimal" w:pos="1077"/>
                <w:tab w:val="decimal" w:pos="2376"/>
              </w:tabs>
              <w:jc w:val="center"/>
              <w:rPr>
                <w:sz w:val="22"/>
                <w:szCs w:val="22"/>
              </w:rPr>
            </w:pPr>
          </w:p>
        </w:tc>
      </w:tr>
      <w:tr w:rsidR="00F61C34" w:rsidRPr="000F59B6" w:rsidTr="00F61C34">
        <w:tc>
          <w:tcPr>
            <w:tcW w:w="1998" w:type="dxa"/>
            <w:shd w:val="clear" w:color="auto" w:fill="auto"/>
          </w:tcPr>
          <w:p w:rsidR="00F61C34" w:rsidRPr="000F59B6" w:rsidRDefault="00F61C34" w:rsidP="00F61C34">
            <w:pPr>
              <w:tabs>
                <w:tab w:val="left" w:pos="1080"/>
              </w:tabs>
              <w:rPr>
                <w:sz w:val="22"/>
                <w:szCs w:val="22"/>
              </w:rPr>
            </w:pPr>
            <w:r w:rsidRPr="000F59B6">
              <w:rPr>
                <w:sz w:val="22"/>
                <w:szCs w:val="22"/>
              </w:rPr>
              <w:tab/>
              <w:t>Total</w:t>
            </w:r>
          </w:p>
        </w:tc>
        <w:tc>
          <w:tcPr>
            <w:tcW w:w="1224" w:type="dxa"/>
            <w:shd w:val="clear" w:color="auto" w:fill="auto"/>
          </w:tcPr>
          <w:p w:rsidR="00F61C34" w:rsidRPr="000F59B6" w:rsidRDefault="00F61C34" w:rsidP="00F61C34">
            <w:pPr>
              <w:tabs>
                <w:tab w:val="right" w:pos="0"/>
                <w:tab w:val="right" w:pos="597"/>
                <w:tab w:val="decimal" w:pos="972"/>
                <w:tab w:val="decimal" w:pos="2268"/>
              </w:tabs>
              <w:jc w:val="center"/>
              <w:rPr>
                <w:sz w:val="22"/>
                <w:szCs w:val="22"/>
                <w:u w:val="double"/>
              </w:rPr>
            </w:pPr>
            <w:r w:rsidRPr="000F59B6">
              <w:rPr>
                <w:sz w:val="22"/>
                <w:szCs w:val="22"/>
                <w:u w:val="double"/>
              </w:rPr>
              <w:t>100</w:t>
            </w:r>
            <w:r w:rsidRPr="000F59B6">
              <w:rPr>
                <w:sz w:val="22"/>
                <w:szCs w:val="22"/>
              </w:rPr>
              <w:t>%</w:t>
            </w:r>
          </w:p>
        </w:tc>
        <w:tc>
          <w:tcPr>
            <w:tcW w:w="1368" w:type="dxa"/>
            <w:shd w:val="clear" w:color="auto" w:fill="auto"/>
          </w:tcPr>
          <w:p w:rsidR="00F61C34" w:rsidRPr="000F59B6" w:rsidRDefault="00F61C34" w:rsidP="00F61C34">
            <w:pPr>
              <w:tabs>
                <w:tab w:val="right" w:pos="0"/>
                <w:tab w:val="right" w:pos="702"/>
                <w:tab w:val="decimal" w:pos="1077"/>
                <w:tab w:val="decimal" w:pos="2376"/>
              </w:tabs>
              <w:jc w:val="center"/>
              <w:rPr>
                <w:sz w:val="22"/>
                <w:szCs w:val="22"/>
                <w:u w:val="double"/>
              </w:rPr>
            </w:pPr>
            <w:r w:rsidRPr="000F59B6">
              <w:rPr>
                <w:sz w:val="22"/>
                <w:szCs w:val="22"/>
                <w:u w:val="double"/>
              </w:rPr>
              <w:t>100</w:t>
            </w:r>
            <w:r w:rsidRPr="000F59B6">
              <w:rPr>
                <w:sz w:val="22"/>
                <w:szCs w:val="22"/>
              </w:rPr>
              <w:t>%</w:t>
            </w:r>
          </w:p>
        </w:tc>
      </w:tr>
    </w:tbl>
    <w:p w:rsidR="00A01541" w:rsidRPr="000F59B6" w:rsidRDefault="00A01541" w:rsidP="00A01541">
      <w:pPr>
        <w:jc w:val="both"/>
        <w:rPr>
          <w:sz w:val="22"/>
          <w:szCs w:val="22"/>
        </w:rPr>
      </w:pPr>
    </w:p>
    <w:p w:rsidR="00A01541" w:rsidRPr="000F59B6" w:rsidRDefault="00A01541" w:rsidP="00A01541">
      <w:pPr>
        <w:jc w:val="both"/>
        <w:rPr>
          <w:sz w:val="22"/>
          <w:szCs w:val="22"/>
        </w:rPr>
      </w:pPr>
    </w:p>
    <w:p w:rsidR="00A01541" w:rsidRPr="000F59B6" w:rsidRDefault="00A01541" w:rsidP="00A01541">
      <w:pPr>
        <w:jc w:val="both"/>
        <w:rPr>
          <w:sz w:val="22"/>
          <w:szCs w:val="22"/>
        </w:rPr>
      </w:pPr>
      <w:r w:rsidRPr="000F59B6">
        <w:rPr>
          <w:sz w:val="22"/>
          <w:szCs w:val="22"/>
        </w:rPr>
        <w:t>The transfers will occur as soon as reasonably feasible upon approval of the proposed project by the Division of Licensing and Regulatory Services (DLRS).</w:t>
      </w:r>
      <w:r w:rsidR="00283C25">
        <w:rPr>
          <w:sz w:val="22"/>
          <w:szCs w:val="22"/>
        </w:rPr>
        <w:t>”</w:t>
      </w:r>
    </w:p>
    <w:p w:rsidR="00A01541" w:rsidRPr="000F59B6" w:rsidRDefault="00A01541" w:rsidP="00A01541">
      <w:pPr>
        <w:jc w:val="both"/>
        <w:rPr>
          <w:sz w:val="22"/>
          <w:szCs w:val="22"/>
        </w:rPr>
      </w:pPr>
    </w:p>
    <w:p w:rsidR="00A01541" w:rsidRPr="000F59B6" w:rsidRDefault="00283C25" w:rsidP="00A01541">
      <w:pPr>
        <w:jc w:val="both"/>
        <w:rPr>
          <w:sz w:val="22"/>
          <w:szCs w:val="22"/>
        </w:rPr>
      </w:pPr>
      <w:r>
        <w:rPr>
          <w:sz w:val="22"/>
          <w:szCs w:val="22"/>
        </w:rPr>
        <w:t>“</w:t>
      </w:r>
      <w:r w:rsidR="00A01541" w:rsidRPr="000F59B6">
        <w:rPr>
          <w:sz w:val="22"/>
          <w:szCs w:val="22"/>
        </w:rPr>
        <w:t xml:space="preserve">Melinda and David </w:t>
      </w:r>
      <w:proofErr w:type="spellStart"/>
      <w:r w:rsidR="00A01541" w:rsidRPr="000F59B6">
        <w:rPr>
          <w:sz w:val="22"/>
          <w:szCs w:val="22"/>
        </w:rPr>
        <w:t>Goslin</w:t>
      </w:r>
      <w:proofErr w:type="spellEnd"/>
      <w:r w:rsidR="00A01541" w:rsidRPr="000F59B6">
        <w:rPr>
          <w:sz w:val="22"/>
          <w:szCs w:val="22"/>
        </w:rPr>
        <w:t xml:space="preserve"> have been involved in the administration and management of the facility for a combined 33 years. Accordingly, there will be no changes in the administration and management of the facility as a result of the change in ownership. There will be no changes in the facility’s MaineCare rate, services being offered to the community or finances, nor are there significant costs related to this transfer.</w:t>
      </w:r>
      <w:r>
        <w:rPr>
          <w:sz w:val="22"/>
          <w:szCs w:val="22"/>
        </w:rPr>
        <w:t>”</w:t>
      </w:r>
    </w:p>
    <w:p w:rsidR="00A01541" w:rsidRPr="000F59B6" w:rsidRDefault="00A01541" w:rsidP="00A01541">
      <w:pPr>
        <w:jc w:val="both"/>
        <w:rPr>
          <w:sz w:val="22"/>
          <w:szCs w:val="22"/>
        </w:rPr>
      </w:pPr>
    </w:p>
    <w:p w:rsidR="00A01541" w:rsidRPr="000F59B6" w:rsidRDefault="00283C25" w:rsidP="00A01541">
      <w:pPr>
        <w:jc w:val="both"/>
        <w:rPr>
          <w:sz w:val="22"/>
          <w:szCs w:val="22"/>
        </w:rPr>
      </w:pPr>
      <w:r>
        <w:rPr>
          <w:sz w:val="22"/>
          <w:szCs w:val="22"/>
        </w:rPr>
        <w:t>“</w:t>
      </w:r>
      <w:r w:rsidR="00A01541" w:rsidRPr="000F59B6">
        <w:rPr>
          <w:sz w:val="22"/>
          <w:szCs w:val="22"/>
        </w:rPr>
        <w:t>In addition, as requested during the Technical Assistance Meeting, we have enclosed photos of both the interior and exterior of the facility (See Exhibit I).</w:t>
      </w:r>
      <w:r>
        <w:rPr>
          <w:sz w:val="22"/>
          <w:szCs w:val="22"/>
        </w:rPr>
        <w:t>””</w:t>
      </w:r>
    </w:p>
    <w:p w:rsidR="00DE75CD" w:rsidRDefault="00DE75CD" w:rsidP="004336AF">
      <w:pPr>
        <w:pStyle w:val="Heading1"/>
        <w:rPr>
          <w:rFonts w:ascii="Times New Roman" w:hAnsi="Times New Roman" w:cs="Times New Roman"/>
        </w:rPr>
        <w:sectPr w:rsidR="00DE75CD" w:rsidSect="000F59B6">
          <w:headerReference w:type="default" r:id="rId11"/>
          <w:pgSz w:w="12240" w:h="15840"/>
          <w:pgMar w:top="1440" w:right="1440" w:bottom="1440" w:left="1440" w:header="720" w:footer="720" w:gutter="0"/>
          <w:cols w:space="720"/>
          <w:docGrid w:linePitch="360"/>
        </w:sectPr>
      </w:pPr>
    </w:p>
    <w:p w:rsidR="004336AF" w:rsidRPr="001E09AD" w:rsidRDefault="004336AF" w:rsidP="001E09AD">
      <w:pPr>
        <w:pStyle w:val="Heading1"/>
        <w:spacing w:before="0" w:after="0"/>
        <w:rPr>
          <w:rFonts w:ascii="Times New Roman" w:hAnsi="Times New Roman" w:cs="Times New Roman"/>
          <w:sz w:val="28"/>
          <w:szCs w:val="28"/>
          <w:u w:val="single"/>
        </w:rPr>
      </w:pPr>
      <w:r w:rsidRPr="001E09AD">
        <w:rPr>
          <w:rFonts w:ascii="Times New Roman" w:hAnsi="Times New Roman" w:cs="Times New Roman"/>
          <w:sz w:val="28"/>
          <w:szCs w:val="28"/>
          <w:u w:val="single"/>
        </w:rPr>
        <w:lastRenderedPageBreak/>
        <w:t>I</w:t>
      </w:r>
      <w:r w:rsidR="00BB1625" w:rsidRPr="001E09AD">
        <w:rPr>
          <w:rFonts w:ascii="Times New Roman" w:hAnsi="Times New Roman" w:cs="Times New Roman"/>
          <w:sz w:val="28"/>
          <w:szCs w:val="28"/>
          <w:u w:val="single"/>
        </w:rPr>
        <w:t>I</w:t>
      </w:r>
      <w:r w:rsidRPr="001E09AD">
        <w:rPr>
          <w:rFonts w:ascii="Times New Roman" w:hAnsi="Times New Roman" w:cs="Times New Roman"/>
          <w:sz w:val="28"/>
          <w:szCs w:val="28"/>
          <w:u w:val="single"/>
        </w:rPr>
        <w:t xml:space="preserve">. </w:t>
      </w:r>
      <w:bookmarkEnd w:id="13"/>
      <w:r w:rsidR="00BB1625" w:rsidRPr="001E09AD">
        <w:rPr>
          <w:rFonts w:ascii="Times New Roman" w:hAnsi="Times New Roman" w:cs="Times New Roman"/>
          <w:sz w:val="28"/>
          <w:szCs w:val="28"/>
          <w:u w:val="single"/>
        </w:rPr>
        <w:t>Fit, Willing and Able</w:t>
      </w:r>
    </w:p>
    <w:p w:rsidR="004336AF" w:rsidRPr="0019690A" w:rsidRDefault="004336AF" w:rsidP="004336AF"/>
    <w:p w:rsidR="00BB1625" w:rsidRPr="009A56DF" w:rsidRDefault="000F59B6" w:rsidP="005310F8">
      <w:pPr>
        <w:rPr>
          <w:b/>
        </w:rPr>
      </w:pPr>
      <w:r w:rsidRPr="009A56DF">
        <w:rPr>
          <w:b/>
        </w:rPr>
        <w:t xml:space="preserve">A. </w:t>
      </w:r>
      <w:r w:rsidR="00E20C60" w:rsidRPr="009A56DF">
        <w:rPr>
          <w:b/>
        </w:rPr>
        <w:t xml:space="preserve">From Applicant </w:t>
      </w:r>
    </w:p>
    <w:p w:rsidR="00E20C60" w:rsidRPr="001E09AD" w:rsidRDefault="00E20C60" w:rsidP="005310F8">
      <w:pPr>
        <w:rPr>
          <w:b/>
          <w:sz w:val="16"/>
          <w:szCs w:val="16"/>
          <w:u w:val="single"/>
        </w:rPr>
      </w:pPr>
    </w:p>
    <w:p w:rsidR="00A01541" w:rsidRPr="00137E29" w:rsidRDefault="00A01541" w:rsidP="00A01541">
      <w:pPr>
        <w:jc w:val="both"/>
        <w:rPr>
          <w:i/>
          <w:sz w:val="22"/>
          <w:szCs w:val="22"/>
        </w:rPr>
      </w:pPr>
      <w:r w:rsidRPr="00137E29">
        <w:rPr>
          <w:i/>
          <w:sz w:val="22"/>
          <w:szCs w:val="22"/>
        </w:rPr>
        <w:t>Management Team</w:t>
      </w:r>
    </w:p>
    <w:p w:rsidR="00A01541" w:rsidRPr="00137E29" w:rsidRDefault="00A01541" w:rsidP="00A01541">
      <w:pPr>
        <w:jc w:val="both"/>
        <w:rPr>
          <w:i/>
          <w:sz w:val="22"/>
          <w:szCs w:val="22"/>
        </w:rPr>
      </w:pPr>
    </w:p>
    <w:p w:rsidR="00A01541" w:rsidRPr="00137E29" w:rsidRDefault="000F59B6" w:rsidP="00A01541">
      <w:pPr>
        <w:jc w:val="both"/>
        <w:rPr>
          <w:sz w:val="22"/>
          <w:szCs w:val="22"/>
        </w:rPr>
      </w:pPr>
      <w:r w:rsidRPr="00137E29">
        <w:rPr>
          <w:sz w:val="22"/>
          <w:szCs w:val="22"/>
        </w:rPr>
        <w:t>“</w:t>
      </w:r>
      <w:r w:rsidR="00A01541" w:rsidRPr="00137E29">
        <w:rPr>
          <w:sz w:val="22"/>
          <w:szCs w:val="22"/>
        </w:rPr>
        <w:t>Melinda E. Goslin, Administrator, is the daughter of Fern P. Cummings and Dean O. Cummings (deceased). Melinda has been involved in the business serving in various positions throughout the facility since it was purchased in 1973. Melinda has a Bachelor of Science in Business Administration from Husson College, 1996. Melinda has successfully completed the State of Maine AIT program for Multi-Level Administrators and holds a current, valid license in good standing. Melinda is married to David B. Goslin and the couple has 3 sons, 2 of which currently work within the facility.</w:t>
      </w:r>
      <w:r w:rsidRPr="00137E29">
        <w:rPr>
          <w:sz w:val="22"/>
          <w:szCs w:val="22"/>
        </w:rPr>
        <w:t>”</w:t>
      </w:r>
      <w:r w:rsidR="00A01541" w:rsidRPr="00137E29">
        <w:rPr>
          <w:sz w:val="22"/>
          <w:szCs w:val="22"/>
        </w:rPr>
        <w:t xml:space="preserve"> </w:t>
      </w:r>
    </w:p>
    <w:p w:rsidR="00A01541" w:rsidRPr="00137E29" w:rsidRDefault="00A01541" w:rsidP="00A01541">
      <w:pPr>
        <w:jc w:val="both"/>
        <w:rPr>
          <w:sz w:val="22"/>
          <w:szCs w:val="22"/>
        </w:rPr>
      </w:pPr>
    </w:p>
    <w:p w:rsidR="00A01541" w:rsidRPr="00137E29" w:rsidRDefault="000F59B6" w:rsidP="00A01541">
      <w:pPr>
        <w:jc w:val="both"/>
        <w:rPr>
          <w:sz w:val="22"/>
          <w:szCs w:val="22"/>
        </w:rPr>
      </w:pPr>
      <w:r w:rsidRPr="00137E29">
        <w:rPr>
          <w:sz w:val="22"/>
          <w:szCs w:val="22"/>
        </w:rPr>
        <w:t>“</w:t>
      </w:r>
      <w:r w:rsidR="00A01541" w:rsidRPr="00137E29">
        <w:rPr>
          <w:sz w:val="22"/>
          <w:szCs w:val="22"/>
        </w:rPr>
        <w:t>David B. Goslin is currently the Plant Manager and Financial Planner for Cummings Health Care. David started his career at the facility in 1983 performing maintenance. David has much experience and abilities in the building trades. He has held various other positions with other businesses in the community including Transportation Director for the public school system. This position gained him tremendous experience in budgeting, finance and human resources. In 1998 David started working with Melinda in the administrative part of the facility while continuing to supervise the maintenance and overseeing the mechanical systems. David has a natural ability with math and finance and has taken college courses in accounting to enhance these skills and enable him to be more knowledgeable of reimbursement and the industry in which the facility operates.</w:t>
      </w:r>
      <w:r w:rsidRPr="00137E29">
        <w:rPr>
          <w:sz w:val="22"/>
          <w:szCs w:val="22"/>
        </w:rPr>
        <w:t>”</w:t>
      </w:r>
      <w:r w:rsidR="00A01541" w:rsidRPr="00137E29">
        <w:rPr>
          <w:sz w:val="22"/>
          <w:szCs w:val="22"/>
        </w:rPr>
        <w:t xml:space="preserve"> </w:t>
      </w:r>
    </w:p>
    <w:p w:rsidR="00A01541" w:rsidRPr="00137E29" w:rsidRDefault="00A01541" w:rsidP="00A01541">
      <w:pPr>
        <w:jc w:val="both"/>
        <w:rPr>
          <w:sz w:val="22"/>
          <w:szCs w:val="22"/>
        </w:rPr>
      </w:pPr>
    </w:p>
    <w:p w:rsidR="00A01541" w:rsidRPr="00137E29" w:rsidRDefault="000F59B6" w:rsidP="00A01541">
      <w:pPr>
        <w:jc w:val="both"/>
        <w:rPr>
          <w:sz w:val="22"/>
          <w:szCs w:val="22"/>
        </w:rPr>
      </w:pPr>
      <w:r w:rsidRPr="00137E29">
        <w:rPr>
          <w:sz w:val="22"/>
          <w:szCs w:val="22"/>
        </w:rPr>
        <w:t>“</w:t>
      </w:r>
      <w:r w:rsidR="00A01541" w:rsidRPr="00137E29">
        <w:rPr>
          <w:sz w:val="22"/>
          <w:szCs w:val="22"/>
        </w:rPr>
        <w:t>David and Melinda have been married for 33 years, have raised 3 sons and 1 nephew and have lived at 619 West Old Main Road in Lowell for 25 years. David and Melinda have also owned and operated Cedar Rest Cabins on Cold Stream Pond in Enfield, Maine, a vacation cabin rental business for 16 years. The couple also owns a gravel pit and sells gravel locally on occasion. David and Melinda both grew up in this community, graduated from Penobscot Valley High School in Howland, are members of the Howland Baptist Church and are upstanding members of the community. They enjoy working and living in Maine which includes hunting, fishing, kayaking, camping, skiing, snowmobiling and spending t</w:t>
      </w:r>
      <w:r w:rsidRPr="00137E29">
        <w:rPr>
          <w:sz w:val="22"/>
          <w:szCs w:val="22"/>
        </w:rPr>
        <w:t>ime with their 3 grandchildren.”</w:t>
      </w:r>
    </w:p>
    <w:p w:rsidR="00A01541" w:rsidRPr="00137E29" w:rsidRDefault="00A01541" w:rsidP="00A01541">
      <w:pPr>
        <w:jc w:val="both"/>
        <w:rPr>
          <w:sz w:val="22"/>
          <w:szCs w:val="22"/>
        </w:rPr>
      </w:pPr>
    </w:p>
    <w:p w:rsidR="00A01541" w:rsidRPr="00137E29" w:rsidRDefault="00A01541" w:rsidP="00A01541">
      <w:pPr>
        <w:jc w:val="both"/>
        <w:rPr>
          <w:i/>
          <w:sz w:val="22"/>
          <w:szCs w:val="22"/>
        </w:rPr>
      </w:pPr>
      <w:r w:rsidRPr="00137E29">
        <w:rPr>
          <w:i/>
          <w:sz w:val="22"/>
          <w:szCs w:val="22"/>
        </w:rPr>
        <w:t>Recent DHHS Survey Results</w:t>
      </w:r>
    </w:p>
    <w:p w:rsidR="00A01541" w:rsidRPr="00137E29" w:rsidRDefault="00A01541" w:rsidP="00A01541">
      <w:pPr>
        <w:jc w:val="both"/>
        <w:rPr>
          <w:sz w:val="22"/>
          <w:szCs w:val="22"/>
        </w:rPr>
      </w:pPr>
    </w:p>
    <w:p w:rsidR="00A01541" w:rsidRPr="00137E29" w:rsidRDefault="000F59B6" w:rsidP="00A01541">
      <w:pPr>
        <w:jc w:val="both"/>
        <w:rPr>
          <w:sz w:val="22"/>
          <w:szCs w:val="22"/>
        </w:rPr>
      </w:pPr>
      <w:r w:rsidRPr="00137E29">
        <w:rPr>
          <w:sz w:val="22"/>
          <w:szCs w:val="22"/>
        </w:rPr>
        <w:t>“</w:t>
      </w:r>
      <w:r w:rsidR="00A01541" w:rsidRPr="00137E29">
        <w:rPr>
          <w:sz w:val="22"/>
          <w:szCs w:val="22"/>
        </w:rPr>
        <w:t xml:space="preserve">The last survey completed by DLRS was on October 25, 2012.  The surveyors identified six deficiencies.  Five of the six deficiencies were designated as #2 indicating the level of harm to be “no actual harm with potential for more than minimal harm” and one as #1 indicating the level of harm to be “no actual harm with potential for minimal harm”. </w:t>
      </w:r>
    </w:p>
    <w:p w:rsidR="00A01541" w:rsidRPr="00137E29" w:rsidRDefault="00A01541" w:rsidP="00A01541">
      <w:pPr>
        <w:jc w:val="both"/>
        <w:rPr>
          <w:sz w:val="22"/>
          <w:szCs w:val="22"/>
        </w:rPr>
      </w:pPr>
    </w:p>
    <w:p w:rsidR="00A01541" w:rsidRPr="00137E29" w:rsidRDefault="000F59B6" w:rsidP="00A01541">
      <w:pPr>
        <w:jc w:val="both"/>
        <w:rPr>
          <w:sz w:val="22"/>
          <w:szCs w:val="22"/>
        </w:rPr>
      </w:pPr>
      <w:r w:rsidRPr="00137E29">
        <w:rPr>
          <w:sz w:val="22"/>
          <w:szCs w:val="22"/>
        </w:rPr>
        <w:t>“</w:t>
      </w:r>
      <w:r w:rsidR="00A01541" w:rsidRPr="00137E29">
        <w:rPr>
          <w:sz w:val="22"/>
          <w:szCs w:val="22"/>
        </w:rPr>
        <w:t>The deficiencies were addressed immediately and CHCF achieved compliance on its first follow-up visit which occurred on December 28, 2012 (See Exhibit II for copy of Post-Certification Revisit Report and Letter). CHCF has a long standing history of positive survey results and compliance with regulations.</w:t>
      </w:r>
      <w:r w:rsidRPr="00137E29">
        <w:rPr>
          <w:sz w:val="22"/>
          <w:szCs w:val="22"/>
        </w:rPr>
        <w:t>”</w:t>
      </w:r>
    </w:p>
    <w:p w:rsidR="00A01541" w:rsidRPr="00137E29" w:rsidRDefault="00A01541" w:rsidP="000F59B6">
      <w:pPr>
        <w:jc w:val="both"/>
        <w:rPr>
          <w:sz w:val="22"/>
          <w:szCs w:val="22"/>
        </w:rPr>
      </w:pPr>
    </w:p>
    <w:p w:rsidR="00A01541" w:rsidRPr="00137E29" w:rsidRDefault="00A01541" w:rsidP="000F59B6">
      <w:pPr>
        <w:jc w:val="both"/>
        <w:rPr>
          <w:i/>
          <w:sz w:val="22"/>
          <w:szCs w:val="22"/>
        </w:rPr>
      </w:pPr>
      <w:r w:rsidRPr="00137E29">
        <w:rPr>
          <w:i/>
          <w:sz w:val="22"/>
          <w:szCs w:val="22"/>
        </w:rPr>
        <w:t xml:space="preserve">Medicare Compare Rating Under Five Star </w:t>
      </w:r>
      <w:proofErr w:type="gramStart"/>
      <w:r w:rsidRPr="00137E29">
        <w:rPr>
          <w:i/>
          <w:sz w:val="22"/>
          <w:szCs w:val="22"/>
        </w:rPr>
        <w:t>System</w:t>
      </w:r>
      <w:proofErr w:type="gramEnd"/>
    </w:p>
    <w:p w:rsidR="00A01541" w:rsidRPr="00137E29" w:rsidRDefault="00A01541" w:rsidP="000F59B6">
      <w:pPr>
        <w:jc w:val="both"/>
        <w:rPr>
          <w:sz w:val="22"/>
          <w:szCs w:val="22"/>
        </w:rPr>
      </w:pPr>
    </w:p>
    <w:p w:rsidR="00A01541" w:rsidRPr="00137E29" w:rsidRDefault="00283C25" w:rsidP="000F59B6">
      <w:pPr>
        <w:jc w:val="both"/>
        <w:rPr>
          <w:sz w:val="22"/>
          <w:szCs w:val="22"/>
        </w:rPr>
      </w:pPr>
      <w:r>
        <w:rPr>
          <w:sz w:val="22"/>
          <w:szCs w:val="22"/>
        </w:rPr>
        <w:t>“</w:t>
      </w:r>
      <w:r w:rsidR="00A01541" w:rsidRPr="00137E29">
        <w:rPr>
          <w:sz w:val="22"/>
          <w:szCs w:val="22"/>
        </w:rPr>
        <w:t xml:space="preserve">Quality is important to us and our residents. The results speak for themselves as CHCF has received an overall </w:t>
      </w:r>
      <w:r w:rsidR="00A01541" w:rsidRPr="00137E29">
        <w:rPr>
          <w:b/>
          <w:sz w:val="22"/>
          <w:szCs w:val="22"/>
        </w:rPr>
        <w:t xml:space="preserve">5 Star </w:t>
      </w:r>
      <w:r w:rsidR="00A01541" w:rsidRPr="00137E29">
        <w:rPr>
          <w:sz w:val="22"/>
          <w:szCs w:val="22"/>
        </w:rPr>
        <w:t>rating by the Center for Medicare and Medicaid Services.</w:t>
      </w:r>
      <w:r w:rsidR="009D7AC0">
        <w:rPr>
          <w:sz w:val="22"/>
          <w:szCs w:val="22"/>
        </w:rPr>
        <w:t>”</w:t>
      </w:r>
    </w:p>
    <w:p w:rsidR="00A01541" w:rsidRPr="00137E29" w:rsidRDefault="00A01541" w:rsidP="000F59B6">
      <w:pPr>
        <w:jc w:val="both"/>
        <w:rPr>
          <w:sz w:val="22"/>
          <w:szCs w:val="22"/>
        </w:rPr>
      </w:pPr>
    </w:p>
    <w:p w:rsidR="00A01541" w:rsidRPr="00137E29" w:rsidRDefault="009D7AC0" w:rsidP="000F59B6">
      <w:pPr>
        <w:jc w:val="both"/>
        <w:rPr>
          <w:sz w:val="22"/>
          <w:szCs w:val="22"/>
        </w:rPr>
      </w:pPr>
      <w:r>
        <w:rPr>
          <w:sz w:val="22"/>
          <w:szCs w:val="22"/>
        </w:rPr>
        <w:t>“</w:t>
      </w:r>
      <w:r w:rsidR="00A01541" w:rsidRPr="00137E29">
        <w:rPr>
          <w:sz w:val="22"/>
          <w:szCs w:val="22"/>
        </w:rPr>
        <w:t>For health inspections ratings, the facility received a mid-range score of 3 (see Recent DHHS Survey Results for further information regarding deficiencies identified and managements Plan of Correction). The total number of deficiencies identified during its most recent survey was 6 compared the State average of 4 and the national average of 6.8. The deficiencies were addressed immediately and CHCF achieved compliance on its first follow-up visit.</w:t>
      </w:r>
      <w:r w:rsidR="00DF6472" w:rsidRPr="00137E29">
        <w:rPr>
          <w:sz w:val="22"/>
          <w:szCs w:val="22"/>
        </w:rPr>
        <w:t xml:space="preserve"> </w:t>
      </w:r>
      <w:r w:rsidR="00A01541" w:rsidRPr="00137E29">
        <w:rPr>
          <w:sz w:val="22"/>
          <w:szCs w:val="22"/>
        </w:rPr>
        <w:t>For staffing ratings, the facility received a high score of 4.</w:t>
      </w:r>
      <w:r>
        <w:rPr>
          <w:sz w:val="22"/>
          <w:szCs w:val="22"/>
        </w:rPr>
        <w:t>”</w:t>
      </w:r>
    </w:p>
    <w:p w:rsidR="00A01541" w:rsidRPr="00137E29" w:rsidRDefault="00A01541" w:rsidP="000F59B6">
      <w:pPr>
        <w:jc w:val="both"/>
        <w:rPr>
          <w:sz w:val="22"/>
          <w:szCs w:val="22"/>
        </w:rPr>
      </w:pPr>
    </w:p>
    <w:p w:rsidR="00A01541" w:rsidRPr="00137E29" w:rsidRDefault="009D7AC0" w:rsidP="000F59B6">
      <w:pPr>
        <w:jc w:val="both"/>
        <w:rPr>
          <w:sz w:val="22"/>
          <w:szCs w:val="22"/>
        </w:rPr>
      </w:pPr>
      <w:r>
        <w:rPr>
          <w:sz w:val="22"/>
          <w:szCs w:val="22"/>
        </w:rPr>
        <w:t>“</w:t>
      </w:r>
      <w:r w:rsidR="00A01541" w:rsidRPr="00137E29">
        <w:rPr>
          <w:sz w:val="22"/>
          <w:szCs w:val="22"/>
        </w:rPr>
        <w:t>For quality measures, the facility achieved a high score of 5.</w:t>
      </w:r>
      <w:r>
        <w:rPr>
          <w:sz w:val="22"/>
          <w:szCs w:val="22"/>
        </w:rPr>
        <w:t>”</w:t>
      </w:r>
    </w:p>
    <w:p w:rsidR="00A01541" w:rsidRPr="00137E29" w:rsidRDefault="00A01541" w:rsidP="000F59B6">
      <w:pPr>
        <w:jc w:val="both"/>
        <w:rPr>
          <w:sz w:val="22"/>
          <w:szCs w:val="22"/>
        </w:rPr>
      </w:pPr>
    </w:p>
    <w:p w:rsidR="00A01541" w:rsidRPr="00137E29" w:rsidRDefault="009D7AC0" w:rsidP="000F59B6">
      <w:pPr>
        <w:jc w:val="both"/>
        <w:rPr>
          <w:sz w:val="22"/>
          <w:szCs w:val="22"/>
        </w:rPr>
      </w:pPr>
      <w:r>
        <w:rPr>
          <w:sz w:val="22"/>
          <w:szCs w:val="22"/>
        </w:rPr>
        <w:t>“</w:t>
      </w:r>
      <w:r w:rsidR="00A01541" w:rsidRPr="00137E29">
        <w:rPr>
          <w:sz w:val="22"/>
          <w:szCs w:val="22"/>
        </w:rPr>
        <w:t>In addition, our Quality Assurance Committee, which consists of the medical director, pharmacist, administrator, director of nursing, charge nurse, social service and activities directors, MDS coordinator and housekeeping supervisor, meets quarterly to implement necessary changes in care and services to meet each resident’s and f</w:t>
      </w:r>
      <w:r w:rsidR="00DF6472" w:rsidRPr="00137E29">
        <w:rPr>
          <w:sz w:val="22"/>
          <w:szCs w:val="22"/>
        </w:rPr>
        <w:t xml:space="preserve">amily’s needs. </w:t>
      </w:r>
      <w:r w:rsidR="00A01541" w:rsidRPr="00137E29">
        <w:rPr>
          <w:sz w:val="22"/>
          <w:szCs w:val="22"/>
        </w:rPr>
        <w:t>The Committee also addresses current survey issues, monitors outcomes and makes necessary changes to address specific compliance issues. Utilization review is also a vital part of our Quality Assurance program; to ensure each resident is properly placed and receiving all the</w:t>
      </w:r>
      <w:r w:rsidR="00DF6472" w:rsidRPr="00137E29">
        <w:rPr>
          <w:sz w:val="22"/>
          <w:szCs w:val="22"/>
        </w:rPr>
        <w:t xml:space="preserve"> services they need to thrive.</w:t>
      </w:r>
      <w:r>
        <w:rPr>
          <w:sz w:val="22"/>
          <w:szCs w:val="22"/>
        </w:rPr>
        <w:t>”</w:t>
      </w:r>
    </w:p>
    <w:p w:rsidR="009A56DF" w:rsidRDefault="009A56DF">
      <w:r>
        <w:br w:type="page"/>
      </w:r>
    </w:p>
    <w:p w:rsidR="008E41AC" w:rsidRPr="00137E29" w:rsidRDefault="00137E29" w:rsidP="000F59B6">
      <w:pPr>
        <w:jc w:val="both"/>
        <w:rPr>
          <w:b/>
        </w:rPr>
      </w:pPr>
      <w:r w:rsidRPr="00137E29">
        <w:rPr>
          <w:b/>
        </w:rPr>
        <w:t xml:space="preserve">B. </w:t>
      </w:r>
      <w:r w:rsidR="006A7CB7" w:rsidRPr="00137E29">
        <w:rPr>
          <w:b/>
        </w:rPr>
        <w:t>Certificate of Need Unit</w:t>
      </w:r>
      <w:r w:rsidR="008E41AC" w:rsidRPr="00137E29">
        <w:rPr>
          <w:b/>
        </w:rPr>
        <w:t xml:space="preserve"> Discussion </w:t>
      </w:r>
    </w:p>
    <w:p w:rsidR="00F16789" w:rsidRPr="0019690A" w:rsidRDefault="00F16789" w:rsidP="000F59B6">
      <w:pPr>
        <w:jc w:val="both"/>
        <w:rPr>
          <w:b/>
        </w:rPr>
      </w:pPr>
    </w:p>
    <w:p w:rsidR="008E41AC" w:rsidRPr="00137E29" w:rsidRDefault="001C5ECE" w:rsidP="007A659C">
      <w:pPr>
        <w:jc w:val="both"/>
        <w:rPr>
          <w:b/>
        </w:rPr>
      </w:pPr>
      <w:r>
        <w:rPr>
          <w:b/>
        </w:rPr>
        <w:t>Certificate of Need</w:t>
      </w:r>
      <w:r w:rsidR="008E41AC" w:rsidRPr="00137E29">
        <w:rPr>
          <w:b/>
        </w:rPr>
        <w:t xml:space="preserve"> </w:t>
      </w:r>
      <w:r w:rsidR="00E7467A" w:rsidRPr="00137E29">
        <w:rPr>
          <w:b/>
        </w:rPr>
        <w:t>Standard</w:t>
      </w:r>
      <w:r w:rsidR="008E41AC" w:rsidRPr="00137E29">
        <w:rPr>
          <w:b/>
        </w:rPr>
        <w:t xml:space="preserve"> </w:t>
      </w:r>
    </w:p>
    <w:p w:rsidR="008E41AC" w:rsidRPr="001E09AD" w:rsidRDefault="008E41AC" w:rsidP="000F59B6">
      <w:pPr>
        <w:jc w:val="both"/>
        <w:rPr>
          <w:sz w:val="16"/>
          <w:szCs w:val="16"/>
        </w:rPr>
      </w:pPr>
    </w:p>
    <w:p w:rsidR="008E41AC" w:rsidRPr="0019690A" w:rsidRDefault="008E41AC" w:rsidP="000F59B6">
      <w:pPr>
        <w:jc w:val="both"/>
        <w:rPr>
          <w:b/>
        </w:rPr>
      </w:pPr>
      <w:r w:rsidRPr="0019690A">
        <w:t xml:space="preserve">Relevant </w:t>
      </w:r>
      <w:r w:rsidR="00E7467A" w:rsidRPr="0019690A">
        <w:t>standards</w:t>
      </w:r>
      <w:r w:rsidRPr="0019690A">
        <w:t xml:space="preserve"> for inclusion in this section are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8E41AC" w:rsidRPr="0019690A" w:rsidRDefault="008E41AC" w:rsidP="000F59B6">
      <w:pPr>
        <w:jc w:val="both"/>
        <w:rPr>
          <w:b/>
        </w:rPr>
      </w:pPr>
    </w:p>
    <w:p w:rsidR="008E41AC" w:rsidRPr="00137E29" w:rsidRDefault="008F244E" w:rsidP="007A659C">
      <w:pPr>
        <w:jc w:val="both"/>
        <w:rPr>
          <w:b/>
        </w:rPr>
      </w:pPr>
      <w:r w:rsidRPr="00137E29">
        <w:rPr>
          <w:b/>
        </w:rPr>
        <w:t>Certificate of Need Unit Analysis</w:t>
      </w:r>
    </w:p>
    <w:p w:rsidR="008E41AC" w:rsidRPr="001E09AD" w:rsidRDefault="008E41AC" w:rsidP="000F59B6">
      <w:pPr>
        <w:jc w:val="both"/>
        <w:rPr>
          <w:b/>
          <w:sz w:val="16"/>
          <w:szCs w:val="16"/>
        </w:rPr>
      </w:pPr>
    </w:p>
    <w:p w:rsidR="00BE6DEE" w:rsidRDefault="00BE6DEE" w:rsidP="000F59B6">
      <w:pPr>
        <w:pStyle w:val="ListParagraph"/>
        <w:ind w:left="0"/>
        <w:jc w:val="both"/>
      </w:pPr>
      <w:r>
        <w:t>Cummings Health Care Facility, Inc. is licensed for 34 NF/SNF beds and 20 Level IV Residential Care beds. The facility is located at 5 Crocker Street in Howland Maine. The administrator is Melinda Goslin. The license was issued on November 21, 2012 and is valid from December 1, 2012 through November 30, 2013.</w:t>
      </w:r>
    </w:p>
    <w:p w:rsidR="00BE6DEE" w:rsidRDefault="00BE6DEE" w:rsidP="000F59B6">
      <w:pPr>
        <w:pStyle w:val="ListParagraph"/>
        <w:ind w:left="0"/>
        <w:jc w:val="both"/>
      </w:pPr>
    </w:p>
    <w:p w:rsidR="00C01153" w:rsidRDefault="00BE6DEE" w:rsidP="000F59B6">
      <w:pPr>
        <w:pStyle w:val="ListParagraph"/>
        <w:ind w:left="0"/>
        <w:jc w:val="both"/>
      </w:pPr>
      <w:r>
        <w:t>A review of Cummings Health Care Facility, Inc. last completed survey data, available from Medicare.gov website revealed the following ratings:</w:t>
      </w:r>
    </w:p>
    <w:p w:rsidR="00BE6DEE" w:rsidRDefault="00BE6DEE" w:rsidP="000F59B6">
      <w:pPr>
        <w:pStyle w:val="ListParagraph"/>
        <w:ind w:left="0"/>
        <w:jc w:val="both"/>
      </w:pPr>
    </w:p>
    <w:tbl>
      <w:tblPr>
        <w:tblW w:w="0" w:type="auto"/>
        <w:jc w:val="center"/>
        <w:tblInd w:w="1725" w:type="dxa"/>
        <w:tblLayout w:type="fixed"/>
        <w:tblCellMar>
          <w:left w:w="30" w:type="dxa"/>
          <w:right w:w="30" w:type="dxa"/>
        </w:tblCellMar>
        <w:tblLook w:val="0000" w:firstRow="0" w:lastRow="0" w:firstColumn="0" w:lastColumn="0" w:noHBand="0" w:noVBand="0"/>
      </w:tblPr>
      <w:tblGrid>
        <w:gridCol w:w="1999"/>
        <w:gridCol w:w="2256"/>
      </w:tblGrid>
      <w:tr w:rsidR="00BE6DEE" w:rsidTr="009D7AC0">
        <w:trPr>
          <w:trHeight w:val="290"/>
          <w:jc w:val="center"/>
        </w:trPr>
        <w:tc>
          <w:tcPr>
            <w:tcW w:w="4255" w:type="dxa"/>
            <w:gridSpan w:val="2"/>
            <w:tcBorders>
              <w:top w:val="single" w:sz="6" w:space="0" w:color="auto"/>
              <w:left w:val="single" w:sz="6" w:space="0" w:color="auto"/>
              <w:bottom w:val="nil"/>
              <w:right w:val="single" w:sz="6" w:space="0" w:color="auto"/>
            </w:tcBorders>
          </w:tcPr>
          <w:p w:rsidR="00BE6DEE" w:rsidRPr="007007F3" w:rsidRDefault="00BE6DEE" w:rsidP="000F59B6">
            <w:pPr>
              <w:autoSpaceDE w:val="0"/>
              <w:autoSpaceDN w:val="0"/>
              <w:adjustRightInd w:val="0"/>
              <w:jc w:val="both"/>
              <w:rPr>
                <w:b/>
                <w:bCs/>
                <w:color w:val="000000"/>
              </w:rPr>
            </w:pPr>
            <w:r w:rsidRPr="007007F3">
              <w:rPr>
                <w:b/>
                <w:bCs/>
                <w:color w:val="000000"/>
              </w:rPr>
              <w:t>Cummings Health Care Facility, Inc.</w:t>
            </w:r>
          </w:p>
        </w:tc>
      </w:tr>
      <w:tr w:rsidR="00BE6DEE" w:rsidTr="009D7AC0">
        <w:trPr>
          <w:trHeight w:val="290"/>
          <w:jc w:val="center"/>
        </w:trPr>
        <w:tc>
          <w:tcPr>
            <w:tcW w:w="4255" w:type="dxa"/>
            <w:gridSpan w:val="2"/>
            <w:tcBorders>
              <w:top w:val="nil"/>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b/>
                <w:bCs/>
                <w:color w:val="000000"/>
              </w:rPr>
            </w:pPr>
            <w:r w:rsidRPr="007007F3">
              <w:rPr>
                <w:b/>
                <w:bCs/>
                <w:color w:val="000000"/>
              </w:rPr>
              <w:t>Nursing Home Compare Ratings</w:t>
            </w:r>
          </w:p>
        </w:tc>
      </w:tr>
      <w:tr w:rsidR="00BE6DEE" w:rsidTr="009D7AC0">
        <w:trPr>
          <w:trHeight w:val="290"/>
          <w:jc w:val="center"/>
        </w:trPr>
        <w:tc>
          <w:tcPr>
            <w:tcW w:w="1999"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b/>
                <w:bCs/>
                <w:color w:val="000000"/>
              </w:rPr>
            </w:pPr>
            <w:r w:rsidRPr="007007F3">
              <w:rPr>
                <w:b/>
                <w:bCs/>
                <w:color w:val="000000"/>
              </w:rPr>
              <w:t>Category</w:t>
            </w:r>
          </w:p>
        </w:tc>
        <w:tc>
          <w:tcPr>
            <w:tcW w:w="2256"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b/>
                <w:bCs/>
                <w:color w:val="000000"/>
              </w:rPr>
            </w:pPr>
            <w:r w:rsidRPr="007007F3">
              <w:rPr>
                <w:b/>
                <w:bCs/>
                <w:color w:val="000000"/>
              </w:rPr>
              <w:t>Ratings</w:t>
            </w:r>
          </w:p>
        </w:tc>
      </w:tr>
      <w:tr w:rsidR="00BE6DEE" w:rsidTr="009D7AC0">
        <w:trPr>
          <w:trHeight w:val="290"/>
          <w:jc w:val="center"/>
        </w:trPr>
        <w:tc>
          <w:tcPr>
            <w:tcW w:w="1999"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Overall</w:t>
            </w:r>
          </w:p>
        </w:tc>
        <w:tc>
          <w:tcPr>
            <w:tcW w:w="2256"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Much Above Average</w:t>
            </w:r>
          </w:p>
        </w:tc>
      </w:tr>
      <w:tr w:rsidR="00BE6DEE" w:rsidTr="009D7AC0">
        <w:trPr>
          <w:trHeight w:val="290"/>
          <w:jc w:val="center"/>
        </w:trPr>
        <w:tc>
          <w:tcPr>
            <w:tcW w:w="1999"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Health Inspections</w:t>
            </w:r>
          </w:p>
        </w:tc>
        <w:tc>
          <w:tcPr>
            <w:tcW w:w="2256"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Average</w:t>
            </w:r>
          </w:p>
        </w:tc>
      </w:tr>
      <w:tr w:rsidR="00BE6DEE" w:rsidTr="009D7AC0">
        <w:trPr>
          <w:trHeight w:val="290"/>
          <w:jc w:val="center"/>
        </w:trPr>
        <w:tc>
          <w:tcPr>
            <w:tcW w:w="1999"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Staffing</w:t>
            </w:r>
          </w:p>
        </w:tc>
        <w:tc>
          <w:tcPr>
            <w:tcW w:w="2256"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Above Average</w:t>
            </w:r>
          </w:p>
        </w:tc>
      </w:tr>
      <w:tr w:rsidR="00BE6DEE" w:rsidTr="009D7AC0">
        <w:trPr>
          <w:trHeight w:val="290"/>
          <w:jc w:val="center"/>
        </w:trPr>
        <w:tc>
          <w:tcPr>
            <w:tcW w:w="1999"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Quality Ratings</w:t>
            </w:r>
          </w:p>
        </w:tc>
        <w:tc>
          <w:tcPr>
            <w:tcW w:w="2256" w:type="dxa"/>
            <w:tcBorders>
              <w:top w:val="single" w:sz="6" w:space="0" w:color="auto"/>
              <w:left w:val="single" w:sz="6" w:space="0" w:color="auto"/>
              <w:bottom w:val="single" w:sz="6" w:space="0" w:color="auto"/>
              <w:right w:val="single" w:sz="6" w:space="0" w:color="auto"/>
            </w:tcBorders>
          </w:tcPr>
          <w:p w:rsidR="00BE6DEE" w:rsidRPr="007007F3" w:rsidRDefault="00BE6DEE" w:rsidP="000F59B6">
            <w:pPr>
              <w:autoSpaceDE w:val="0"/>
              <w:autoSpaceDN w:val="0"/>
              <w:adjustRightInd w:val="0"/>
              <w:jc w:val="both"/>
              <w:rPr>
                <w:color w:val="000000"/>
              </w:rPr>
            </w:pPr>
            <w:r w:rsidRPr="007007F3">
              <w:rPr>
                <w:color w:val="000000"/>
              </w:rPr>
              <w:t>Much Above Average</w:t>
            </w:r>
          </w:p>
        </w:tc>
      </w:tr>
    </w:tbl>
    <w:p w:rsidR="00BE6DEE" w:rsidRPr="0019690A" w:rsidRDefault="00BE6DEE" w:rsidP="000F59B6">
      <w:pPr>
        <w:pStyle w:val="ListParagraph"/>
        <w:ind w:left="0"/>
        <w:jc w:val="both"/>
      </w:pPr>
    </w:p>
    <w:p w:rsidR="00912C23" w:rsidRDefault="00912C23" w:rsidP="000F59B6">
      <w:pPr>
        <w:jc w:val="both"/>
      </w:pPr>
      <w:r>
        <w:t xml:space="preserve">Cummings scored </w:t>
      </w:r>
      <w:r w:rsidR="006F1D1B">
        <w:t>“A</w:t>
      </w:r>
      <w:r>
        <w:t>verage</w:t>
      </w:r>
      <w:r w:rsidR="006F1D1B">
        <w:t>”</w:t>
      </w:r>
      <w:r>
        <w:t xml:space="preserve"> or above in all four categories rated by CMS with an overall rating of </w:t>
      </w:r>
      <w:r w:rsidR="006F1D1B">
        <w:t>“Much Above A</w:t>
      </w:r>
      <w:r>
        <w:t>verage</w:t>
      </w:r>
      <w:r w:rsidR="00BD0820">
        <w:t>”</w:t>
      </w:r>
      <w:r>
        <w:t xml:space="preserve">. </w:t>
      </w:r>
      <w:r w:rsidR="006F1D1B">
        <w:t>T</w:t>
      </w:r>
      <w:r>
        <w:t xml:space="preserve">he last </w:t>
      </w:r>
      <w:r w:rsidR="006F1D1B">
        <w:t xml:space="preserve">recertification </w:t>
      </w:r>
      <w:r>
        <w:t xml:space="preserve">survey </w:t>
      </w:r>
      <w:r w:rsidR="006F1D1B">
        <w:t xml:space="preserve">was </w:t>
      </w:r>
      <w:r>
        <w:t>conducted on 10/25/2012</w:t>
      </w:r>
      <w:r w:rsidR="006F1D1B">
        <w:t xml:space="preserve">. The result of the survey was the identification </w:t>
      </w:r>
      <w:r w:rsidR="00DF6472">
        <w:t>of six</w:t>
      </w:r>
      <w:r>
        <w:t xml:space="preserve"> deficiencies</w:t>
      </w:r>
      <w:r w:rsidR="006F1D1B">
        <w:t>. A</w:t>
      </w:r>
      <w:r>
        <w:t xml:space="preserve"> </w:t>
      </w:r>
      <w:r w:rsidR="006F1D1B">
        <w:t xml:space="preserve">six deficiencies </w:t>
      </w:r>
      <w:r>
        <w:t>were Level 2 (minimal harm or potential for actual harm) or below. The average number of health deficien</w:t>
      </w:r>
      <w:r w:rsidR="00B87247">
        <w:t>cies</w:t>
      </w:r>
      <w:r>
        <w:t xml:space="preserve"> </w:t>
      </w:r>
      <w:r w:rsidR="006F1D1B">
        <w:t xml:space="preserve">identified during a recertification survey </w:t>
      </w:r>
      <w:r>
        <w:t>in Maine is 4.</w:t>
      </w:r>
      <w:r w:rsidR="00B87247">
        <w:t>1</w:t>
      </w:r>
      <w:r>
        <w:t xml:space="preserve"> and the average number of health deficiencies in the United States is 6.8.</w:t>
      </w:r>
    </w:p>
    <w:p w:rsidR="00912C23" w:rsidRDefault="00912C23" w:rsidP="000F59B6">
      <w:pPr>
        <w:jc w:val="both"/>
      </w:pPr>
    </w:p>
    <w:p w:rsidR="00912C23" w:rsidRDefault="00B87247" w:rsidP="000F59B6">
      <w:pPr>
        <w:jc w:val="both"/>
      </w:pPr>
      <w:r>
        <w:t>Inspectors determined that the nursing home failed to:</w:t>
      </w:r>
    </w:p>
    <w:p w:rsidR="005D1220" w:rsidRDefault="005D1220" w:rsidP="000F59B6">
      <w:pPr>
        <w:jc w:val="both"/>
      </w:pPr>
    </w:p>
    <w:p w:rsidR="00B87247" w:rsidRDefault="00B87247" w:rsidP="000F59B6">
      <w:pPr>
        <w:ind w:left="1440" w:hanging="720"/>
        <w:jc w:val="both"/>
      </w:pPr>
      <w:r w:rsidRPr="005D1220">
        <w:rPr>
          <w:b/>
        </w:rPr>
        <w:t>1)</w:t>
      </w:r>
      <w:r w:rsidR="005D1220">
        <w:tab/>
      </w:r>
      <w:r>
        <w:t>Develop policies that prevent mistreatment, neglect or abuse of residents or theft of property.</w:t>
      </w:r>
    </w:p>
    <w:p w:rsidR="00B87247" w:rsidRDefault="00B87247" w:rsidP="000F59B6">
      <w:pPr>
        <w:jc w:val="both"/>
      </w:pPr>
    </w:p>
    <w:p w:rsidR="00B87247" w:rsidRDefault="00B87247" w:rsidP="000F59B6">
      <w:pPr>
        <w:ind w:left="1440" w:hanging="720"/>
        <w:jc w:val="both"/>
      </w:pPr>
      <w:r w:rsidRPr="005D1220">
        <w:rPr>
          <w:b/>
        </w:rPr>
        <w:t>2)</w:t>
      </w:r>
      <w:r w:rsidR="005D1220">
        <w:tab/>
      </w:r>
      <w:r>
        <w:t>Maintain drug records and properly mark/label drugs and other similar products according to accepted professional standards.</w:t>
      </w:r>
    </w:p>
    <w:p w:rsidR="00B87247" w:rsidRDefault="00B87247" w:rsidP="000F59B6">
      <w:pPr>
        <w:jc w:val="both"/>
      </w:pPr>
    </w:p>
    <w:p w:rsidR="00B87247" w:rsidRDefault="00B87247" w:rsidP="000F59B6">
      <w:pPr>
        <w:ind w:firstLine="720"/>
        <w:jc w:val="both"/>
      </w:pPr>
      <w:r w:rsidRPr="005D1220">
        <w:rPr>
          <w:b/>
        </w:rPr>
        <w:t>3)</w:t>
      </w:r>
      <w:r w:rsidR="005D1220">
        <w:rPr>
          <w:b/>
        </w:rPr>
        <w:tab/>
      </w:r>
      <w:r>
        <w:t>Provide housekeeping and maintenance services.</w:t>
      </w:r>
    </w:p>
    <w:p w:rsidR="00B87247" w:rsidRDefault="00B87247" w:rsidP="000F59B6">
      <w:pPr>
        <w:jc w:val="both"/>
      </w:pPr>
    </w:p>
    <w:p w:rsidR="00B87247" w:rsidRDefault="00B87247" w:rsidP="000F59B6">
      <w:pPr>
        <w:ind w:left="1440" w:hanging="720"/>
        <w:jc w:val="both"/>
      </w:pPr>
      <w:r w:rsidRPr="005D1220">
        <w:rPr>
          <w:b/>
        </w:rPr>
        <w:t>4)</w:t>
      </w:r>
      <w:r w:rsidR="005D1220">
        <w:tab/>
      </w:r>
      <w:r>
        <w:t>Make sure that the nursing home area is free from accident hazards and risks and provides supervision to prevent avoidable accidents.</w:t>
      </w:r>
    </w:p>
    <w:p w:rsidR="00B87247" w:rsidRDefault="00B87247" w:rsidP="000F59B6">
      <w:pPr>
        <w:jc w:val="both"/>
      </w:pPr>
    </w:p>
    <w:p w:rsidR="00B87247" w:rsidRDefault="005D1220" w:rsidP="000F59B6">
      <w:pPr>
        <w:ind w:firstLine="720"/>
        <w:jc w:val="both"/>
      </w:pPr>
      <w:r w:rsidRPr="005D1220">
        <w:rPr>
          <w:b/>
        </w:rPr>
        <w:t>5)</w:t>
      </w:r>
      <w:r>
        <w:rPr>
          <w:b/>
        </w:rPr>
        <w:tab/>
      </w:r>
      <w:r w:rsidR="00B87247">
        <w:t xml:space="preserve">Have a program that </w:t>
      </w:r>
      <w:r>
        <w:t>investigates</w:t>
      </w:r>
      <w:r w:rsidR="00B87247">
        <w:t xml:space="preserve"> controls and keeps infection from spreading.</w:t>
      </w:r>
    </w:p>
    <w:p w:rsidR="00B87247" w:rsidRDefault="00B87247" w:rsidP="000F59B6">
      <w:pPr>
        <w:jc w:val="both"/>
      </w:pPr>
    </w:p>
    <w:p w:rsidR="00912C23" w:rsidRDefault="005D1220" w:rsidP="000F59B6">
      <w:pPr>
        <w:ind w:left="1440" w:hanging="720"/>
        <w:jc w:val="both"/>
      </w:pPr>
      <w:r w:rsidRPr="005D1220">
        <w:rPr>
          <w:b/>
        </w:rPr>
        <w:t>6)</w:t>
      </w:r>
      <w:r>
        <w:tab/>
      </w:r>
      <w:r w:rsidR="00B87247">
        <w:t>Make sure that a working call system is available in each resident’s room or bathroom and bathing area.</w:t>
      </w:r>
    </w:p>
    <w:p w:rsidR="00912C23" w:rsidRDefault="00912C23" w:rsidP="000F59B6">
      <w:pPr>
        <w:jc w:val="both"/>
      </w:pPr>
    </w:p>
    <w:p w:rsidR="00BD2FA6" w:rsidRDefault="00912C23" w:rsidP="000F59B6">
      <w:pPr>
        <w:jc w:val="both"/>
      </w:pPr>
      <w:r>
        <w:t>All deficiencies were corrected by 11/27/2012.</w:t>
      </w:r>
    </w:p>
    <w:p w:rsidR="00B87247" w:rsidRDefault="00B87247" w:rsidP="000F59B6">
      <w:pPr>
        <w:jc w:val="both"/>
      </w:pPr>
    </w:p>
    <w:p w:rsidR="00B87247" w:rsidRPr="0019690A" w:rsidRDefault="00B87247" w:rsidP="000F59B6">
      <w:pPr>
        <w:jc w:val="both"/>
      </w:pPr>
      <w:r>
        <w:t>Survey data for this facility can be accessed at Medicare.gov and is on file at CONU.</w:t>
      </w:r>
    </w:p>
    <w:p w:rsidR="007007F3" w:rsidRDefault="007007F3" w:rsidP="000F59B6">
      <w:pPr>
        <w:jc w:val="both"/>
      </w:pPr>
    </w:p>
    <w:p w:rsidR="003E61AB" w:rsidRPr="0019690A" w:rsidRDefault="003E61AB" w:rsidP="000F59B6">
      <w:pPr>
        <w:jc w:val="both"/>
      </w:pPr>
      <w:r w:rsidRPr="0019690A">
        <w:t>The commissioner can rely on data available to the department regarding the quality of health care provided by the applicant as allowed</w:t>
      </w:r>
      <w:r w:rsidR="00C9535E" w:rsidRPr="0019690A">
        <w:t xml:space="preserve"> at M.R.S. 22 §337 (3).</w:t>
      </w:r>
    </w:p>
    <w:p w:rsidR="00F62A4F" w:rsidRDefault="00F62A4F" w:rsidP="003E61AB">
      <w:pPr>
        <w:rPr>
          <w:b/>
        </w:rPr>
      </w:pPr>
    </w:p>
    <w:p w:rsidR="003E61AB" w:rsidRPr="0019690A" w:rsidRDefault="003E61AB" w:rsidP="007A659C">
      <w:pPr>
        <w:rPr>
          <w:b/>
        </w:rPr>
      </w:pPr>
      <w:r w:rsidRPr="0019690A">
        <w:rPr>
          <w:b/>
        </w:rPr>
        <w:t>Deeming of Standard</w:t>
      </w:r>
    </w:p>
    <w:p w:rsidR="003E61AB" w:rsidRPr="001E09AD" w:rsidRDefault="003E61AB" w:rsidP="008E41AC">
      <w:pPr>
        <w:rPr>
          <w:sz w:val="16"/>
          <w:szCs w:val="16"/>
        </w:rPr>
      </w:pPr>
    </w:p>
    <w:p w:rsidR="003E61AB" w:rsidRDefault="003E61AB" w:rsidP="008E41AC">
      <w:r w:rsidRPr="0019690A">
        <w:t>As provided for at 22 M.R.S. § 335 (7</w:t>
      </w:r>
      <w:proofErr w:type="gramStart"/>
      <w:r w:rsidRPr="0019690A">
        <w:t>)(</w:t>
      </w:r>
      <w:proofErr w:type="gramEnd"/>
      <w:r w:rsidRPr="0019690A">
        <w:t>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r w:rsidR="00B87247">
        <w:t>.</w:t>
      </w:r>
    </w:p>
    <w:p w:rsidR="00B87247" w:rsidRDefault="00B87247" w:rsidP="008E41AC"/>
    <w:p w:rsidR="00B87247" w:rsidRPr="0019690A" w:rsidRDefault="00B87247" w:rsidP="008E41AC">
      <w:r>
        <w:t xml:space="preserve">Cummings has been under the ownership of the Cummings family since 1973 and has been a provider of </w:t>
      </w:r>
      <w:r w:rsidR="0003323D">
        <w:t xml:space="preserve">both </w:t>
      </w:r>
      <w:r>
        <w:t>SNF/NF beds and Level IV Residential Care beds for decades.</w:t>
      </w:r>
      <w:r w:rsidR="0003323D">
        <w:t xml:space="preserve"> The services provided by the applicant are consistent with applicable licensing and certification standards.</w:t>
      </w:r>
    </w:p>
    <w:p w:rsidR="00273571" w:rsidRDefault="00273571" w:rsidP="008E41AC"/>
    <w:p w:rsidR="00C115BD" w:rsidRPr="00137E29" w:rsidRDefault="008E41AC" w:rsidP="008E41AC">
      <w:pPr>
        <w:rPr>
          <w:b/>
        </w:rPr>
      </w:pPr>
      <w:r w:rsidRPr="00137E29">
        <w:rPr>
          <w:b/>
        </w:rPr>
        <w:t xml:space="preserve">Conclusion </w:t>
      </w:r>
    </w:p>
    <w:p w:rsidR="00AE3C39" w:rsidRPr="001E09AD" w:rsidRDefault="00AE3C39" w:rsidP="008E41AC">
      <w:pPr>
        <w:rPr>
          <w:b/>
          <w:sz w:val="16"/>
          <w:szCs w:val="16"/>
        </w:rPr>
      </w:pPr>
    </w:p>
    <w:p w:rsidR="00AE3C39" w:rsidRPr="0019690A" w:rsidRDefault="00502D9E" w:rsidP="00AE3C39">
      <w:r>
        <w:t xml:space="preserve">The </w:t>
      </w:r>
      <w:r w:rsidR="008F244E" w:rsidRPr="0019690A">
        <w:t>Cer</w:t>
      </w:r>
      <w:r w:rsidR="00FB0F83">
        <w:t>tificate of Need Unit recommend</w:t>
      </w:r>
      <w:r>
        <w:t>s</w:t>
      </w:r>
      <w:r w:rsidR="009530A6">
        <w:t xml:space="preserve"> </w:t>
      </w:r>
      <w:r w:rsidR="009530A6" w:rsidRPr="0019690A">
        <w:t>that</w:t>
      </w:r>
      <w:r w:rsidR="008F244E" w:rsidRPr="0019690A">
        <w:t xml:space="preserve"> the Commissioner find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7125EA" w:rsidRPr="0019690A" w:rsidRDefault="007125EA" w:rsidP="00AE3C39"/>
    <w:p w:rsidR="00AE3C39" w:rsidRPr="0019690A" w:rsidRDefault="00AE3C39" w:rsidP="008E41AC">
      <w:pPr>
        <w:sectPr w:rsidR="00AE3C39" w:rsidRPr="0019690A" w:rsidSect="00137E29">
          <w:headerReference w:type="default" r:id="rId12"/>
          <w:pgSz w:w="12240" w:h="15840"/>
          <w:pgMar w:top="1440" w:right="1440" w:bottom="1440" w:left="1440" w:header="720" w:footer="720" w:gutter="0"/>
          <w:cols w:space="720"/>
          <w:docGrid w:linePitch="360"/>
        </w:sectPr>
      </w:pPr>
    </w:p>
    <w:p w:rsidR="00861AD4" w:rsidRPr="006E3BB1" w:rsidRDefault="004336AF" w:rsidP="00861AD4">
      <w:pPr>
        <w:pStyle w:val="Heading1"/>
        <w:rPr>
          <w:rFonts w:ascii="Times New Roman" w:hAnsi="Times New Roman" w:cs="Times New Roman"/>
          <w:sz w:val="24"/>
          <w:szCs w:val="24"/>
          <w:u w:val="single"/>
        </w:rPr>
      </w:pPr>
      <w:bookmarkStart w:id="14" w:name="_Ref195319937"/>
      <w:r w:rsidRPr="006E3BB1">
        <w:rPr>
          <w:rFonts w:ascii="Times New Roman" w:hAnsi="Times New Roman" w:cs="Times New Roman"/>
          <w:sz w:val="24"/>
          <w:szCs w:val="24"/>
          <w:u w:val="single"/>
        </w:rPr>
        <w:t xml:space="preserve">III. </w:t>
      </w:r>
      <w:bookmarkEnd w:id="14"/>
      <w:r w:rsidR="00237C8E" w:rsidRPr="006E3BB1">
        <w:rPr>
          <w:rFonts w:ascii="Times New Roman" w:hAnsi="Times New Roman" w:cs="Times New Roman"/>
          <w:sz w:val="24"/>
          <w:szCs w:val="24"/>
          <w:u w:val="single"/>
        </w:rPr>
        <w:t>Economic Feasibility</w:t>
      </w:r>
    </w:p>
    <w:p w:rsidR="00861AD4" w:rsidRPr="0019690A" w:rsidRDefault="00861AD4" w:rsidP="005E5A17">
      <w:pPr>
        <w:rPr>
          <w:b/>
        </w:rPr>
      </w:pPr>
    </w:p>
    <w:p w:rsidR="00FF631B" w:rsidRPr="00137E29" w:rsidRDefault="00137E29" w:rsidP="00861AD4">
      <w:pPr>
        <w:rPr>
          <w:b/>
        </w:rPr>
      </w:pPr>
      <w:r>
        <w:rPr>
          <w:b/>
        </w:rPr>
        <w:t xml:space="preserve">A. </w:t>
      </w:r>
      <w:r w:rsidR="00FF631B" w:rsidRPr="00137E29">
        <w:rPr>
          <w:b/>
        </w:rPr>
        <w:t xml:space="preserve">From Applicant </w:t>
      </w:r>
    </w:p>
    <w:p w:rsidR="00137E29" w:rsidRPr="001E09AD" w:rsidRDefault="00137E29" w:rsidP="00861AD4">
      <w:pPr>
        <w:rPr>
          <w:b/>
          <w:sz w:val="16"/>
          <w:szCs w:val="16"/>
          <w:u w:val="single"/>
        </w:rPr>
      </w:pPr>
    </w:p>
    <w:p w:rsidR="00A01541" w:rsidRPr="009C2B70" w:rsidRDefault="00137E29" w:rsidP="00137E29">
      <w:pPr>
        <w:tabs>
          <w:tab w:val="left" w:pos="0"/>
          <w:tab w:val="left" w:pos="450"/>
        </w:tabs>
        <w:contextualSpacing/>
        <w:jc w:val="both"/>
        <w:rPr>
          <w:sz w:val="22"/>
          <w:szCs w:val="22"/>
        </w:rPr>
      </w:pPr>
      <w:r w:rsidRPr="009C2B70">
        <w:rPr>
          <w:sz w:val="22"/>
          <w:szCs w:val="22"/>
        </w:rPr>
        <w:t>“</w:t>
      </w:r>
      <w:r w:rsidR="00A01541" w:rsidRPr="009C2B70">
        <w:rPr>
          <w:sz w:val="22"/>
          <w:szCs w:val="22"/>
        </w:rPr>
        <w:t>As discussed during the Technical Assistance Meeting and outlined in the Letter of Intent, the proposed change in ownership will have no impact on the facility’s operations or financial results. We have enclosed a copy of CHCF’s 2012 “as filed” MaineCare cost report (See Exhibit III) which provides a representation of the facility’s anticipated operating expenses subsequent to the change in ownership. Staffing patterns will be consistent with the facility’s historical operations and employee benefits currently in place will continue. Other costs are anticipated to remain consistent with 2012 or increase nominally with inflation.</w:t>
      </w:r>
      <w:r w:rsidRPr="009C2B70">
        <w:rPr>
          <w:sz w:val="22"/>
          <w:szCs w:val="22"/>
        </w:rPr>
        <w:t>”</w:t>
      </w:r>
    </w:p>
    <w:p w:rsidR="00A01541" w:rsidRPr="009C2B70" w:rsidRDefault="00A01541" w:rsidP="00137E29">
      <w:pPr>
        <w:tabs>
          <w:tab w:val="left" w:pos="0"/>
          <w:tab w:val="left" w:pos="450"/>
        </w:tabs>
        <w:jc w:val="both"/>
        <w:rPr>
          <w:sz w:val="22"/>
          <w:szCs w:val="22"/>
        </w:rPr>
      </w:pPr>
    </w:p>
    <w:p w:rsidR="00A01541" w:rsidRPr="009C2B70" w:rsidRDefault="00137E29" w:rsidP="00137E29">
      <w:pPr>
        <w:tabs>
          <w:tab w:val="left" w:pos="0"/>
          <w:tab w:val="left" w:pos="450"/>
        </w:tabs>
        <w:jc w:val="both"/>
        <w:rPr>
          <w:sz w:val="22"/>
          <w:szCs w:val="22"/>
        </w:rPr>
      </w:pPr>
      <w:r w:rsidRPr="009C2B70">
        <w:rPr>
          <w:sz w:val="22"/>
          <w:szCs w:val="22"/>
        </w:rPr>
        <w:t>“</w:t>
      </w:r>
      <w:r w:rsidR="00A01541" w:rsidRPr="009C2B70">
        <w:rPr>
          <w:sz w:val="22"/>
          <w:szCs w:val="22"/>
        </w:rPr>
        <w:t>We have taken steps in recent years to contain costs and align the facility’s expenses with our reimbursement rates while increasing census. These steps have successfully allowed the facility to return to profitability in 2012 and generate positive cash flows.</w:t>
      </w:r>
      <w:r w:rsidRPr="009C2B70">
        <w:rPr>
          <w:sz w:val="22"/>
          <w:szCs w:val="22"/>
        </w:rPr>
        <w:t>”</w:t>
      </w:r>
    </w:p>
    <w:p w:rsidR="00A01541" w:rsidRPr="009C2B70" w:rsidRDefault="00A01541" w:rsidP="00137E29">
      <w:pPr>
        <w:tabs>
          <w:tab w:val="left" w:pos="0"/>
          <w:tab w:val="left" w:pos="450"/>
        </w:tabs>
        <w:jc w:val="both"/>
        <w:rPr>
          <w:sz w:val="22"/>
          <w:szCs w:val="22"/>
        </w:rPr>
      </w:pPr>
    </w:p>
    <w:p w:rsidR="00A01541" w:rsidRPr="009C2B70" w:rsidRDefault="00137E29" w:rsidP="00137E29">
      <w:pPr>
        <w:tabs>
          <w:tab w:val="left" w:pos="0"/>
          <w:tab w:val="left" w:pos="450"/>
        </w:tabs>
        <w:jc w:val="both"/>
        <w:rPr>
          <w:sz w:val="22"/>
          <w:szCs w:val="22"/>
        </w:rPr>
      </w:pPr>
      <w:r w:rsidRPr="009C2B70">
        <w:rPr>
          <w:sz w:val="22"/>
          <w:szCs w:val="22"/>
        </w:rPr>
        <w:t>“</w:t>
      </w:r>
      <w:r w:rsidR="00A01541" w:rsidRPr="009C2B70">
        <w:rPr>
          <w:sz w:val="22"/>
          <w:szCs w:val="22"/>
        </w:rPr>
        <w:t>The following provides a summary of CHCF’s 2011 and 2012 income statements which were excerpted from the reviewed financial statements. The 2011 and 2012 financial statements were reviewed by BerryDunn and their reports dated April 25, 2012 and April 3, 2013, respectively contained no exceptions.</w:t>
      </w:r>
      <w:r w:rsidRPr="009C2B70">
        <w:rPr>
          <w:sz w:val="22"/>
          <w:szCs w:val="22"/>
        </w:rPr>
        <w:t>”</w:t>
      </w:r>
    </w:p>
    <w:p w:rsidR="00A01541" w:rsidRDefault="00A01541" w:rsidP="00A01541">
      <w:pPr>
        <w:tabs>
          <w:tab w:val="left" w:pos="540"/>
        </w:tabs>
        <w:jc w:val="both"/>
      </w:pPr>
    </w:p>
    <w:tbl>
      <w:tblPr>
        <w:tblStyle w:val="TableGrid"/>
        <w:tblW w:w="0" w:type="auto"/>
        <w:jc w:val="center"/>
        <w:tblInd w:w="1638" w:type="dxa"/>
        <w:tblBorders>
          <w:insideH w:val="none" w:sz="0" w:space="0" w:color="auto"/>
          <w:insideV w:val="none" w:sz="0" w:space="0" w:color="auto"/>
        </w:tblBorders>
        <w:tblLook w:val="04A0" w:firstRow="1" w:lastRow="0" w:firstColumn="1" w:lastColumn="0" w:noHBand="0" w:noVBand="1"/>
      </w:tblPr>
      <w:tblGrid>
        <w:gridCol w:w="3870"/>
        <w:gridCol w:w="1710"/>
        <w:gridCol w:w="1710"/>
      </w:tblGrid>
      <w:tr w:rsidR="008F3BC2" w:rsidTr="00283C25">
        <w:trPr>
          <w:jc w:val="center"/>
        </w:trPr>
        <w:tc>
          <w:tcPr>
            <w:tcW w:w="3870" w:type="dxa"/>
          </w:tcPr>
          <w:p w:rsidR="008F3BC2" w:rsidRPr="00283C25" w:rsidRDefault="008F3BC2" w:rsidP="00A01541">
            <w:pPr>
              <w:tabs>
                <w:tab w:val="left" w:pos="540"/>
              </w:tabs>
              <w:jc w:val="both"/>
              <w:rPr>
                <w:sz w:val="22"/>
                <w:szCs w:val="22"/>
              </w:rPr>
            </w:pPr>
          </w:p>
        </w:tc>
        <w:tc>
          <w:tcPr>
            <w:tcW w:w="1710" w:type="dxa"/>
          </w:tcPr>
          <w:p w:rsidR="008F3BC2" w:rsidRPr="00283C25" w:rsidRDefault="008F3BC2" w:rsidP="008F3BC2">
            <w:pPr>
              <w:tabs>
                <w:tab w:val="left" w:pos="540"/>
              </w:tabs>
              <w:jc w:val="center"/>
              <w:rPr>
                <w:sz w:val="22"/>
                <w:szCs w:val="22"/>
                <w:u w:val="single"/>
              </w:rPr>
            </w:pPr>
            <w:r w:rsidRPr="00283C25">
              <w:rPr>
                <w:sz w:val="22"/>
                <w:szCs w:val="22"/>
                <w:u w:val="single"/>
              </w:rPr>
              <w:t>2011</w:t>
            </w:r>
          </w:p>
        </w:tc>
        <w:tc>
          <w:tcPr>
            <w:tcW w:w="1710" w:type="dxa"/>
          </w:tcPr>
          <w:p w:rsidR="008F3BC2" w:rsidRPr="00283C25" w:rsidRDefault="008F3BC2" w:rsidP="008F3BC2">
            <w:pPr>
              <w:tabs>
                <w:tab w:val="left" w:pos="540"/>
              </w:tabs>
              <w:jc w:val="center"/>
              <w:rPr>
                <w:sz w:val="22"/>
                <w:szCs w:val="22"/>
                <w:u w:val="single"/>
              </w:rPr>
            </w:pPr>
            <w:r w:rsidRPr="00283C25">
              <w:rPr>
                <w:sz w:val="22"/>
                <w:szCs w:val="22"/>
                <w:u w:val="single"/>
              </w:rPr>
              <w:t>2012</w:t>
            </w:r>
          </w:p>
        </w:tc>
      </w:tr>
      <w:tr w:rsidR="008F3BC2" w:rsidTr="00283C25">
        <w:trPr>
          <w:jc w:val="center"/>
        </w:trPr>
        <w:tc>
          <w:tcPr>
            <w:tcW w:w="3870" w:type="dxa"/>
          </w:tcPr>
          <w:p w:rsidR="008F3BC2" w:rsidRPr="00283C25" w:rsidRDefault="008F3BC2" w:rsidP="00A01541">
            <w:pPr>
              <w:tabs>
                <w:tab w:val="left" w:pos="540"/>
              </w:tabs>
              <w:jc w:val="both"/>
              <w:rPr>
                <w:sz w:val="22"/>
                <w:szCs w:val="22"/>
              </w:rPr>
            </w:pPr>
            <w:r w:rsidRPr="00283C25">
              <w:rPr>
                <w:sz w:val="22"/>
                <w:szCs w:val="22"/>
              </w:rPr>
              <w:t>Net resident service revenue</w:t>
            </w:r>
          </w:p>
        </w:tc>
        <w:tc>
          <w:tcPr>
            <w:tcW w:w="1710" w:type="dxa"/>
          </w:tcPr>
          <w:p w:rsidR="008F3BC2" w:rsidRPr="00283C25" w:rsidRDefault="008F3BC2" w:rsidP="00A01541">
            <w:pPr>
              <w:tabs>
                <w:tab w:val="left" w:pos="540"/>
              </w:tabs>
              <w:jc w:val="both"/>
              <w:rPr>
                <w:sz w:val="22"/>
                <w:szCs w:val="22"/>
              </w:rPr>
            </w:pPr>
            <w:r w:rsidRPr="00283C25">
              <w:rPr>
                <w:sz w:val="22"/>
                <w:szCs w:val="22"/>
              </w:rPr>
              <w:t>$2,759,018</w:t>
            </w:r>
          </w:p>
        </w:tc>
        <w:tc>
          <w:tcPr>
            <w:tcW w:w="1710" w:type="dxa"/>
          </w:tcPr>
          <w:p w:rsidR="008F3BC2" w:rsidRPr="00283C25" w:rsidRDefault="008F3BC2" w:rsidP="00A01541">
            <w:pPr>
              <w:tabs>
                <w:tab w:val="left" w:pos="540"/>
              </w:tabs>
              <w:jc w:val="both"/>
              <w:rPr>
                <w:sz w:val="22"/>
                <w:szCs w:val="22"/>
              </w:rPr>
            </w:pPr>
            <w:r w:rsidRPr="00283C25">
              <w:rPr>
                <w:sz w:val="22"/>
                <w:szCs w:val="22"/>
              </w:rPr>
              <w:t>$2,940,171</w:t>
            </w:r>
          </w:p>
        </w:tc>
      </w:tr>
      <w:tr w:rsidR="008F3BC2" w:rsidTr="00283C25">
        <w:trPr>
          <w:jc w:val="center"/>
        </w:trPr>
        <w:tc>
          <w:tcPr>
            <w:tcW w:w="3870" w:type="dxa"/>
          </w:tcPr>
          <w:p w:rsidR="008F3BC2" w:rsidRPr="00283C25" w:rsidRDefault="008F3BC2" w:rsidP="00A01541">
            <w:pPr>
              <w:tabs>
                <w:tab w:val="left" w:pos="540"/>
              </w:tabs>
              <w:jc w:val="both"/>
              <w:rPr>
                <w:sz w:val="22"/>
                <w:szCs w:val="22"/>
              </w:rPr>
            </w:pPr>
            <w:r w:rsidRPr="00283C25">
              <w:rPr>
                <w:sz w:val="22"/>
                <w:szCs w:val="22"/>
              </w:rPr>
              <w:t>Total expenses</w:t>
            </w:r>
          </w:p>
        </w:tc>
        <w:tc>
          <w:tcPr>
            <w:tcW w:w="1710" w:type="dxa"/>
          </w:tcPr>
          <w:p w:rsidR="008F3BC2" w:rsidRPr="00283C25" w:rsidRDefault="008F3BC2" w:rsidP="00A01541">
            <w:pPr>
              <w:tabs>
                <w:tab w:val="left" w:pos="540"/>
              </w:tabs>
              <w:jc w:val="both"/>
              <w:rPr>
                <w:sz w:val="22"/>
                <w:szCs w:val="22"/>
              </w:rPr>
            </w:pPr>
            <w:r w:rsidRPr="00283C25">
              <w:rPr>
                <w:sz w:val="22"/>
                <w:szCs w:val="22"/>
              </w:rPr>
              <w:t>2,887,713</w:t>
            </w:r>
          </w:p>
        </w:tc>
        <w:tc>
          <w:tcPr>
            <w:tcW w:w="1710" w:type="dxa"/>
          </w:tcPr>
          <w:p w:rsidR="008F3BC2" w:rsidRPr="00283C25" w:rsidRDefault="008F3BC2" w:rsidP="00A01541">
            <w:pPr>
              <w:tabs>
                <w:tab w:val="left" w:pos="540"/>
              </w:tabs>
              <w:jc w:val="both"/>
              <w:rPr>
                <w:sz w:val="22"/>
                <w:szCs w:val="22"/>
              </w:rPr>
            </w:pPr>
            <w:r w:rsidRPr="00283C25">
              <w:rPr>
                <w:sz w:val="22"/>
                <w:szCs w:val="22"/>
              </w:rPr>
              <w:t>2,784,836</w:t>
            </w:r>
          </w:p>
        </w:tc>
      </w:tr>
      <w:tr w:rsidR="008F3BC2" w:rsidTr="00283C25">
        <w:trPr>
          <w:jc w:val="center"/>
        </w:trPr>
        <w:tc>
          <w:tcPr>
            <w:tcW w:w="3870" w:type="dxa"/>
          </w:tcPr>
          <w:p w:rsidR="00283C25" w:rsidRPr="00283C25" w:rsidRDefault="00283C25" w:rsidP="00A01541">
            <w:pPr>
              <w:tabs>
                <w:tab w:val="left" w:pos="540"/>
              </w:tabs>
              <w:jc w:val="both"/>
              <w:rPr>
                <w:sz w:val="22"/>
                <w:szCs w:val="22"/>
              </w:rPr>
            </w:pPr>
          </w:p>
          <w:p w:rsidR="008F3BC2" w:rsidRPr="00283C25" w:rsidRDefault="008F3BC2" w:rsidP="00A01541">
            <w:pPr>
              <w:tabs>
                <w:tab w:val="left" w:pos="540"/>
              </w:tabs>
              <w:jc w:val="both"/>
              <w:rPr>
                <w:sz w:val="22"/>
                <w:szCs w:val="22"/>
              </w:rPr>
            </w:pPr>
            <w:r w:rsidRPr="00283C25">
              <w:rPr>
                <w:sz w:val="22"/>
                <w:szCs w:val="22"/>
              </w:rPr>
              <w:t>Net (loss) income</w:t>
            </w:r>
          </w:p>
        </w:tc>
        <w:tc>
          <w:tcPr>
            <w:tcW w:w="1710" w:type="dxa"/>
          </w:tcPr>
          <w:p w:rsidR="00283C25" w:rsidRPr="00283C25" w:rsidRDefault="00283C25" w:rsidP="00A01541">
            <w:pPr>
              <w:tabs>
                <w:tab w:val="left" w:pos="540"/>
              </w:tabs>
              <w:jc w:val="both"/>
              <w:rPr>
                <w:sz w:val="22"/>
                <w:szCs w:val="22"/>
              </w:rPr>
            </w:pPr>
          </w:p>
          <w:p w:rsidR="008F3BC2" w:rsidRPr="00283C25" w:rsidRDefault="008F3BC2" w:rsidP="00A01541">
            <w:pPr>
              <w:tabs>
                <w:tab w:val="left" w:pos="540"/>
              </w:tabs>
              <w:jc w:val="both"/>
              <w:rPr>
                <w:sz w:val="22"/>
                <w:szCs w:val="22"/>
                <w:u w:val="double"/>
              </w:rPr>
            </w:pPr>
            <w:r w:rsidRPr="00283C25">
              <w:rPr>
                <w:sz w:val="22"/>
                <w:szCs w:val="22"/>
                <w:u w:val="double"/>
              </w:rPr>
              <w:t>$  (128,695)</w:t>
            </w:r>
          </w:p>
        </w:tc>
        <w:tc>
          <w:tcPr>
            <w:tcW w:w="1710" w:type="dxa"/>
          </w:tcPr>
          <w:p w:rsidR="00283C25" w:rsidRPr="00283C25" w:rsidRDefault="00283C25" w:rsidP="00A01541">
            <w:pPr>
              <w:tabs>
                <w:tab w:val="left" w:pos="540"/>
              </w:tabs>
              <w:jc w:val="both"/>
              <w:rPr>
                <w:sz w:val="22"/>
                <w:szCs w:val="22"/>
              </w:rPr>
            </w:pPr>
          </w:p>
          <w:p w:rsidR="008F3BC2" w:rsidRPr="00283C25" w:rsidRDefault="008F3BC2" w:rsidP="00A01541">
            <w:pPr>
              <w:tabs>
                <w:tab w:val="left" w:pos="540"/>
              </w:tabs>
              <w:jc w:val="both"/>
              <w:rPr>
                <w:sz w:val="22"/>
                <w:szCs w:val="22"/>
                <w:u w:val="double"/>
              </w:rPr>
            </w:pPr>
            <w:r w:rsidRPr="00283C25">
              <w:rPr>
                <w:sz w:val="22"/>
                <w:szCs w:val="22"/>
                <w:u w:val="double"/>
              </w:rPr>
              <w:t>$   155,335</w:t>
            </w:r>
          </w:p>
        </w:tc>
      </w:tr>
    </w:tbl>
    <w:p w:rsidR="008F3BC2" w:rsidRPr="00654D8C" w:rsidRDefault="008F3BC2" w:rsidP="00A01541">
      <w:pPr>
        <w:tabs>
          <w:tab w:val="left" w:pos="540"/>
        </w:tabs>
        <w:jc w:val="both"/>
      </w:pPr>
    </w:p>
    <w:p w:rsidR="00A01541" w:rsidRPr="009C2B70" w:rsidRDefault="009C2B70" w:rsidP="008C20DE">
      <w:pPr>
        <w:tabs>
          <w:tab w:val="left" w:pos="360"/>
        </w:tabs>
        <w:contextualSpacing/>
        <w:jc w:val="both"/>
        <w:rPr>
          <w:sz w:val="22"/>
          <w:szCs w:val="22"/>
        </w:rPr>
      </w:pPr>
      <w:r w:rsidRPr="009C2B70">
        <w:rPr>
          <w:sz w:val="22"/>
          <w:szCs w:val="22"/>
        </w:rPr>
        <w:t>“</w:t>
      </w:r>
      <w:r w:rsidR="00A01541" w:rsidRPr="009C2B70">
        <w:rPr>
          <w:sz w:val="22"/>
          <w:szCs w:val="22"/>
        </w:rPr>
        <w:t>Due to the current economic environment, management anticipates no significant changes in its rates other than a 2% reduction in its Medicare payments as result of sequestration (Medicare represents less than 10% of the Facility’s NF census). The 2012 cost report and financial statement results reflect a full year of the COLA adjustments (2% for nursing facilities and 1% for residential care facilities) that were effective October 1, 2011.</w:t>
      </w:r>
      <w:r w:rsidRPr="009C2B70">
        <w:rPr>
          <w:sz w:val="22"/>
          <w:szCs w:val="22"/>
        </w:rPr>
        <w:t>”</w:t>
      </w:r>
    </w:p>
    <w:p w:rsidR="00A01541" w:rsidRPr="009C2B70" w:rsidRDefault="00A01541" w:rsidP="008C20DE">
      <w:pPr>
        <w:tabs>
          <w:tab w:val="left" w:pos="360"/>
        </w:tabs>
        <w:ind w:left="360" w:hanging="360"/>
        <w:jc w:val="both"/>
        <w:rPr>
          <w:sz w:val="22"/>
          <w:szCs w:val="22"/>
        </w:rPr>
      </w:pPr>
    </w:p>
    <w:p w:rsidR="00A01541" w:rsidRPr="009C2B70" w:rsidRDefault="009C2B70" w:rsidP="008C20DE">
      <w:pPr>
        <w:tabs>
          <w:tab w:val="left" w:pos="360"/>
        </w:tabs>
        <w:jc w:val="both"/>
        <w:rPr>
          <w:sz w:val="22"/>
          <w:szCs w:val="22"/>
        </w:rPr>
      </w:pPr>
      <w:r w:rsidRPr="009C2B70">
        <w:rPr>
          <w:sz w:val="22"/>
          <w:szCs w:val="22"/>
        </w:rPr>
        <w:t>“</w:t>
      </w:r>
      <w:r w:rsidR="00A01541" w:rsidRPr="009C2B70">
        <w:rPr>
          <w:sz w:val="22"/>
          <w:szCs w:val="22"/>
        </w:rPr>
        <w:t>CHCF also operates a 20-bed PNMI Appendix C residential care facility. Although the proposed new model DHHS has set forth for this program includes significant administrative and payment changes for the program, we do not anticipate the changes will have a significant impact on the financ</w:t>
      </w:r>
      <w:r w:rsidRPr="009C2B70">
        <w:rPr>
          <w:sz w:val="22"/>
          <w:szCs w:val="22"/>
        </w:rPr>
        <w:t>ial operations of the facility.“</w:t>
      </w:r>
    </w:p>
    <w:p w:rsidR="00A01541" w:rsidRPr="00654D8C" w:rsidRDefault="00A01541" w:rsidP="008C20DE">
      <w:pPr>
        <w:jc w:val="both"/>
        <w:rPr>
          <w:b/>
          <w:u w:val="single"/>
        </w:rPr>
      </w:pPr>
    </w:p>
    <w:p w:rsidR="00237C8E" w:rsidRPr="00654D8C" w:rsidRDefault="00237C8E" w:rsidP="008C20DE">
      <w:pPr>
        <w:jc w:val="both"/>
      </w:pPr>
    </w:p>
    <w:p w:rsidR="00F62A4F" w:rsidRDefault="00F62A4F" w:rsidP="008C20DE">
      <w:pPr>
        <w:jc w:val="both"/>
        <w:rPr>
          <w:b/>
        </w:rPr>
        <w:sectPr w:rsidR="00F62A4F" w:rsidSect="00137E29">
          <w:headerReference w:type="default" r:id="rId13"/>
          <w:pgSz w:w="12240" w:h="15840"/>
          <w:pgMar w:top="1440" w:right="1440" w:bottom="1440" w:left="1440" w:header="720" w:footer="720" w:gutter="0"/>
          <w:cols w:space="720"/>
          <w:docGrid w:linePitch="360"/>
        </w:sectPr>
      </w:pPr>
    </w:p>
    <w:p w:rsidR="008E41AC" w:rsidRPr="009C2B70" w:rsidRDefault="009C2B70" w:rsidP="008C20DE">
      <w:pPr>
        <w:jc w:val="both"/>
        <w:rPr>
          <w:b/>
        </w:rPr>
      </w:pPr>
      <w:r w:rsidRPr="009C2B70">
        <w:rPr>
          <w:b/>
        </w:rPr>
        <w:t xml:space="preserve">B. </w:t>
      </w:r>
      <w:r w:rsidR="008F244E" w:rsidRPr="009C2B70">
        <w:rPr>
          <w:b/>
        </w:rPr>
        <w:t>Certificate of Need Unit Discussion</w:t>
      </w:r>
    </w:p>
    <w:p w:rsidR="008E41AC" w:rsidRPr="007007F3" w:rsidRDefault="008E41AC" w:rsidP="008C20DE">
      <w:pPr>
        <w:jc w:val="both"/>
        <w:rPr>
          <w:sz w:val="16"/>
          <w:szCs w:val="16"/>
        </w:rPr>
      </w:pPr>
    </w:p>
    <w:p w:rsidR="009D7AC0" w:rsidRPr="006E3BB1" w:rsidRDefault="009D7AC0" w:rsidP="006E3BB1">
      <w:pPr>
        <w:keepNext/>
        <w:jc w:val="both"/>
        <w:rPr>
          <w:b/>
        </w:rPr>
      </w:pPr>
      <w:r w:rsidRPr="006E3BB1">
        <w:rPr>
          <w:b/>
        </w:rPr>
        <w:t>CON Standard</w:t>
      </w:r>
    </w:p>
    <w:p w:rsidR="009D7AC0" w:rsidRPr="001E09AD" w:rsidRDefault="009D7AC0" w:rsidP="008C20DE">
      <w:pPr>
        <w:jc w:val="both"/>
        <w:rPr>
          <w:b/>
          <w:bCs/>
          <w:sz w:val="16"/>
          <w:szCs w:val="16"/>
        </w:rPr>
      </w:pPr>
    </w:p>
    <w:p w:rsidR="009D7AC0" w:rsidRDefault="009D7AC0" w:rsidP="008C20DE">
      <w:pPr>
        <w:jc w:val="both"/>
      </w:pPr>
      <w:r w:rsidRPr="001E09AD">
        <w:t>The relevant standards</w:t>
      </w:r>
      <w:r>
        <w:t xml:space="preserve"> for inclusion in this section are specific to the determination that the economic feasibility of the proposed services is demonstrated in terms of the:</w:t>
      </w:r>
    </w:p>
    <w:p w:rsidR="009D7AC0" w:rsidRDefault="009D7AC0" w:rsidP="008C20DE">
      <w:pPr>
        <w:jc w:val="both"/>
      </w:pPr>
    </w:p>
    <w:p w:rsidR="009D7AC0" w:rsidRDefault="009D7AC0" w:rsidP="008C20DE">
      <w:pPr>
        <w:numPr>
          <w:ilvl w:val="0"/>
          <w:numId w:val="27"/>
        </w:numPr>
        <w:jc w:val="both"/>
      </w:pPr>
      <w:r>
        <w:t>Capacity of the applicant to support the project financially over its useful life, in light of the rates the applicant expects to be able to charge for the services to be provided by the project; and</w:t>
      </w:r>
    </w:p>
    <w:p w:rsidR="009D7AC0" w:rsidRDefault="009D7AC0" w:rsidP="008C20DE">
      <w:pPr>
        <w:jc w:val="both"/>
        <w:rPr>
          <w:rFonts w:eastAsiaTheme="minorHAnsi"/>
        </w:rPr>
      </w:pPr>
    </w:p>
    <w:p w:rsidR="009D7AC0" w:rsidRDefault="009D7AC0" w:rsidP="008C20DE">
      <w:pPr>
        <w:numPr>
          <w:ilvl w:val="0"/>
          <w:numId w:val="27"/>
        </w:numPr>
        <w:autoSpaceDE w:val="0"/>
        <w:autoSpaceDN w:val="0"/>
        <w:spacing w:before="100"/>
        <w:jc w:val="both"/>
      </w:pPr>
      <w:r>
        <w:t>The applicant's ability to establish and operate the project in accordance with existing and reasonably anticipated future changes in federal, state and local licensure and other applicable or potentially applicable rules.</w:t>
      </w:r>
      <w:r>
        <w:rPr>
          <w:b/>
          <w:bCs/>
        </w:rPr>
        <w:t xml:space="preserve"> </w:t>
      </w:r>
      <w:r>
        <w:t>If the applicant is a provider of health care services that are substantially similar to those services being reviewed and is licensed in the State, the applicant is deemed to have fulfilled the requirements. This is allowable if the services provided in the State by the applicant during the most recent 3-year period are of similar size and scope and are consistent with applicable licensing and certification standards.</w:t>
      </w:r>
    </w:p>
    <w:p w:rsidR="009D7AC0" w:rsidRPr="007007F3" w:rsidRDefault="009D7AC0" w:rsidP="008C20DE">
      <w:pPr>
        <w:jc w:val="both"/>
        <w:rPr>
          <w:sz w:val="16"/>
          <w:szCs w:val="16"/>
        </w:rPr>
      </w:pPr>
    </w:p>
    <w:p w:rsidR="00354259" w:rsidRPr="006E3BB1" w:rsidRDefault="008F244E" w:rsidP="006E3BB1">
      <w:pPr>
        <w:jc w:val="both"/>
        <w:rPr>
          <w:b/>
        </w:rPr>
      </w:pPr>
      <w:r w:rsidRPr="006E3BB1">
        <w:rPr>
          <w:b/>
        </w:rPr>
        <w:t>Certificate of Need Unit An</w:t>
      </w:r>
      <w:r w:rsidR="00654D8C" w:rsidRPr="006E3BB1">
        <w:rPr>
          <w:b/>
        </w:rPr>
        <w:t>alysis</w:t>
      </w:r>
    </w:p>
    <w:p w:rsidR="00354259" w:rsidRPr="007007F3" w:rsidRDefault="00354259" w:rsidP="008C20DE">
      <w:pPr>
        <w:jc w:val="both"/>
        <w:rPr>
          <w:b/>
          <w:sz w:val="16"/>
          <w:szCs w:val="16"/>
          <w:u w:val="single"/>
        </w:rPr>
      </w:pPr>
    </w:p>
    <w:p w:rsidR="00264F51" w:rsidRDefault="00654D8C" w:rsidP="006E3BB1">
      <w:pPr>
        <w:jc w:val="both"/>
      </w:pPr>
      <w:r w:rsidRPr="00654D8C">
        <w:t xml:space="preserve">This </w:t>
      </w:r>
      <w:r>
        <w:t xml:space="preserve">transaction involves </w:t>
      </w:r>
      <w:r w:rsidR="006F38F2">
        <w:t>the transfer of ownership shares of Cummings Health Care Facility, I</w:t>
      </w:r>
      <w:r w:rsidR="008F3BC2">
        <w:t xml:space="preserve">nc. between family members.  Thirty-two </w:t>
      </w:r>
      <w:r w:rsidR="006F38F2">
        <w:t>shares of Cummings Health Care Facility, Inc. will be transferred from Fern P. Cummings to Melinda and David Goslin. As demonstrated in the Abstract section of the application the result will be that Melinda and David Goslin will each own 50% of the facility and</w:t>
      </w:r>
      <w:r w:rsidR="00827DB8">
        <w:t xml:space="preserve"> be responsible for</w:t>
      </w:r>
      <w:r w:rsidR="006F38F2">
        <w:t xml:space="preserve"> 50% of the leased assets. No change in cost basis will result from this transaction</w:t>
      </w:r>
      <w:r w:rsidR="00E46A96">
        <w:t>. No changes to the facilities operations or financial results are expected due to the ownership change. This is</w:t>
      </w:r>
      <w:r w:rsidR="006F38F2">
        <w:t xml:space="preserve"> demonstrated by the pro forma cost report submitted with the application.</w:t>
      </w:r>
      <w:r w:rsidR="00E46A96">
        <w:t xml:space="preserve"> </w:t>
      </w:r>
      <w:r w:rsidR="005B3A71">
        <w:t xml:space="preserve">No </w:t>
      </w:r>
      <w:r w:rsidR="00131C35">
        <w:t xml:space="preserve">changes in </w:t>
      </w:r>
      <w:r w:rsidR="00691004">
        <w:t xml:space="preserve">the </w:t>
      </w:r>
      <w:r w:rsidR="00131C35">
        <w:t>current reimbursement rates are</w:t>
      </w:r>
      <w:r w:rsidR="00691004">
        <w:t xml:space="preserve"> allowable because of this transaction.</w:t>
      </w:r>
    </w:p>
    <w:p w:rsidR="009C2B70" w:rsidRPr="00B942DF" w:rsidRDefault="009C2B70" w:rsidP="008C20DE">
      <w:pPr>
        <w:tabs>
          <w:tab w:val="left" w:pos="-180"/>
        </w:tabs>
        <w:jc w:val="both"/>
      </w:pPr>
    </w:p>
    <w:p w:rsidR="005B3A71" w:rsidRPr="00691004" w:rsidRDefault="005B3A71" w:rsidP="006E3BB1">
      <w:pPr>
        <w:tabs>
          <w:tab w:val="left" w:pos="-180"/>
        </w:tabs>
        <w:jc w:val="both"/>
        <w:rPr>
          <w:b/>
        </w:rPr>
      </w:pPr>
      <w:r w:rsidRPr="00B942DF">
        <w:rPr>
          <w:b/>
        </w:rPr>
        <w:t>Changing</w:t>
      </w:r>
      <w:r w:rsidRPr="00691004">
        <w:rPr>
          <w:b/>
        </w:rPr>
        <w:t xml:space="preserve"> Laws and Regulations</w:t>
      </w:r>
    </w:p>
    <w:p w:rsidR="005B3A71" w:rsidRPr="001E09AD" w:rsidRDefault="005B3A71" w:rsidP="006E3BB1">
      <w:pPr>
        <w:tabs>
          <w:tab w:val="left" w:pos="-180"/>
        </w:tabs>
        <w:jc w:val="both"/>
        <w:rPr>
          <w:sz w:val="16"/>
          <w:szCs w:val="16"/>
        </w:rPr>
      </w:pPr>
    </w:p>
    <w:p w:rsidR="00A46ED4" w:rsidRPr="00654D8C" w:rsidRDefault="008F3BC2" w:rsidP="006E3BB1">
      <w:pPr>
        <w:tabs>
          <w:tab w:val="left" w:pos="-180"/>
        </w:tabs>
        <w:jc w:val="both"/>
      </w:pPr>
      <w:r>
        <w:t>Certificate of Need Unit staff is un</w:t>
      </w:r>
      <w:r w:rsidR="005B3A71">
        <w:t xml:space="preserve">aware of any imminent or proposed changes in laws and regulations that would impact the project, except for federal health care reform as part of the Affordable Care Act (ACA).  The impact of health reform as part of the ACA has not been determined. As stated in the application the </w:t>
      </w:r>
      <w:r w:rsidR="00E46A96">
        <w:t xml:space="preserve">expected changes to the PNMI Appendix C program are still not finalized and the </w:t>
      </w:r>
      <w:r w:rsidR="00131C35">
        <w:t>impact on the operations of Cummings Health Care Facility, Inc. is</w:t>
      </w:r>
      <w:r w:rsidR="00E46A96">
        <w:t xml:space="preserve"> unknown.</w:t>
      </w:r>
    </w:p>
    <w:p w:rsidR="009C2B70" w:rsidRDefault="009C2B70" w:rsidP="008C20DE">
      <w:pPr>
        <w:jc w:val="both"/>
        <w:rPr>
          <w:sz w:val="16"/>
          <w:szCs w:val="16"/>
        </w:rPr>
      </w:pPr>
    </w:p>
    <w:p w:rsidR="003E61AB" w:rsidRPr="00654D8C" w:rsidRDefault="003E61AB" w:rsidP="006E3BB1">
      <w:pPr>
        <w:jc w:val="both"/>
        <w:rPr>
          <w:b/>
        </w:rPr>
      </w:pPr>
      <w:r w:rsidRPr="00654D8C">
        <w:rPr>
          <w:b/>
        </w:rPr>
        <w:t>Deeming of Standard</w:t>
      </w:r>
    </w:p>
    <w:p w:rsidR="003E61AB" w:rsidRPr="007007F3" w:rsidRDefault="003E61AB" w:rsidP="006E3BB1">
      <w:pPr>
        <w:jc w:val="both"/>
        <w:rPr>
          <w:sz w:val="16"/>
          <w:szCs w:val="16"/>
        </w:rPr>
      </w:pPr>
    </w:p>
    <w:p w:rsidR="003E61AB" w:rsidRPr="00654D8C" w:rsidRDefault="003E61AB" w:rsidP="006E3BB1">
      <w:pPr>
        <w:jc w:val="both"/>
      </w:pPr>
      <w:r w:rsidRPr="00654D8C">
        <w:t>As provided for at 22 M.R.S. § 335 (7)(B),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r w:rsidR="0052336F" w:rsidRPr="00654D8C">
        <w:t>.</w:t>
      </w:r>
    </w:p>
    <w:p w:rsidR="003E61AB" w:rsidRPr="00654D8C" w:rsidRDefault="003E61AB" w:rsidP="008C20DE">
      <w:pPr>
        <w:jc w:val="both"/>
      </w:pPr>
    </w:p>
    <w:p w:rsidR="00AD6782" w:rsidRDefault="003E61AB" w:rsidP="006E3BB1">
      <w:pPr>
        <w:jc w:val="both"/>
      </w:pPr>
      <w:r w:rsidRPr="00654D8C">
        <w:t>The applicant has operated</w:t>
      </w:r>
      <w:r w:rsidR="00E46A96">
        <w:t>, and will continue to operate</w:t>
      </w:r>
      <w:r w:rsidRPr="00654D8C">
        <w:t xml:space="preserve"> a mixed level of care facility with a total of </w:t>
      </w:r>
      <w:r w:rsidR="00E46A96">
        <w:t>54</w:t>
      </w:r>
      <w:r w:rsidRPr="00654D8C">
        <w:t xml:space="preserve"> beds (</w:t>
      </w:r>
      <w:r w:rsidR="00E46A96">
        <w:t>34</w:t>
      </w:r>
      <w:r w:rsidRPr="00654D8C">
        <w:t xml:space="preserve"> SNF/NF and </w:t>
      </w:r>
      <w:r w:rsidR="00E46A96">
        <w:t>20</w:t>
      </w:r>
      <w:r w:rsidRPr="00654D8C">
        <w:t xml:space="preserve"> Level IV PNMI RC beds)</w:t>
      </w:r>
      <w:r w:rsidR="00E46A96">
        <w:t xml:space="preserve"> after the transaction.</w:t>
      </w:r>
    </w:p>
    <w:p w:rsidR="00F62A4F" w:rsidRDefault="00F62A4F" w:rsidP="006E3BB1">
      <w:pPr>
        <w:jc w:val="both"/>
        <w:rPr>
          <w:b/>
        </w:rPr>
      </w:pPr>
    </w:p>
    <w:p w:rsidR="008E41AC" w:rsidRPr="006E3BB1" w:rsidRDefault="008E41AC" w:rsidP="006E3BB1">
      <w:pPr>
        <w:jc w:val="both"/>
        <w:rPr>
          <w:b/>
        </w:rPr>
      </w:pPr>
      <w:r w:rsidRPr="006E3BB1">
        <w:rPr>
          <w:b/>
        </w:rPr>
        <w:t>Conclusion</w:t>
      </w:r>
    </w:p>
    <w:p w:rsidR="00AD6782" w:rsidRPr="001E09AD" w:rsidRDefault="00AD6782" w:rsidP="006E3BB1">
      <w:pPr>
        <w:jc w:val="both"/>
        <w:rPr>
          <w:bCs/>
          <w:iCs/>
          <w:sz w:val="16"/>
          <w:szCs w:val="16"/>
        </w:rPr>
      </w:pPr>
    </w:p>
    <w:p w:rsidR="009A56DF" w:rsidRDefault="00502D9E" w:rsidP="006E3BB1">
      <w:pPr>
        <w:jc w:val="both"/>
        <w:rPr>
          <w:sz w:val="28"/>
          <w:szCs w:val="28"/>
        </w:rPr>
      </w:pPr>
      <w:r>
        <w:rPr>
          <w:bCs/>
          <w:iCs/>
        </w:rPr>
        <w:t xml:space="preserve">The </w:t>
      </w:r>
      <w:r w:rsidR="006A7CB7" w:rsidRPr="0019690A">
        <w:rPr>
          <w:bCs/>
          <w:iCs/>
        </w:rPr>
        <w:t>Certificate of Need Unit</w:t>
      </w:r>
      <w:r w:rsidR="003D74E7" w:rsidRPr="0019690A">
        <w:rPr>
          <w:bCs/>
          <w:iCs/>
        </w:rPr>
        <w:t xml:space="preserve"> </w:t>
      </w:r>
      <w:r w:rsidR="00D77F04" w:rsidRPr="0019690A">
        <w:rPr>
          <w:bCs/>
          <w:iCs/>
        </w:rPr>
        <w:t>recommend</w:t>
      </w:r>
      <w:r>
        <w:rPr>
          <w:bCs/>
          <w:iCs/>
        </w:rPr>
        <w:t>s</w:t>
      </w:r>
      <w:r w:rsidR="00D77F04" w:rsidRPr="0019690A">
        <w:rPr>
          <w:bCs/>
          <w:iCs/>
        </w:rPr>
        <w:t xml:space="preserve"> that the Commissioner determine that </w:t>
      </w:r>
      <w:r w:rsidR="00797D9C" w:rsidRPr="0019690A">
        <w:rPr>
          <w:bCs/>
          <w:iCs/>
        </w:rPr>
        <w:t xml:space="preserve">the applicant has </w:t>
      </w:r>
      <w:r w:rsidR="00D77F04" w:rsidRPr="0019690A">
        <w:rPr>
          <w:bCs/>
          <w:iCs/>
        </w:rPr>
        <w:t xml:space="preserve">met </w:t>
      </w:r>
      <w:r w:rsidR="00446CB8" w:rsidRPr="0019690A">
        <w:rPr>
          <w:bCs/>
          <w:iCs/>
        </w:rPr>
        <w:t>their</w:t>
      </w:r>
      <w:r w:rsidR="00D77F04" w:rsidRPr="0019690A">
        <w:rPr>
          <w:bCs/>
          <w:iCs/>
        </w:rPr>
        <w:t xml:space="preserve"> burden to demonstrate</w:t>
      </w:r>
      <w:r w:rsidR="00600191" w:rsidRPr="0019690A">
        <w:rPr>
          <w:bCs/>
          <w:iCs/>
        </w:rPr>
        <w:t>: (1) the c</w:t>
      </w:r>
      <w:r w:rsidR="00600191" w:rsidRPr="0019690A">
        <w:t xml:space="preserve">apacity of the applicant to support the project financially over its useful life, in light of the rates the applicant expects to be able to charge for the services to be provided by the project; and (2) the applicant's ability to establish and operate the project in accordance with existing and reasonably anticipated future changes in federal, state and local licensure and other applicable </w:t>
      </w:r>
      <w:bookmarkStart w:id="15" w:name="_Ref195319944"/>
      <w:r w:rsidR="009A56DF">
        <w:t xml:space="preserve">or potentially applicable </w:t>
      </w:r>
      <w:r w:rsidR="007007F3">
        <w:t>rules</w:t>
      </w:r>
      <w:r w:rsidR="009A56DF">
        <w:t>.</w:t>
      </w:r>
    </w:p>
    <w:p w:rsidR="009A56DF" w:rsidRDefault="009A56DF" w:rsidP="009A56DF">
      <w:pPr>
        <w:tabs>
          <w:tab w:val="left" w:pos="2535"/>
        </w:tabs>
        <w:rPr>
          <w:sz w:val="28"/>
          <w:szCs w:val="28"/>
        </w:rPr>
      </w:pPr>
      <w:r>
        <w:rPr>
          <w:sz w:val="28"/>
          <w:szCs w:val="28"/>
        </w:rPr>
        <w:tab/>
      </w:r>
    </w:p>
    <w:p w:rsidR="009A56DF" w:rsidRDefault="009A56DF" w:rsidP="009A56DF">
      <w:pPr>
        <w:rPr>
          <w:sz w:val="28"/>
          <w:szCs w:val="28"/>
        </w:rPr>
      </w:pPr>
    </w:p>
    <w:p w:rsidR="009530A6" w:rsidRPr="009A56DF" w:rsidRDefault="009530A6" w:rsidP="009A56DF">
      <w:pPr>
        <w:rPr>
          <w:sz w:val="28"/>
          <w:szCs w:val="28"/>
        </w:rPr>
        <w:sectPr w:rsidR="009530A6" w:rsidRPr="009A56DF" w:rsidSect="009C2B70">
          <w:headerReference w:type="default" r:id="rId14"/>
          <w:pgSz w:w="12240" w:h="15840"/>
          <w:pgMar w:top="1440" w:right="1440" w:bottom="1440" w:left="1440" w:header="720" w:footer="720" w:gutter="0"/>
          <w:cols w:space="720"/>
          <w:docGrid w:linePitch="360"/>
        </w:sectPr>
      </w:pPr>
    </w:p>
    <w:p w:rsidR="004336AF" w:rsidRPr="00D05069" w:rsidRDefault="004336AF" w:rsidP="001E09AD">
      <w:pPr>
        <w:pStyle w:val="Heading1"/>
        <w:spacing w:before="0" w:after="0"/>
        <w:rPr>
          <w:rFonts w:ascii="Times New Roman" w:hAnsi="Times New Roman" w:cs="Times New Roman"/>
          <w:b w:val="0"/>
          <w:bCs w:val="0"/>
          <w:iCs/>
          <w:sz w:val="28"/>
          <w:szCs w:val="28"/>
          <w:u w:val="single"/>
        </w:rPr>
      </w:pPr>
      <w:r w:rsidRPr="00D05069">
        <w:rPr>
          <w:rFonts w:ascii="Times New Roman" w:hAnsi="Times New Roman" w:cs="Times New Roman"/>
          <w:sz w:val="28"/>
          <w:szCs w:val="28"/>
          <w:u w:val="single"/>
        </w:rPr>
        <w:t xml:space="preserve">IV. </w:t>
      </w:r>
      <w:bookmarkEnd w:id="15"/>
      <w:r w:rsidR="00CF12AC" w:rsidRPr="00D05069">
        <w:rPr>
          <w:rFonts w:ascii="Times New Roman" w:hAnsi="Times New Roman" w:cs="Times New Roman"/>
          <w:sz w:val="28"/>
          <w:szCs w:val="28"/>
          <w:u w:val="single"/>
        </w:rPr>
        <w:t>Public Need</w:t>
      </w:r>
      <w:r w:rsidRPr="00D05069">
        <w:rPr>
          <w:rFonts w:ascii="Times New Roman" w:hAnsi="Times New Roman" w:cs="Times New Roman"/>
          <w:sz w:val="28"/>
          <w:szCs w:val="28"/>
          <w:u w:val="single"/>
        </w:rPr>
        <w:t xml:space="preserve"> </w:t>
      </w:r>
    </w:p>
    <w:p w:rsidR="00E32294" w:rsidRPr="007007F3" w:rsidRDefault="00E32294">
      <w:pPr>
        <w:rPr>
          <w:sz w:val="16"/>
          <w:szCs w:val="16"/>
        </w:rPr>
      </w:pPr>
    </w:p>
    <w:p w:rsidR="00B26788" w:rsidRPr="002405E5" w:rsidRDefault="002405E5">
      <w:pPr>
        <w:rPr>
          <w:b/>
        </w:rPr>
      </w:pPr>
      <w:r w:rsidRPr="002405E5">
        <w:rPr>
          <w:b/>
        </w:rPr>
        <w:t xml:space="preserve">A. </w:t>
      </w:r>
      <w:r w:rsidR="00B26788" w:rsidRPr="002405E5">
        <w:rPr>
          <w:b/>
        </w:rPr>
        <w:t xml:space="preserve">From Applicant </w:t>
      </w:r>
    </w:p>
    <w:p w:rsidR="00E32294" w:rsidRPr="007007F3" w:rsidRDefault="00E32294">
      <w:pPr>
        <w:rPr>
          <w:b/>
          <w:sz w:val="16"/>
          <w:szCs w:val="16"/>
          <w:u w:val="single"/>
        </w:rPr>
      </w:pPr>
    </w:p>
    <w:p w:rsidR="0062770A" w:rsidRPr="001E09AD" w:rsidRDefault="001E09AD" w:rsidP="002405E5">
      <w:pPr>
        <w:tabs>
          <w:tab w:val="left" w:pos="0"/>
        </w:tabs>
        <w:jc w:val="both"/>
        <w:rPr>
          <w:sz w:val="22"/>
          <w:szCs w:val="22"/>
        </w:rPr>
      </w:pPr>
      <w:r>
        <w:rPr>
          <w:sz w:val="22"/>
          <w:szCs w:val="22"/>
        </w:rPr>
        <w:t>“</w:t>
      </w:r>
      <w:r w:rsidR="0062770A" w:rsidRPr="001E09AD">
        <w:rPr>
          <w:sz w:val="22"/>
          <w:szCs w:val="22"/>
        </w:rPr>
        <w:t xml:space="preserve">CHCF serves many people within a 50 mile radius. Approximately 25% of admissions come from the immediate area, while roughly 25% come from the Bangor and surrounding areas, 20% from the Lincoln area and 30% from the Millinocket area. There are nursing facilities currently offering similar services as CHCF in these areas; however, CHCF maintains a thriving census driven by a reputation and history of quality care. CHCF prides itself on continuity of care, maintaining the same Director of Nursing for 37 years. Working together as a team, the facility has dealt with many unusual and diverse health care issues and clientele to include those with dementia and behavior issues (approximately 75% of our residents exhibit some level of dementia and/or behavior issues). When such behaviors exist, we develop behavior care plans which include medication therapy guided by specialized providers in the area. CHCF uses many resources to keep local people with specific behaviors in the facility. Often Social Workers from Elder and Adult Services have placed people in our facility because of our success with previous clients they have had.  Assessing each referral individually and realizing our strengths and weaknesses, we strive to admit only those clients we can successfully and safely care for. This sometimes means reaching out to other agencies to find services for a person to thrive while remaining a resident. Often our staff </w:t>
      </w:r>
      <w:proofErr w:type="gramStart"/>
      <w:r w:rsidR="0062770A" w:rsidRPr="001E09AD">
        <w:rPr>
          <w:sz w:val="22"/>
          <w:szCs w:val="22"/>
        </w:rPr>
        <w:t>find</w:t>
      </w:r>
      <w:proofErr w:type="gramEnd"/>
      <w:r w:rsidR="0062770A" w:rsidRPr="001E09AD">
        <w:rPr>
          <w:sz w:val="22"/>
          <w:szCs w:val="22"/>
        </w:rPr>
        <w:t xml:space="preserve"> themselves performing outside the realm of “normal duty” to make sure a resident’s needs are being met. In some instances, behaviors are so severe that we have to utilize resources outside our immediate area for specific needs. Addressing behaviors in the elderly population and providing access to these specialized services in our local area is vital to our residents and their families.</w:t>
      </w:r>
      <w:r>
        <w:rPr>
          <w:sz w:val="22"/>
          <w:szCs w:val="22"/>
        </w:rPr>
        <w:t>”</w:t>
      </w:r>
    </w:p>
    <w:p w:rsidR="00F62A4F" w:rsidRPr="001E09AD" w:rsidRDefault="00F62A4F" w:rsidP="002405E5">
      <w:pPr>
        <w:tabs>
          <w:tab w:val="left" w:pos="0"/>
        </w:tabs>
        <w:jc w:val="both"/>
        <w:rPr>
          <w:sz w:val="22"/>
          <w:szCs w:val="22"/>
        </w:rPr>
      </w:pPr>
    </w:p>
    <w:p w:rsidR="0062770A" w:rsidRPr="001E09AD" w:rsidRDefault="001E09AD" w:rsidP="002405E5">
      <w:pPr>
        <w:tabs>
          <w:tab w:val="left" w:pos="0"/>
        </w:tabs>
        <w:jc w:val="both"/>
        <w:rPr>
          <w:sz w:val="22"/>
          <w:szCs w:val="22"/>
        </w:rPr>
      </w:pPr>
      <w:r>
        <w:rPr>
          <w:sz w:val="22"/>
          <w:szCs w:val="22"/>
        </w:rPr>
        <w:t>“</w:t>
      </w:r>
      <w:r w:rsidR="0062770A" w:rsidRPr="001E09AD">
        <w:rPr>
          <w:sz w:val="22"/>
          <w:szCs w:val="22"/>
        </w:rPr>
        <w:t>The following table provides a history of the facility’s payor mix and occupancy percentages compared to averages for Region 3 for 2010-2012:</w:t>
      </w:r>
    </w:p>
    <w:p w:rsidR="0062770A" w:rsidRPr="001E09AD" w:rsidRDefault="0062770A" w:rsidP="002405E5">
      <w:pPr>
        <w:tabs>
          <w:tab w:val="left" w:pos="0"/>
        </w:tabs>
        <w:jc w:val="both"/>
        <w:rPr>
          <w:sz w:val="22"/>
          <w:szCs w:val="22"/>
        </w:rPr>
      </w:pPr>
    </w:p>
    <w:tbl>
      <w:tblPr>
        <w:tblW w:w="8370" w:type="dxa"/>
        <w:tblInd w:w="468" w:type="dxa"/>
        <w:tblLook w:val="04A0" w:firstRow="1" w:lastRow="0" w:firstColumn="1" w:lastColumn="0" w:noHBand="0" w:noVBand="1"/>
      </w:tblPr>
      <w:tblGrid>
        <w:gridCol w:w="1377"/>
        <w:gridCol w:w="1157"/>
        <w:gridCol w:w="1174"/>
        <w:gridCol w:w="1157"/>
        <w:gridCol w:w="1174"/>
        <w:gridCol w:w="1157"/>
        <w:gridCol w:w="1174"/>
      </w:tblGrid>
      <w:tr w:rsidR="0062770A" w:rsidRPr="001E09AD" w:rsidTr="00BE6DEE">
        <w:trPr>
          <w:trHeight w:val="153"/>
          <w:tblHeader/>
        </w:trPr>
        <w:tc>
          <w:tcPr>
            <w:tcW w:w="1440" w:type="dxa"/>
            <w:shd w:val="clear" w:color="auto" w:fill="auto"/>
          </w:tcPr>
          <w:p w:rsidR="0062770A" w:rsidRPr="001E09AD" w:rsidRDefault="0062770A" w:rsidP="002405E5">
            <w:pPr>
              <w:tabs>
                <w:tab w:val="left" w:pos="0"/>
              </w:tabs>
              <w:jc w:val="both"/>
              <w:rPr>
                <w:sz w:val="22"/>
                <w:szCs w:val="22"/>
              </w:rPr>
            </w:pPr>
          </w:p>
        </w:tc>
        <w:tc>
          <w:tcPr>
            <w:tcW w:w="1296" w:type="dxa"/>
            <w:gridSpan w:val="2"/>
            <w:shd w:val="clear" w:color="auto" w:fill="auto"/>
          </w:tcPr>
          <w:p w:rsidR="0062770A" w:rsidRPr="001E09AD" w:rsidRDefault="0062770A" w:rsidP="002405E5">
            <w:pPr>
              <w:tabs>
                <w:tab w:val="left" w:pos="0"/>
              </w:tabs>
              <w:jc w:val="center"/>
              <w:rPr>
                <w:sz w:val="22"/>
                <w:szCs w:val="22"/>
              </w:rPr>
            </w:pPr>
            <w:r w:rsidRPr="001E09AD">
              <w:rPr>
                <w:sz w:val="22"/>
                <w:szCs w:val="22"/>
              </w:rPr>
              <w:t>2010</w:t>
            </w:r>
          </w:p>
        </w:tc>
        <w:tc>
          <w:tcPr>
            <w:tcW w:w="1296" w:type="dxa"/>
            <w:gridSpan w:val="2"/>
            <w:shd w:val="clear" w:color="auto" w:fill="auto"/>
          </w:tcPr>
          <w:p w:rsidR="0062770A" w:rsidRPr="001E09AD" w:rsidRDefault="0062770A" w:rsidP="002405E5">
            <w:pPr>
              <w:tabs>
                <w:tab w:val="left" w:pos="0"/>
              </w:tabs>
              <w:jc w:val="center"/>
              <w:rPr>
                <w:sz w:val="22"/>
                <w:szCs w:val="22"/>
              </w:rPr>
            </w:pPr>
            <w:r w:rsidRPr="001E09AD">
              <w:rPr>
                <w:sz w:val="22"/>
                <w:szCs w:val="22"/>
              </w:rPr>
              <w:t>2011</w:t>
            </w:r>
          </w:p>
        </w:tc>
        <w:tc>
          <w:tcPr>
            <w:tcW w:w="1296" w:type="dxa"/>
            <w:gridSpan w:val="2"/>
            <w:shd w:val="clear" w:color="auto" w:fill="auto"/>
          </w:tcPr>
          <w:p w:rsidR="0062770A" w:rsidRPr="001E09AD" w:rsidRDefault="0062770A" w:rsidP="002405E5">
            <w:pPr>
              <w:tabs>
                <w:tab w:val="left" w:pos="0"/>
              </w:tabs>
              <w:jc w:val="center"/>
              <w:rPr>
                <w:sz w:val="22"/>
                <w:szCs w:val="22"/>
              </w:rPr>
            </w:pPr>
            <w:r w:rsidRPr="001E09AD">
              <w:rPr>
                <w:sz w:val="22"/>
                <w:szCs w:val="22"/>
              </w:rPr>
              <w:t>2012</w:t>
            </w:r>
          </w:p>
        </w:tc>
      </w:tr>
      <w:tr w:rsidR="0062770A" w:rsidRPr="001E09AD" w:rsidTr="00BE6DEE">
        <w:trPr>
          <w:tblHeader/>
        </w:trPr>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u w:val="single"/>
              </w:rPr>
              <w:t>CHCF</w:t>
            </w:r>
          </w:p>
        </w:tc>
        <w:tc>
          <w:tcPr>
            <w:tcW w:w="1296" w:type="dxa"/>
            <w:shd w:val="clear" w:color="auto" w:fill="auto"/>
          </w:tcPr>
          <w:p w:rsidR="0062770A" w:rsidRPr="001E09AD" w:rsidRDefault="0062770A" w:rsidP="002405E5">
            <w:pPr>
              <w:tabs>
                <w:tab w:val="left" w:pos="0"/>
              </w:tabs>
              <w:jc w:val="center"/>
              <w:rPr>
                <w:sz w:val="22"/>
                <w:szCs w:val="22"/>
                <w:u w:val="single"/>
              </w:rPr>
            </w:pPr>
            <w:r w:rsidRPr="001E09AD">
              <w:rPr>
                <w:sz w:val="22"/>
                <w:szCs w:val="22"/>
                <w:u w:val="single"/>
              </w:rPr>
              <w:t>Region 3</w:t>
            </w:r>
          </w:p>
        </w:tc>
        <w:tc>
          <w:tcPr>
            <w:tcW w:w="1296" w:type="dxa"/>
            <w:shd w:val="clear" w:color="auto" w:fill="auto"/>
          </w:tcPr>
          <w:p w:rsidR="0062770A" w:rsidRPr="001E09AD" w:rsidRDefault="0062770A" w:rsidP="002405E5">
            <w:pPr>
              <w:tabs>
                <w:tab w:val="left" w:pos="0"/>
              </w:tabs>
              <w:jc w:val="both"/>
              <w:rPr>
                <w:sz w:val="22"/>
                <w:szCs w:val="22"/>
                <w:u w:val="single"/>
              </w:rPr>
            </w:pPr>
            <w:r w:rsidRPr="001E09AD">
              <w:rPr>
                <w:sz w:val="22"/>
                <w:szCs w:val="22"/>
                <w:u w:val="single"/>
              </w:rPr>
              <w:t>CHCF</w:t>
            </w:r>
          </w:p>
        </w:tc>
        <w:tc>
          <w:tcPr>
            <w:tcW w:w="1296" w:type="dxa"/>
            <w:shd w:val="clear" w:color="auto" w:fill="auto"/>
          </w:tcPr>
          <w:p w:rsidR="0062770A" w:rsidRPr="001E09AD" w:rsidRDefault="0062770A" w:rsidP="002405E5">
            <w:pPr>
              <w:tabs>
                <w:tab w:val="left" w:pos="0"/>
              </w:tabs>
              <w:jc w:val="both"/>
              <w:rPr>
                <w:sz w:val="22"/>
                <w:szCs w:val="22"/>
                <w:u w:val="single"/>
              </w:rPr>
            </w:pPr>
            <w:r w:rsidRPr="001E09AD">
              <w:rPr>
                <w:sz w:val="22"/>
                <w:szCs w:val="22"/>
                <w:u w:val="single"/>
              </w:rPr>
              <w:t>Region 3</w:t>
            </w:r>
          </w:p>
        </w:tc>
        <w:tc>
          <w:tcPr>
            <w:tcW w:w="1296" w:type="dxa"/>
            <w:shd w:val="clear" w:color="auto" w:fill="auto"/>
          </w:tcPr>
          <w:p w:rsidR="0062770A" w:rsidRPr="001E09AD" w:rsidRDefault="0062770A" w:rsidP="002405E5">
            <w:pPr>
              <w:tabs>
                <w:tab w:val="left" w:pos="0"/>
              </w:tabs>
              <w:jc w:val="center"/>
              <w:rPr>
                <w:sz w:val="22"/>
                <w:szCs w:val="22"/>
                <w:u w:val="single"/>
              </w:rPr>
            </w:pPr>
            <w:r w:rsidRPr="001E09AD">
              <w:rPr>
                <w:sz w:val="22"/>
                <w:szCs w:val="22"/>
                <w:u w:val="single"/>
              </w:rPr>
              <w:t>CHCF</w:t>
            </w:r>
          </w:p>
        </w:tc>
        <w:tc>
          <w:tcPr>
            <w:tcW w:w="1296" w:type="dxa"/>
            <w:shd w:val="clear" w:color="auto" w:fill="auto"/>
          </w:tcPr>
          <w:p w:rsidR="0062770A" w:rsidRPr="001E09AD" w:rsidRDefault="0062770A" w:rsidP="002405E5">
            <w:pPr>
              <w:tabs>
                <w:tab w:val="left" w:pos="0"/>
              </w:tabs>
              <w:jc w:val="both"/>
              <w:rPr>
                <w:sz w:val="22"/>
                <w:szCs w:val="22"/>
                <w:u w:val="single"/>
              </w:rPr>
            </w:pPr>
            <w:r w:rsidRPr="001E09AD">
              <w:rPr>
                <w:sz w:val="22"/>
                <w:szCs w:val="22"/>
                <w:u w:val="single"/>
              </w:rPr>
              <w:t>Region 3</w:t>
            </w:r>
          </w:p>
        </w:tc>
      </w:tr>
      <w:tr w:rsidR="0062770A" w:rsidRPr="001E09AD" w:rsidTr="00BE6DEE">
        <w:trPr>
          <w:tblHeader/>
        </w:trPr>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NF - MCD</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rPr>
              <w:tab/>
              <w:t>69%</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rPr>
              <w:tab/>
              <w:t>66%</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rPr>
              <w:tab/>
              <w:t>84%</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t>67%</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rPr>
              <w:tab/>
              <w:t>79%</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NF - MCR</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rPr>
              <w:tab/>
              <w:t>8</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rPr>
              <w:tab/>
              <w:t>17</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rPr>
              <w:tab/>
              <w:t>7</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t>18</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rPr>
              <w:tab/>
              <w:t>7</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NF - Other</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u w:val="single"/>
              </w:rPr>
            </w:pPr>
            <w:r w:rsidRPr="001E09AD">
              <w:rPr>
                <w:sz w:val="22"/>
                <w:szCs w:val="22"/>
              </w:rPr>
              <w:tab/>
            </w:r>
            <w:r w:rsidRPr="001E09AD">
              <w:rPr>
                <w:sz w:val="22"/>
                <w:szCs w:val="22"/>
                <w:u w:val="single"/>
              </w:rPr>
              <w:tab/>
              <w:t>23</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u w:val="single"/>
              </w:rPr>
            </w:pPr>
            <w:r w:rsidRPr="001E09AD">
              <w:rPr>
                <w:sz w:val="22"/>
                <w:szCs w:val="22"/>
              </w:rPr>
              <w:tab/>
            </w:r>
            <w:r w:rsidRPr="001E09AD">
              <w:rPr>
                <w:sz w:val="22"/>
                <w:szCs w:val="22"/>
                <w:u w:val="single"/>
              </w:rPr>
              <w:tab/>
              <w:t>17</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u w:val="single"/>
              </w:rPr>
            </w:pPr>
            <w:r w:rsidRPr="001E09AD">
              <w:rPr>
                <w:sz w:val="22"/>
                <w:szCs w:val="22"/>
              </w:rPr>
              <w:tab/>
            </w:r>
            <w:r w:rsidRPr="001E09AD">
              <w:rPr>
                <w:sz w:val="22"/>
                <w:szCs w:val="22"/>
                <w:u w:val="single"/>
              </w:rPr>
              <w:tab/>
              <w:t>9</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u w:val="single"/>
              </w:rPr>
            </w:pPr>
            <w:r w:rsidRPr="001E09AD">
              <w:rPr>
                <w:sz w:val="22"/>
                <w:szCs w:val="22"/>
              </w:rPr>
              <w:tab/>
            </w:r>
            <w:r w:rsidRPr="001E09AD">
              <w:rPr>
                <w:sz w:val="22"/>
                <w:szCs w:val="22"/>
                <w:u w:val="single"/>
              </w:rPr>
              <w:tab/>
              <w:t>15</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u w:val="single"/>
              </w:rPr>
            </w:pPr>
            <w:r w:rsidRPr="001E09AD">
              <w:rPr>
                <w:sz w:val="22"/>
                <w:szCs w:val="22"/>
              </w:rPr>
              <w:tab/>
            </w:r>
            <w:r w:rsidRPr="001E09AD">
              <w:rPr>
                <w:sz w:val="22"/>
                <w:szCs w:val="22"/>
                <w:u w:val="single"/>
              </w:rPr>
              <w:tab/>
              <w:t>14</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Total</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r>
            <w:r w:rsidRPr="001E09AD">
              <w:rPr>
                <w:sz w:val="22"/>
                <w:szCs w:val="22"/>
                <w:u w:val="double"/>
              </w:rPr>
              <w:t>100</w:t>
            </w:r>
            <w:r w:rsidRPr="001E09AD">
              <w:rPr>
                <w:sz w:val="22"/>
                <w:szCs w:val="22"/>
              </w:rPr>
              <w:t>%</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Occupancy</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rPr>
              <w:tab/>
              <w:t>88%</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rPr>
              <w:tab/>
              <w:t>91%</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rPr>
              <w:tab/>
              <w:t>92%</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t>89%</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rPr>
              <w:tab/>
              <w:t>93%</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RCF - MCD</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rPr>
              <w:tab/>
              <w:t>82%</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rPr>
              <w:tab/>
              <w:t>78%</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rPr>
              <w:tab/>
              <w:t>98%</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t>82%</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rPr>
              <w:tab/>
              <w:t>83%</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ind w:right="-38"/>
              <w:jc w:val="both"/>
              <w:rPr>
                <w:sz w:val="22"/>
                <w:szCs w:val="22"/>
              </w:rPr>
            </w:pPr>
            <w:r w:rsidRPr="001E09AD">
              <w:rPr>
                <w:sz w:val="22"/>
                <w:szCs w:val="22"/>
              </w:rPr>
              <w:t>RCF - Other</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u w:val="single"/>
              </w:rPr>
              <w:tab/>
              <w:t>18</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u w:val="single"/>
              </w:rPr>
            </w:pPr>
            <w:r w:rsidRPr="001E09AD">
              <w:rPr>
                <w:sz w:val="22"/>
                <w:szCs w:val="22"/>
              </w:rPr>
              <w:tab/>
            </w:r>
            <w:r w:rsidRPr="001E09AD">
              <w:rPr>
                <w:sz w:val="22"/>
                <w:szCs w:val="22"/>
                <w:u w:val="single"/>
              </w:rPr>
              <w:tab/>
              <w:t>22</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u w:val="single"/>
              </w:rPr>
            </w:pPr>
            <w:r w:rsidRPr="001E09AD">
              <w:rPr>
                <w:sz w:val="22"/>
                <w:szCs w:val="22"/>
              </w:rPr>
              <w:tab/>
            </w:r>
            <w:r w:rsidRPr="001E09AD">
              <w:rPr>
                <w:sz w:val="22"/>
                <w:szCs w:val="22"/>
                <w:u w:val="single"/>
              </w:rPr>
              <w:tab/>
              <w:t>2</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u w:val="single"/>
              </w:rPr>
            </w:pPr>
            <w:r w:rsidRPr="001E09AD">
              <w:rPr>
                <w:sz w:val="22"/>
                <w:szCs w:val="22"/>
              </w:rPr>
              <w:tab/>
            </w:r>
            <w:r w:rsidRPr="001E09AD">
              <w:rPr>
                <w:sz w:val="22"/>
                <w:szCs w:val="22"/>
                <w:u w:val="single"/>
              </w:rPr>
              <w:tab/>
              <w:t>18</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u w:val="single"/>
              </w:rPr>
              <w:tab/>
              <w:t>17</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Total</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u w:val="double"/>
              </w:rPr>
              <w:tab/>
              <w:t>100</w:t>
            </w:r>
            <w:r w:rsidRPr="001E09AD">
              <w:rPr>
                <w:sz w:val="22"/>
                <w:szCs w:val="22"/>
              </w:rPr>
              <w:t>%</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p>
        </w:tc>
        <w:tc>
          <w:tcPr>
            <w:tcW w:w="1296" w:type="dxa"/>
            <w:shd w:val="clear" w:color="auto" w:fill="auto"/>
          </w:tcPr>
          <w:p w:rsidR="0062770A" w:rsidRPr="001E09AD" w:rsidRDefault="0062770A" w:rsidP="002405E5">
            <w:pPr>
              <w:tabs>
                <w:tab w:val="left" w:pos="0"/>
              </w:tabs>
              <w:jc w:val="center"/>
              <w:rPr>
                <w:sz w:val="22"/>
                <w:szCs w:val="22"/>
              </w:rPr>
            </w:pPr>
          </w:p>
        </w:tc>
      </w:tr>
      <w:tr w:rsidR="0062770A" w:rsidRPr="001E09AD" w:rsidTr="00BE6DEE">
        <w:tc>
          <w:tcPr>
            <w:tcW w:w="1440" w:type="dxa"/>
            <w:shd w:val="clear" w:color="auto" w:fill="auto"/>
          </w:tcPr>
          <w:p w:rsidR="0062770A" w:rsidRPr="001E09AD" w:rsidRDefault="0062770A" w:rsidP="002405E5">
            <w:pPr>
              <w:tabs>
                <w:tab w:val="left" w:pos="0"/>
              </w:tabs>
              <w:jc w:val="both"/>
              <w:rPr>
                <w:sz w:val="22"/>
                <w:szCs w:val="22"/>
              </w:rPr>
            </w:pPr>
            <w:r w:rsidRPr="001E09AD">
              <w:rPr>
                <w:sz w:val="22"/>
                <w:szCs w:val="22"/>
              </w:rPr>
              <w:t>Occupancy</w:t>
            </w:r>
          </w:p>
        </w:tc>
        <w:tc>
          <w:tcPr>
            <w:tcW w:w="1296" w:type="dxa"/>
            <w:shd w:val="clear" w:color="auto" w:fill="auto"/>
          </w:tcPr>
          <w:p w:rsidR="0062770A" w:rsidRPr="001E09AD" w:rsidRDefault="0062770A" w:rsidP="002405E5">
            <w:pPr>
              <w:tabs>
                <w:tab w:val="left" w:pos="0"/>
                <w:tab w:val="left" w:pos="162"/>
                <w:tab w:val="decimal" w:pos="537"/>
              </w:tabs>
              <w:jc w:val="both"/>
              <w:rPr>
                <w:sz w:val="22"/>
                <w:szCs w:val="22"/>
              </w:rPr>
            </w:pPr>
            <w:r w:rsidRPr="001E09AD">
              <w:rPr>
                <w:sz w:val="22"/>
                <w:szCs w:val="22"/>
              </w:rPr>
              <w:tab/>
            </w:r>
            <w:r w:rsidRPr="001E09AD">
              <w:rPr>
                <w:sz w:val="22"/>
                <w:szCs w:val="22"/>
              </w:rPr>
              <w:tab/>
              <w:t>93%</w:t>
            </w:r>
          </w:p>
        </w:tc>
        <w:tc>
          <w:tcPr>
            <w:tcW w:w="1296" w:type="dxa"/>
            <w:shd w:val="clear" w:color="auto" w:fill="auto"/>
          </w:tcPr>
          <w:p w:rsidR="0062770A" w:rsidRPr="001E09AD" w:rsidRDefault="0062770A" w:rsidP="002405E5">
            <w:pPr>
              <w:tabs>
                <w:tab w:val="left" w:pos="0"/>
                <w:tab w:val="left" w:pos="311"/>
                <w:tab w:val="decimal" w:pos="701"/>
              </w:tabs>
              <w:jc w:val="both"/>
              <w:rPr>
                <w:sz w:val="22"/>
                <w:szCs w:val="22"/>
              </w:rPr>
            </w:pPr>
            <w:r w:rsidRPr="001E09AD">
              <w:rPr>
                <w:sz w:val="22"/>
                <w:szCs w:val="22"/>
              </w:rPr>
              <w:tab/>
            </w:r>
            <w:r w:rsidRPr="001E09AD">
              <w:rPr>
                <w:sz w:val="22"/>
                <w:szCs w:val="22"/>
              </w:rPr>
              <w:tab/>
              <w:t>88%</w:t>
            </w:r>
          </w:p>
        </w:tc>
        <w:tc>
          <w:tcPr>
            <w:tcW w:w="1296" w:type="dxa"/>
            <w:shd w:val="clear" w:color="auto" w:fill="auto"/>
          </w:tcPr>
          <w:p w:rsidR="0062770A" w:rsidRPr="001E09AD" w:rsidRDefault="0062770A" w:rsidP="002405E5">
            <w:pPr>
              <w:tabs>
                <w:tab w:val="left" w:pos="0"/>
                <w:tab w:val="left" w:pos="274"/>
                <w:tab w:val="decimal" w:pos="649"/>
              </w:tabs>
              <w:jc w:val="both"/>
              <w:rPr>
                <w:sz w:val="22"/>
                <w:szCs w:val="22"/>
              </w:rPr>
            </w:pPr>
            <w:r w:rsidRPr="001E09AD">
              <w:rPr>
                <w:sz w:val="22"/>
                <w:szCs w:val="22"/>
              </w:rPr>
              <w:tab/>
            </w:r>
            <w:r w:rsidRPr="001E09AD">
              <w:rPr>
                <w:sz w:val="22"/>
                <w:szCs w:val="22"/>
              </w:rPr>
              <w:tab/>
              <w:t>77%</w:t>
            </w:r>
          </w:p>
        </w:tc>
        <w:tc>
          <w:tcPr>
            <w:tcW w:w="1296" w:type="dxa"/>
            <w:shd w:val="clear" w:color="auto" w:fill="auto"/>
          </w:tcPr>
          <w:p w:rsidR="0062770A" w:rsidRPr="001E09AD" w:rsidRDefault="0062770A" w:rsidP="002405E5">
            <w:pPr>
              <w:tabs>
                <w:tab w:val="left" w:pos="0"/>
                <w:tab w:val="left" w:pos="210"/>
                <w:tab w:val="decimal" w:pos="600"/>
              </w:tabs>
              <w:jc w:val="both"/>
              <w:rPr>
                <w:sz w:val="22"/>
                <w:szCs w:val="22"/>
              </w:rPr>
            </w:pPr>
            <w:r w:rsidRPr="001E09AD">
              <w:rPr>
                <w:sz w:val="22"/>
                <w:szCs w:val="22"/>
              </w:rPr>
              <w:tab/>
            </w:r>
            <w:r w:rsidRPr="001E09AD">
              <w:rPr>
                <w:sz w:val="22"/>
                <w:szCs w:val="22"/>
              </w:rPr>
              <w:tab/>
              <w:t>80%</w:t>
            </w:r>
          </w:p>
        </w:tc>
        <w:tc>
          <w:tcPr>
            <w:tcW w:w="1296" w:type="dxa"/>
            <w:shd w:val="clear" w:color="auto" w:fill="auto"/>
          </w:tcPr>
          <w:p w:rsidR="0062770A" w:rsidRPr="001E09AD" w:rsidRDefault="0062770A" w:rsidP="002405E5">
            <w:pPr>
              <w:tabs>
                <w:tab w:val="left" w:pos="0"/>
                <w:tab w:val="left" w:pos="263"/>
                <w:tab w:val="decimal" w:pos="638"/>
              </w:tabs>
              <w:jc w:val="both"/>
              <w:rPr>
                <w:sz w:val="22"/>
                <w:szCs w:val="22"/>
              </w:rPr>
            </w:pPr>
            <w:r w:rsidRPr="001E09AD">
              <w:rPr>
                <w:sz w:val="22"/>
                <w:szCs w:val="22"/>
              </w:rPr>
              <w:tab/>
            </w:r>
            <w:r w:rsidRPr="001E09AD">
              <w:rPr>
                <w:sz w:val="22"/>
                <w:szCs w:val="22"/>
              </w:rPr>
              <w:tab/>
              <w:t>91%</w:t>
            </w:r>
          </w:p>
        </w:tc>
        <w:tc>
          <w:tcPr>
            <w:tcW w:w="1296" w:type="dxa"/>
            <w:shd w:val="clear" w:color="auto" w:fill="auto"/>
          </w:tcPr>
          <w:p w:rsidR="0062770A" w:rsidRPr="001E09AD" w:rsidRDefault="0062770A" w:rsidP="002405E5">
            <w:pPr>
              <w:tabs>
                <w:tab w:val="left" w:pos="0"/>
              </w:tabs>
              <w:jc w:val="center"/>
              <w:rPr>
                <w:sz w:val="22"/>
                <w:szCs w:val="22"/>
              </w:rPr>
            </w:pPr>
            <w:r w:rsidRPr="001E09AD">
              <w:rPr>
                <w:sz w:val="22"/>
                <w:szCs w:val="22"/>
              </w:rPr>
              <w:t>N/A</w:t>
            </w:r>
          </w:p>
        </w:tc>
      </w:tr>
    </w:tbl>
    <w:p w:rsidR="001E09AD" w:rsidRDefault="001E09AD" w:rsidP="002405E5">
      <w:pPr>
        <w:tabs>
          <w:tab w:val="left" w:pos="0"/>
        </w:tabs>
        <w:jc w:val="both"/>
        <w:rPr>
          <w:sz w:val="22"/>
          <w:szCs w:val="22"/>
        </w:rPr>
      </w:pPr>
    </w:p>
    <w:p w:rsidR="0062770A" w:rsidRPr="001E09AD" w:rsidRDefault="00F62A4F" w:rsidP="002405E5">
      <w:pPr>
        <w:tabs>
          <w:tab w:val="left" w:pos="0"/>
        </w:tabs>
        <w:jc w:val="both"/>
        <w:rPr>
          <w:sz w:val="22"/>
          <w:szCs w:val="22"/>
        </w:rPr>
      </w:pPr>
      <w:r w:rsidRPr="001E09AD">
        <w:rPr>
          <w:sz w:val="22"/>
          <w:szCs w:val="22"/>
        </w:rPr>
        <w:t xml:space="preserve">Sources: </w:t>
      </w:r>
      <w:r w:rsidR="0062770A" w:rsidRPr="001E09AD">
        <w:rPr>
          <w:sz w:val="22"/>
          <w:szCs w:val="22"/>
        </w:rPr>
        <w:t xml:space="preserve">2010, 2011 and 2012 as filed cost reports were utilized for occupancy and payor mix percentages. BerryDunn’s database which is a compilation of all non-hospital-based as filed cost reports was utilized for Region 3 averages. </w:t>
      </w:r>
      <w:r w:rsidR="001E09AD">
        <w:rPr>
          <w:sz w:val="22"/>
          <w:szCs w:val="22"/>
        </w:rPr>
        <w:t>“</w:t>
      </w:r>
    </w:p>
    <w:p w:rsidR="0062770A" w:rsidRPr="001E09AD" w:rsidRDefault="0062770A" w:rsidP="002405E5">
      <w:pPr>
        <w:tabs>
          <w:tab w:val="left" w:pos="0"/>
        </w:tabs>
        <w:jc w:val="both"/>
        <w:rPr>
          <w:sz w:val="22"/>
          <w:szCs w:val="22"/>
        </w:rPr>
      </w:pPr>
    </w:p>
    <w:p w:rsidR="0062770A" w:rsidRPr="001E09AD" w:rsidRDefault="001E09AD" w:rsidP="002405E5">
      <w:pPr>
        <w:tabs>
          <w:tab w:val="left" w:pos="0"/>
        </w:tabs>
        <w:jc w:val="both"/>
        <w:rPr>
          <w:sz w:val="22"/>
          <w:szCs w:val="22"/>
        </w:rPr>
      </w:pPr>
      <w:r>
        <w:rPr>
          <w:sz w:val="22"/>
          <w:szCs w:val="22"/>
        </w:rPr>
        <w:t>“</w:t>
      </w:r>
      <w:r w:rsidR="0062770A" w:rsidRPr="001E09AD">
        <w:rPr>
          <w:sz w:val="22"/>
          <w:szCs w:val="22"/>
        </w:rPr>
        <w:t>As evidenced in the table above, CHCF is meeting a need in the community as well as in the region it services. Occupancy rates for 2010 and 2011 were comparable with regional averages and MaineCare utilizations has historically been and is projected to continue to be higher than the regional average due to the community CHCF services. Current year-to-date occupancy continues to remain consistent with 2012 as the NF unit is at 92% and the RCF unit at 93%. We expect both occupancy and payor mix to remain consistent with historical levels or increase as the population in the surrounding communities continues to age.</w:t>
      </w:r>
      <w:r>
        <w:rPr>
          <w:sz w:val="22"/>
          <w:szCs w:val="22"/>
        </w:rPr>
        <w:t>”</w:t>
      </w:r>
      <w:r w:rsidR="0062770A" w:rsidRPr="001E09AD">
        <w:rPr>
          <w:sz w:val="22"/>
          <w:szCs w:val="22"/>
        </w:rPr>
        <w:t xml:space="preserve"> </w:t>
      </w:r>
    </w:p>
    <w:p w:rsidR="0062770A" w:rsidRPr="001E09AD" w:rsidRDefault="0062770A" w:rsidP="001E09AD">
      <w:pPr>
        <w:tabs>
          <w:tab w:val="left" w:pos="0"/>
        </w:tabs>
        <w:jc w:val="both"/>
        <w:rPr>
          <w:sz w:val="22"/>
          <w:szCs w:val="22"/>
        </w:rPr>
      </w:pPr>
    </w:p>
    <w:p w:rsidR="0062770A" w:rsidRPr="001E09AD" w:rsidRDefault="001E09AD" w:rsidP="001E09AD">
      <w:pPr>
        <w:tabs>
          <w:tab w:val="left" w:pos="0"/>
        </w:tabs>
        <w:jc w:val="both"/>
        <w:rPr>
          <w:sz w:val="22"/>
          <w:szCs w:val="22"/>
        </w:rPr>
      </w:pPr>
      <w:r>
        <w:rPr>
          <w:sz w:val="22"/>
          <w:szCs w:val="22"/>
        </w:rPr>
        <w:t>“</w:t>
      </w:r>
      <w:r w:rsidR="0062770A" w:rsidRPr="001E09AD">
        <w:rPr>
          <w:sz w:val="22"/>
          <w:szCs w:val="22"/>
        </w:rPr>
        <w:t>CHCF has a positive impact on this community because it ensures that residents can stay close to home and loved ones which is necessary to the healing process. We have served many elderly couples, who for various reasons have a spouse in the facility.  Having access to skilled services and quality care enables the community spouse not to have to drive to Bangor (40 miles), Dexter (40) Dover-Foxcroft (35), Millinocket (35), Orono (30) and Lincoln (13) in inclement weather to visit, attend care plan meetings, activities and enjoy meals with their spouse. This factor alone has created a wealth of referrals and a very positive impact in th</w:t>
      </w:r>
      <w:r>
        <w:rPr>
          <w:sz w:val="22"/>
          <w:szCs w:val="22"/>
        </w:rPr>
        <w:t>e Howland area.”</w:t>
      </w:r>
    </w:p>
    <w:p w:rsidR="007007F3" w:rsidRPr="001E09AD" w:rsidRDefault="007007F3" w:rsidP="001E09AD">
      <w:pPr>
        <w:tabs>
          <w:tab w:val="left" w:pos="0"/>
        </w:tabs>
        <w:jc w:val="both"/>
        <w:rPr>
          <w:sz w:val="22"/>
          <w:szCs w:val="22"/>
        </w:rPr>
      </w:pPr>
    </w:p>
    <w:p w:rsidR="0062770A" w:rsidRPr="001E09AD" w:rsidRDefault="001E09AD" w:rsidP="001E09AD">
      <w:pPr>
        <w:tabs>
          <w:tab w:val="left" w:pos="0"/>
        </w:tabs>
        <w:jc w:val="both"/>
        <w:rPr>
          <w:sz w:val="22"/>
          <w:szCs w:val="22"/>
        </w:rPr>
      </w:pPr>
      <w:r>
        <w:rPr>
          <w:sz w:val="22"/>
          <w:szCs w:val="22"/>
        </w:rPr>
        <w:t>“</w:t>
      </w:r>
      <w:r w:rsidR="0062770A" w:rsidRPr="001E09AD">
        <w:rPr>
          <w:sz w:val="22"/>
          <w:szCs w:val="22"/>
        </w:rPr>
        <w:t>When CHCF first opened, its main purpose was to serve the elderly community. Today, as health care is constantly and rapidly changing, we are adapting to those changes by offering more services. We have many in our census that are placed for short-term rehab and return to their homes with full function. We have made good friends with many of these short-term referrals and some continue to come in to volunteer with residents. Quality dental care, optometry, podiatry, hospice, counseling and pet therapy are a few examples of diverse services we are now offering in the faci</w:t>
      </w:r>
      <w:r>
        <w:rPr>
          <w:sz w:val="22"/>
          <w:szCs w:val="22"/>
        </w:rPr>
        <w:t>lity through licensed agencies.”</w:t>
      </w:r>
    </w:p>
    <w:p w:rsidR="0062770A" w:rsidRPr="00E46A96" w:rsidRDefault="0062770A" w:rsidP="0062770A">
      <w:pPr>
        <w:ind w:left="720"/>
        <w:contextualSpacing/>
      </w:pPr>
    </w:p>
    <w:p w:rsidR="0062770A" w:rsidRPr="001E09AD" w:rsidRDefault="001E09AD" w:rsidP="001E09AD">
      <w:pPr>
        <w:tabs>
          <w:tab w:val="left" w:pos="0"/>
        </w:tabs>
        <w:jc w:val="both"/>
        <w:rPr>
          <w:sz w:val="22"/>
          <w:szCs w:val="22"/>
        </w:rPr>
      </w:pPr>
      <w:r>
        <w:rPr>
          <w:sz w:val="22"/>
          <w:szCs w:val="22"/>
        </w:rPr>
        <w:t>“</w:t>
      </w:r>
      <w:r w:rsidR="0062770A" w:rsidRPr="001E09AD">
        <w:rPr>
          <w:sz w:val="22"/>
          <w:szCs w:val="22"/>
        </w:rPr>
        <w:t>Aging in place is an important factor in serving elderly people. Most residents that choose to reside in our facility do so to stay close to their home town, close to loved ones and friends. Having assisted living services has been a positive for our facility, allowing local residents to age in place in their own community. Many of them enjoy the consistency of seeing the same</w:t>
      </w:r>
      <w:r w:rsidR="00B65A5E" w:rsidRPr="001E09AD">
        <w:rPr>
          <w:sz w:val="22"/>
          <w:szCs w:val="22"/>
        </w:rPr>
        <w:t xml:space="preserve"> </w:t>
      </w:r>
      <w:r w:rsidR="0062770A" w:rsidRPr="001E09AD">
        <w:rPr>
          <w:sz w:val="22"/>
          <w:szCs w:val="22"/>
        </w:rPr>
        <w:t>family members, church family members, friends and pets by staying close to home. There are instances within our community where younger adults have been in need of quality, skilled and maintenance care. CHCF has adapted to meet the challenges of these younger residents with positive outcomes. Some have returned to the community and continue to function well while another ended with securing hospice care within our facility, allowing the family to grieve without the stress of travel. We continue to assess younger referrals to address and train staff in the changes, challenges and improvements necessary for quality outcomes. CHCF has a vision of providing services to more diverse health care issues, younger referrals and more creative approaches to behaviors. The facility works closely with our local provider group, Health Access Network, to continue to offer service locally.</w:t>
      </w:r>
      <w:r>
        <w:rPr>
          <w:sz w:val="22"/>
          <w:szCs w:val="22"/>
        </w:rPr>
        <w:t>”</w:t>
      </w:r>
      <w:r w:rsidR="0062770A" w:rsidRPr="001E09AD">
        <w:rPr>
          <w:sz w:val="22"/>
          <w:szCs w:val="22"/>
        </w:rPr>
        <w:t xml:space="preserve"> </w:t>
      </w:r>
    </w:p>
    <w:p w:rsidR="001E09AD" w:rsidRDefault="001E09AD">
      <w:r>
        <w:br w:type="page"/>
      </w:r>
    </w:p>
    <w:p w:rsidR="008E41AC" w:rsidRPr="00555A69" w:rsidRDefault="00555A69">
      <w:pPr>
        <w:rPr>
          <w:b/>
        </w:rPr>
      </w:pPr>
      <w:r>
        <w:rPr>
          <w:b/>
        </w:rPr>
        <w:t xml:space="preserve">B. </w:t>
      </w:r>
      <w:r w:rsidR="006A7CB7" w:rsidRPr="00555A69">
        <w:rPr>
          <w:b/>
        </w:rPr>
        <w:t>Certificate of Need Unit</w:t>
      </w:r>
      <w:r w:rsidR="008E41AC" w:rsidRPr="00555A69">
        <w:rPr>
          <w:b/>
        </w:rPr>
        <w:t xml:space="preserve"> Discussion </w:t>
      </w:r>
    </w:p>
    <w:p w:rsidR="008E41AC" w:rsidRPr="00E46A96" w:rsidRDefault="008E41AC">
      <w:pPr>
        <w:rPr>
          <w:b/>
        </w:rPr>
      </w:pPr>
    </w:p>
    <w:p w:rsidR="008E41AC" w:rsidRPr="00555A69" w:rsidRDefault="001C5ECE">
      <w:pPr>
        <w:rPr>
          <w:b/>
        </w:rPr>
      </w:pPr>
      <w:r>
        <w:rPr>
          <w:b/>
        </w:rPr>
        <w:t>Certificate of Need</w:t>
      </w:r>
      <w:r w:rsidR="008E41AC" w:rsidRPr="00555A69">
        <w:rPr>
          <w:b/>
        </w:rPr>
        <w:t xml:space="preserve"> </w:t>
      </w:r>
      <w:r w:rsidR="00E7467A" w:rsidRPr="00555A69">
        <w:rPr>
          <w:b/>
        </w:rPr>
        <w:t>Standard</w:t>
      </w:r>
      <w:r w:rsidR="008E41AC" w:rsidRPr="00555A69">
        <w:rPr>
          <w:b/>
        </w:rPr>
        <w:t xml:space="preserve"> </w:t>
      </w:r>
    </w:p>
    <w:p w:rsidR="008E41AC" w:rsidRPr="00555A69" w:rsidRDefault="008E41AC">
      <w:pPr>
        <w:rPr>
          <w:b/>
          <w:sz w:val="16"/>
          <w:szCs w:val="16"/>
        </w:rPr>
      </w:pPr>
    </w:p>
    <w:p w:rsidR="008E41AC" w:rsidRPr="00E46A96" w:rsidRDefault="008E41AC" w:rsidP="001950B6">
      <w:pPr>
        <w:jc w:val="both"/>
      </w:pPr>
      <w:r w:rsidRPr="00E46A96">
        <w:t xml:space="preserve">Relevant </w:t>
      </w:r>
      <w:r w:rsidR="00E7467A" w:rsidRPr="00E46A96">
        <w:t>standard</w:t>
      </w:r>
      <w:r w:rsidR="00F223C3" w:rsidRPr="00E46A96">
        <w:t>s</w:t>
      </w:r>
      <w:r w:rsidRPr="00E46A96">
        <w:t xml:space="preserve"> for inclusion in this section are specific to the determination there is a public need for the proposed services as demonstrated by certain factors, including, but not limited to: </w:t>
      </w:r>
    </w:p>
    <w:p w:rsidR="008E41AC" w:rsidRPr="00E46A96" w:rsidRDefault="008E41AC"/>
    <w:p w:rsidR="008E41AC" w:rsidRPr="00E46A96" w:rsidRDefault="008E41AC">
      <w:pPr>
        <w:numPr>
          <w:ilvl w:val="0"/>
          <w:numId w:val="2"/>
        </w:numPr>
      </w:pPr>
      <w:r w:rsidRPr="00E46A96">
        <w:t>Whether, and the extent to which, the project will substantially address specific health problems as measured by health needs in the area to be served by the project;</w:t>
      </w:r>
      <w:r w:rsidRPr="00E46A96">
        <w:br/>
      </w:r>
    </w:p>
    <w:p w:rsidR="008E41AC" w:rsidRPr="00E46A96" w:rsidRDefault="008E41AC">
      <w:pPr>
        <w:numPr>
          <w:ilvl w:val="0"/>
          <w:numId w:val="2"/>
        </w:numPr>
      </w:pPr>
      <w:r w:rsidRPr="00E46A96">
        <w:t>Whether the project will have a positive impact on the health status indicators of the population to be served;</w:t>
      </w:r>
      <w:r w:rsidRPr="00E46A96">
        <w:br/>
      </w:r>
    </w:p>
    <w:p w:rsidR="008E41AC" w:rsidRPr="00E46A96" w:rsidRDefault="008E41AC">
      <w:pPr>
        <w:numPr>
          <w:ilvl w:val="0"/>
          <w:numId w:val="2"/>
        </w:numPr>
        <w:rPr>
          <w:b/>
        </w:rPr>
      </w:pPr>
      <w:r w:rsidRPr="00E46A96">
        <w:t xml:space="preserve">Whether the services affected by the project will be accessible to all residents of the area proposed to be served; and </w:t>
      </w:r>
      <w:r w:rsidRPr="00E46A96">
        <w:br/>
      </w:r>
    </w:p>
    <w:p w:rsidR="008E41AC" w:rsidRPr="00E46A96" w:rsidRDefault="008E41AC">
      <w:pPr>
        <w:numPr>
          <w:ilvl w:val="0"/>
          <w:numId w:val="2"/>
        </w:numPr>
        <w:rPr>
          <w:b/>
        </w:rPr>
      </w:pPr>
      <w:r w:rsidRPr="00E46A96">
        <w:t>Whether the project will provide demonstrable improvements in quality and outcome measures applicable to the services proposed in the project.</w:t>
      </w:r>
      <w:r w:rsidRPr="00E46A96">
        <w:br/>
      </w:r>
    </w:p>
    <w:p w:rsidR="008E41AC" w:rsidRPr="00555A69" w:rsidRDefault="00D908D5" w:rsidP="00555A69">
      <w:pPr>
        <w:rPr>
          <w:b/>
        </w:rPr>
      </w:pPr>
      <w:r w:rsidRPr="00555A69">
        <w:rPr>
          <w:b/>
        </w:rPr>
        <w:t>Certificate of Need</w:t>
      </w:r>
      <w:r w:rsidR="000A06C5" w:rsidRPr="00555A69">
        <w:rPr>
          <w:b/>
        </w:rPr>
        <w:t xml:space="preserve"> </w:t>
      </w:r>
      <w:r w:rsidR="008E41AC" w:rsidRPr="00555A69">
        <w:rPr>
          <w:b/>
        </w:rPr>
        <w:t>Analysis</w:t>
      </w:r>
    </w:p>
    <w:p w:rsidR="008E41AC" w:rsidRPr="00555A69" w:rsidRDefault="008E41AC">
      <w:pPr>
        <w:rPr>
          <w:b/>
          <w:sz w:val="16"/>
          <w:szCs w:val="16"/>
        </w:rPr>
      </w:pPr>
    </w:p>
    <w:p w:rsidR="00691004" w:rsidRDefault="00827DB8" w:rsidP="001950B6">
      <w:pPr>
        <w:jc w:val="both"/>
      </w:pPr>
      <w:r>
        <w:t xml:space="preserve">In order to determine public need, CONU analyzed demographic and service use trends in Cummings Health Care Facility, Inc. service area (Penobscot County, Maine). </w:t>
      </w:r>
      <w:r w:rsidR="001930D4">
        <w:t xml:space="preserve">CONU utilized the </w:t>
      </w:r>
      <w:r w:rsidR="001930D4" w:rsidRPr="001930D4">
        <w:rPr>
          <w:u w:val="single"/>
        </w:rPr>
        <w:t>Older Adults with Physical Disabilities: Population and Service Use Trends in Maine, 2012 Edition</w:t>
      </w:r>
      <w:r w:rsidR="001930D4">
        <w:t xml:space="preserve">, prepared by the Muskie School of Public Service and the U.S. Census Bureau’s website located at </w:t>
      </w:r>
      <w:hyperlink r:id="rId15" w:history="1">
        <w:r w:rsidR="001930D4" w:rsidRPr="00C253C8">
          <w:rPr>
            <w:rStyle w:val="Hyperlink"/>
          </w:rPr>
          <w:t>http://quickfacts.census.gov</w:t>
        </w:r>
      </w:hyperlink>
      <w:r w:rsidR="001930D4">
        <w:t xml:space="preserve">. </w:t>
      </w:r>
    </w:p>
    <w:p w:rsidR="00691004" w:rsidRDefault="00691004" w:rsidP="001950B6">
      <w:pPr>
        <w:jc w:val="both"/>
      </w:pPr>
    </w:p>
    <w:p w:rsidR="00223F75" w:rsidRDefault="00E73A51" w:rsidP="001950B6">
      <w:pPr>
        <w:jc w:val="both"/>
      </w:pPr>
      <w:r>
        <w:t xml:space="preserve">Penobscot County is the third most populous county in Maine with a population of 153,476. Approximately 15% of the population is 65 and over. The 65 and over population is expected to experience a 36% growth rate in the next ten years. This coincides with the State of Maine as a whole where the 65 and above population continues to grow at a rate faster than New England and the United States as a whole. </w:t>
      </w:r>
      <w:r w:rsidR="001930D4">
        <w:t xml:space="preserve">Statewide nursing home utilization declined between 2000 </w:t>
      </w:r>
      <w:r w:rsidR="002444EC">
        <w:t xml:space="preserve">and </w:t>
      </w:r>
      <w:r w:rsidR="001930D4">
        <w:t xml:space="preserve">2008 but leveled off in 2010. Utilization of residential care facilities </w:t>
      </w:r>
      <w:r w:rsidR="002444EC">
        <w:t>grew 30% between 2000 and 2010 before declining slightly in 2010.</w:t>
      </w:r>
    </w:p>
    <w:p w:rsidR="00223F75" w:rsidRDefault="00223F75" w:rsidP="001950B6">
      <w:pPr>
        <w:jc w:val="both"/>
      </w:pPr>
    </w:p>
    <w:p w:rsidR="00AD6782" w:rsidRDefault="00223F75" w:rsidP="001950B6">
      <w:pPr>
        <w:jc w:val="both"/>
      </w:pPr>
      <w:r>
        <w:t xml:space="preserve">Penobscot County had 39 nursing home beds per 1,000 persons age 65 and above which is higher than the State average of 33 beds per 1,000 and 19 residential care beds per 1,000 persons age 65 and above which is below the state average of 20 beds per 1,000. </w:t>
      </w:r>
      <w:r w:rsidR="007506B6">
        <w:t xml:space="preserve">The applicant provided a detailed analysis of Cummings Health Care Facility, Inc. occupancy data for 2010 through 2012 for both SNF/NF and Residential Care beds and compared this to other facilities located in this region. Cummings occupancy rates compare favorably with other providers and exceed 90% in 2012. </w:t>
      </w:r>
      <w:r w:rsidR="008C7487">
        <w:t xml:space="preserve">This transaction involves the change of ownership of Cummings Health Care Facility, </w:t>
      </w:r>
    </w:p>
    <w:p w:rsidR="008C7487" w:rsidRDefault="008C7487" w:rsidP="001950B6">
      <w:pPr>
        <w:jc w:val="both"/>
      </w:pPr>
      <w:r>
        <w:t>Inc. which has served the Penobscot County area since 1973. The demographics of Penobscot County along with Cummings occupancy data clearly demonstrate a need for SNF/NF and Residential Care services in this region.</w:t>
      </w:r>
    </w:p>
    <w:p w:rsidR="008C7487" w:rsidRDefault="008C7487" w:rsidP="001950B6">
      <w:pPr>
        <w:jc w:val="both"/>
      </w:pPr>
      <w:r>
        <w:t>Retaining needed SNF/NF and Residential Care services will have a positive impact on the health status indicators of the population to be served. This facility enables residents to remain close to home and family while receiving services.</w:t>
      </w:r>
      <w:r w:rsidR="002C2748">
        <w:t xml:space="preserve"> </w:t>
      </w:r>
      <w:r>
        <w:t xml:space="preserve">The facility will continue to provide individualized care, continuity of care, and specialized services tailored to </w:t>
      </w:r>
      <w:r w:rsidR="007007F3">
        <w:t>the needs of area residents.</w:t>
      </w:r>
    </w:p>
    <w:p w:rsidR="008C7487" w:rsidRDefault="008C7487" w:rsidP="001950B6">
      <w:pPr>
        <w:jc w:val="both"/>
      </w:pPr>
    </w:p>
    <w:p w:rsidR="002C2748" w:rsidRDefault="008C7487" w:rsidP="001950B6">
      <w:pPr>
        <w:jc w:val="both"/>
      </w:pPr>
      <w:r>
        <w:t xml:space="preserve">The services affected by the project will be accessible to all residents in the area. </w:t>
      </w:r>
    </w:p>
    <w:p w:rsidR="00691004" w:rsidRDefault="00691004" w:rsidP="001950B6">
      <w:pPr>
        <w:jc w:val="both"/>
      </w:pPr>
    </w:p>
    <w:p w:rsidR="00691004" w:rsidRDefault="002C2748" w:rsidP="001950B6">
      <w:pPr>
        <w:jc w:val="both"/>
      </w:pPr>
      <w:r>
        <w:t>Cummings Health Care Facility, Inc. has responded to the evolving health care market by adding a</w:t>
      </w:r>
      <w:r w:rsidR="00691004">
        <w:t>n</w:t>
      </w:r>
      <w:r>
        <w:t xml:space="preserve"> array of services to its’ traditional mission of serving the elderly population. Many residents have responded favorably to short-term rehab and returned home thus avoiding expensive long-term care. Licensed agencies provide a number of services including counseling, h</w:t>
      </w:r>
      <w:r w:rsidR="00E57841">
        <w:t xml:space="preserve">ospice, optometry, podiatry, and counseling.  The facility has had success with younger adults who have needed skilled and maintenance care. </w:t>
      </w:r>
      <w:r w:rsidR="00BD0820">
        <w:t>Staff receive</w:t>
      </w:r>
      <w:r w:rsidR="00E57841">
        <w:t xml:space="preserve"> ongoing training to meet the challenges necessary for quality outcomes. </w:t>
      </w:r>
    </w:p>
    <w:p w:rsidR="00555A69" w:rsidRDefault="00555A69" w:rsidP="001950B6">
      <w:pPr>
        <w:jc w:val="both"/>
        <w:rPr>
          <w:b/>
        </w:rPr>
      </w:pPr>
    </w:p>
    <w:p w:rsidR="00B132AC" w:rsidRPr="00555A69" w:rsidRDefault="008E41AC">
      <w:r w:rsidRPr="00555A69">
        <w:rPr>
          <w:b/>
        </w:rPr>
        <w:t xml:space="preserve">Conclusion </w:t>
      </w:r>
    </w:p>
    <w:p w:rsidR="00D77F04" w:rsidRPr="00555A69" w:rsidRDefault="00D77F04">
      <w:pPr>
        <w:rPr>
          <w:sz w:val="16"/>
          <w:szCs w:val="16"/>
        </w:rPr>
      </w:pPr>
    </w:p>
    <w:p w:rsidR="00D77F04" w:rsidRPr="00E46A96" w:rsidRDefault="00604E26" w:rsidP="001950B6">
      <w:pPr>
        <w:jc w:val="both"/>
      </w:pPr>
      <w:r w:rsidRPr="00E46A96">
        <w:t>The Certificate of Need Unit</w:t>
      </w:r>
      <w:r w:rsidR="00D77F04" w:rsidRPr="00E46A96">
        <w:t xml:space="preserve"> recommends that </w:t>
      </w:r>
      <w:r w:rsidR="004D00D7" w:rsidRPr="00E46A96">
        <w:t>the Commissioner find</w:t>
      </w:r>
      <w:r w:rsidR="00D77F04" w:rsidRPr="00E46A96">
        <w:t xml:space="preserve"> </w:t>
      </w:r>
      <w:r w:rsidR="00DF01D6" w:rsidRPr="00E46A96">
        <w:t xml:space="preserve">that </w:t>
      </w:r>
      <w:r w:rsidR="00797D9C" w:rsidRPr="00E46A96">
        <w:t xml:space="preserve">the applicant </w:t>
      </w:r>
      <w:r w:rsidR="00C91110" w:rsidRPr="00E46A96">
        <w:t>ha</w:t>
      </w:r>
      <w:r w:rsidR="00797D9C" w:rsidRPr="00E46A96">
        <w:t>s</w:t>
      </w:r>
      <w:r w:rsidR="00C91110" w:rsidRPr="00E46A96">
        <w:t xml:space="preserve"> met their</w:t>
      </w:r>
      <w:r w:rsidR="00D77F04" w:rsidRPr="00E46A96">
        <w:t xml:space="preserve"> burden to show that </w:t>
      </w:r>
      <w:r w:rsidR="00390593" w:rsidRPr="00E46A96">
        <w:t>there is a publi</w:t>
      </w:r>
      <w:r w:rsidR="00DF2477" w:rsidRPr="00E46A96">
        <w:t>c need for the proposed project</w:t>
      </w:r>
      <w:r w:rsidR="00390593" w:rsidRPr="00E46A96">
        <w:t xml:space="preserve">. </w:t>
      </w:r>
    </w:p>
    <w:p w:rsidR="00816CFD" w:rsidRPr="00E46A96" w:rsidRDefault="00816CFD"/>
    <w:p w:rsidR="00D77F04" w:rsidRPr="0019690A" w:rsidRDefault="00D77F04">
      <w:pPr>
        <w:sectPr w:rsidR="00D77F04" w:rsidRPr="0019690A" w:rsidSect="009530A6">
          <w:headerReference w:type="default" r:id="rId16"/>
          <w:pgSz w:w="12240" w:h="15840"/>
          <w:pgMar w:top="1440" w:right="1080" w:bottom="1440" w:left="1800" w:header="720" w:footer="720" w:gutter="0"/>
          <w:cols w:space="720"/>
          <w:docGrid w:linePitch="360"/>
        </w:sectPr>
      </w:pPr>
    </w:p>
    <w:p w:rsidR="004336AF" w:rsidRPr="00555A69" w:rsidRDefault="004336AF" w:rsidP="00D05069">
      <w:pPr>
        <w:pStyle w:val="Heading1"/>
        <w:spacing w:before="0" w:after="0"/>
        <w:rPr>
          <w:rFonts w:ascii="Times New Roman" w:hAnsi="Times New Roman" w:cs="Times New Roman"/>
          <w:sz w:val="28"/>
          <w:szCs w:val="28"/>
          <w:u w:val="single"/>
        </w:rPr>
      </w:pPr>
      <w:bookmarkStart w:id="16" w:name="_Ref195319951"/>
      <w:r w:rsidRPr="00555A69">
        <w:rPr>
          <w:rFonts w:ascii="Times New Roman" w:hAnsi="Times New Roman" w:cs="Times New Roman"/>
          <w:sz w:val="28"/>
          <w:szCs w:val="28"/>
          <w:u w:val="single"/>
        </w:rPr>
        <w:t xml:space="preserve">V. </w:t>
      </w:r>
      <w:bookmarkEnd w:id="16"/>
      <w:r w:rsidR="00CF12AC" w:rsidRPr="00555A69">
        <w:rPr>
          <w:rFonts w:ascii="Times New Roman" w:hAnsi="Times New Roman" w:cs="Times New Roman"/>
          <w:sz w:val="28"/>
          <w:szCs w:val="28"/>
          <w:u w:val="single"/>
        </w:rPr>
        <w:t>Orderly and Economic Development</w:t>
      </w:r>
      <w:r w:rsidRPr="00555A69">
        <w:rPr>
          <w:rFonts w:ascii="Times New Roman" w:hAnsi="Times New Roman" w:cs="Times New Roman"/>
          <w:sz w:val="28"/>
          <w:szCs w:val="28"/>
          <w:u w:val="single"/>
        </w:rPr>
        <w:t xml:space="preserve"> </w:t>
      </w:r>
    </w:p>
    <w:p w:rsidR="00C841B6" w:rsidRPr="0019690A" w:rsidRDefault="00C841B6" w:rsidP="005E5A17">
      <w:pPr>
        <w:rPr>
          <w:b/>
          <w:u w:val="single"/>
        </w:rPr>
      </w:pPr>
    </w:p>
    <w:p w:rsidR="00664296" w:rsidRPr="00555A69" w:rsidRDefault="00555A69" w:rsidP="00C841B6">
      <w:pPr>
        <w:rPr>
          <w:b/>
        </w:rPr>
      </w:pPr>
      <w:r w:rsidRPr="00555A69">
        <w:rPr>
          <w:b/>
        </w:rPr>
        <w:t xml:space="preserve">A. </w:t>
      </w:r>
      <w:r w:rsidR="00664296" w:rsidRPr="00555A69">
        <w:rPr>
          <w:b/>
        </w:rPr>
        <w:t xml:space="preserve">From Applicant </w:t>
      </w:r>
    </w:p>
    <w:p w:rsidR="00E46A96" w:rsidRPr="00555A69" w:rsidRDefault="00E46A96" w:rsidP="00C841B6">
      <w:pPr>
        <w:rPr>
          <w:b/>
          <w:sz w:val="16"/>
          <w:szCs w:val="16"/>
          <w:u w:val="single"/>
        </w:rPr>
      </w:pPr>
    </w:p>
    <w:p w:rsidR="0062770A" w:rsidRPr="00E46A96" w:rsidRDefault="00B942DF" w:rsidP="00555A69">
      <w:pPr>
        <w:jc w:val="both"/>
      </w:pPr>
      <w:bookmarkStart w:id="17" w:name="_Ref195319957"/>
      <w:r>
        <w:t>“</w:t>
      </w:r>
      <w:r w:rsidR="0062770A" w:rsidRPr="00E46A96">
        <w:t>We have no plans to significantly change the services historically provided and anticipate no significant capital expenditures or borrowings as a result of the change in ownership. The only costs associated with the proposed change in ownership are related to the Certificate of Need filing and minor legal fees.</w:t>
      </w:r>
      <w:r>
        <w:t>”</w:t>
      </w:r>
    </w:p>
    <w:p w:rsidR="0062770A" w:rsidRPr="00E46A96" w:rsidRDefault="0062770A" w:rsidP="00555A69">
      <w:pPr>
        <w:jc w:val="both"/>
      </w:pPr>
    </w:p>
    <w:p w:rsidR="0062770A" w:rsidRPr="00E46A96" w:rsidRDefault="00B942DF" w:rsidP="00555A69">
      <w:pPr>
        <w:jc w:val="both"/>
      </w:pPr>
      <w:r>
        <w:t>“</w:t>
      </w:r>
      <w:r w:rsidR="0062770A" w:rsidRPr="00E46A96">
        <w:t>There will be no changes to the MaineCare direct and routine rates paid to the facility. The assumption of current rates and no planned significant capital expenditures or changes to bed licenses as a result of this change of ownership demonstrates MaineCare neutrality.</w:t>
      </w:r>
      <w:r>
        <w:t>”</w:t>
      </w:r>
      <w:r w:rsidR="0062770A" w:rsidRPr="00E46A96">
        <w:t xml:space="preserve"> </w:t>
      </w:r>
    </w:p>
    <w:p w:rsidR="0062770A" w:rsidRPr="00E46A96" w:rsidRDefault="0062770A" w:rsidP="00555A69">
      <w:pPr>
        <w:jc w:val="both"/>
      </w:pPr>
    </w:p>
    <w:p w:rsidR="0062770A" w:rsidRPr="00E46A96" w:rsidRDefault="00B942DF" w:rsidP="00555A69">
      <w:pPr>
        <w:jc w:val="both"/>
      </w:pPr>
      <w:r>
        <w:t>“</w:t>
      </w:r>
      <w:r w:rsidR="0062770A" w:rsidRPr="00E46A96">
        <w:t>It is highly unlikely that that more effective, more accessible or less costly alternative technologies or methods or service delivery may become available as CHCF is already very well established within the community. In fact, the continuation of nursing and residential care services in Howland is vital to the community and the population being served.</w:t>
      </w:r>
      <w:r>
        <w:t>”</w:t>
      </w:r>
    </w:p>
    <w:bookmarkEnd w:id="17"/>
    <w:p w:rsidR="00664296" w:rsidRPr="0019690A" w:rsidRDefault="00664296" w:rsidP="00555A69">
      <w:pPr>
        <w:rPr>
          <w:b/>
          <w:u w:val="single"/>
        </w:rPr>
      </w:pPr>
    </w:p>
    <w:p w:rsidR="008E41AC" w:rsidRPr="00555A69" w:rsidRDefault="00555A69" w:rsidP="008E41AC">
      <w:pPr>
        <w:rPr>
          <w:b/>
        </w:rPr>
      </w:pPr>
      <w:r w:rsidRPr="00555A69">
        <w:rPr>
          <w:b/>
        </w:rPr>
        <w:t xml:space="preserve">B. </w:t>
      </w:r>
      <w:r w:rsidR="006A7CB7" w:rsidRPr="00555A69">
        <w:rPr>
          <w:b/>
        </w:rPr>
        <w:t>Certificate of Need Unit</w:t>
      </w:r>
      <w:r w:rsidR="008E41AC" w:rsidRPr="00555A69">
        <w:rPr>
          <w:b/>
        </w:rPr>
        <w:t xml:space="preserve"> Discussion </w:t>
      </w:r>
    </w:p>
    <w:p w:rsidR="008E41AC" w:rsidRPr="00555A69" w:rsidRDefault="008E41AC" w:rsidP="008E41AC">
      <w:pPr>
        <w:rPr>
          <w:b/>
        </w:rPr>
      </w:pPr>
    </w:p>
    <w:p w:rsidR="008E41AC" w:rsidRPr="00555A69" w:rsidRDefault="001C5ECE" w:rsidP="008E41AC">
      <w:pPr>
        <w:rPr>
          <w:b/>
        </w:rPr>
      </w:pPr>
      <w:r>
        <w:rPr>
          <w:b/>
        </w:rPr>
        <w:t xml:space="preserve">Certificate of Need </w:t>
      </w:r>
      <w:r w:rsidR="00E7467A" w:rsidRPr="00555A69">
        <w:rPr>
          <w:b/>
        </w:rPr>
        <w:t>Standard</w:t>
      </w:r>
      <w:r w:rsidR="008E41AC" w:rsidRPr="00555A69">
        <w:rPr>
          <w:b/>
        </w:rPr>
        <w:t xml:space="preserve"> </w:t>
      </w:r>
    </w:p>
    <w:p w:rsidR="008E41AC" w:rsidRPr="00555A69" w:rsidRDefault="008E41AC" w:rsidP="008E41AC">
      <w:pPr>
        <w:rPr>
          <w:b/>
          <w:sz w:val="16"/>
          <w:szCs w:val="16"/>
        </w:rPr>
      </w:pPr>
    </w:p>
    <w:p w:rsidR="008E41AC" w:rsidRPr="0019690A" w:rsidRDefault="008E41AC" w:rsidP="00555A69">
      <w:pPr>
        <w:jc w:val="both"/>
      </w:pPr>
      <w:r w:rsidRPr="0019690A">
        <w:t xml:space="preserve">Relevant </w:t>
      </w:r>
      <w:r w:rsidR="00E7467A" w:rsidRPr="0019690A">
        <w:t>standard</w:t>
      </w:r>
      <w:r w:rsidR="00343C22" w:rsidRPr="0019690A">
        <w:t>s</w:t>
      </w:r>
      <w:r w:rsidRPr="0019690A">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19690A" w:rsidRDefault="008E41AC" w:rsidP="00555A69">
      <w:pPr>
        <w:jc w:val="both"/>
      </w:pPr>
    </w:p>
    <w:p w:rsidR="008E41AC" w:rsidRPr="0019690A" w:rsidRDefault="008E41AC" w:rsidP="00D05069">
      <w:pPr>
        <w:numPr>
          <w:ilvl w:val="0"/>
          <w:numId w:val="3"/>
        </w:numPr>
      </w:pPr>
      <w:r w:rsidRPr="0019690A">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19690A">
        <w:br/>
      </w:r>
    </w:p>
    <w:p w:rsidR="008E41AC" w:rsidRPr="0019690A" w:rsidRDefault="008E41AC" w:rsidP="00D05069">
      <w:pPr>
        <w:numPr>
          <w:ilvl w:val="0"/>
          <w:numId w:val="3"/>
        </w:numPr>
      </w:pPr>
      <w:r w:rsidRPr="0019690A">
        <w:t>The availability of state funds to cover any increase in state co</w:t>
      </w:r>
      <w:r w:rsidR="00D05069">
        <w:t xml:space="preserve">sts associated with utilization </w:t>
      </w:r>
      <w:r w:rsidRPr="0019690A">
        <w:t xml:space="preserve">of the project's services; and </w:t>
      </w:r>
      <w:r w:rsidRPr="0019690A">
        <w:br/>
      </w:r>
    </w:p>
    <w:p w:rsidR="008E41AC" w:rsidRPr="0019690A" w:rsidRDefault="008E41AC" w:rsidP="00D05069">
      <w:pPr>
        <w:numPr>
          <w:ilvl w:val="0"/>
          <w:numId w:val="3"/>
        </w:numPr>
        <w:rPr>
          <w:b/>
        </w:rPr>
      </w:pPr>
      <w:r w:rsidRPr="0019690A">
        <w:t>The likelihood that more effective, more accessible or less costly alternative technologies or methods of service delivery may become available.</w:t>
      </w:r>
    </w:p>
    <w:p w:rsidR="00DE75CD" w:rsidRDefault="00DE75CD" w:rsidP="00D05069">
      <w:pPr>
        <w:rPr>
          <w:b/>
        </w:rPr>
      </w:pPr>
    </w:p>
    <w:p w:rsidR="008E41AC" w:rsidRPr="00555A69" w:rsidRDefault="00CA7FAA" w:rsidP="00555A69">
      <w:pPr>
        <w:jc w:val="both"/>
        <w:rPr>
          <w:b/>
        </w:rPr>
      </w:pPr>
      <w:r w:rsidRPr="00555A69">
        <w:rPr>
          <w:b/>
        </w:rPr>
        <w:t>Certificate of Need</w:t>
      </w:r>
      <w:r w:rsidR="00211D06" w:rsidRPr="00555A69">
        <w:rPr>
          <w:b/>
        </w:rPr>
        <w:t xml:space="preserve"> </w:t>
      </w:r>
      <w:r w:rsidR="008E41AC" w:rsidRPr="00555A69">
        <w:rPr>
          <w:b/>
        </w:rPr>
        <w:t>Analysis</w:t>
      </w:r>
    </w:p>
    <w:p w:rsidR="008E41AC" w:rsidRPr="00555A69" w:rsidRDefault="008E41AC" w:rsidP="00555A69">
      <w:pPr>
        <w:jc w:val="both"/>
        <w:rPr>
          <w:b/>
          <w:sz w:val="16"/>
          <w:szCs w:val="16"/>
        </w:rPr>
      </w:pPr>
    </w:p>
    <w:p w:rsidR="008269F5" w:rsidRDefault="001A55FA" w:rsidP="00555A69">
      <w:pPr>
        <w:tabs>
          <w:tab w:val="left" w:pos="-180"/>
        </w:tabs>
        <w:jc w:val="both"/>
      </w:pPr>
      <w:r>
        <w:t>This transaction involves changing ownership of an existing facility. No major changes to services</w:t>
      </w:r>
      <w:r w:rsidR="00B942DF">
        <w:t xml:space="preserve"> or</w:t>
      </w:r>
      <w:r w:rsidR="008269F5">
        <w:t xml:space="preserve"> to bed licenses</w:t>
      </w:r>
      <w:r>
        <w:t xml:space="preserve"> are anticipated</w:t>
      </w:r>
      <w:r w:rsidR="008269F5">
        <w:t>. No</w:t>
      </w:r>
      <w:r>
        <w:t xml:space="preserve"> additional capital expenditures or borrowings will result due to this ownership change. In fact, the refinancing of the current outstanding mortgage note associated with this transaction could result in a small cost savings due to lower interest rates. This refinancing was recently approved by the Division of Licensing and Regulatory Services Office of Health Care Oversight. </w:t>
      </w:r>
    </w:p>
    <w:p w:rsidR="008269F5" w:rsidRDefault="008269F5" w:rsidP="00555A69">
      <w:pPr>
        <w:tabs>
          <w:tab w:val="left" w:pos="-180"/>
        </w:tabs>
        <w:jc w:val="both"/>
      </w:pPr>
    </w:p>
    <w:p w:rsidR="008269F5" w:rsidRDefault="008269F5" w:rsidP="00555A69">
      <w:pPr>
        <w:tabs>
          <w:tab w:val="left" w:pos="-180"/>
        </w:tabs>
        <w:jc w:val="both"/>
      </w:pPr>
      <w:r>
        <w:t>MaineCare reimbursem</w:t>
      </w:r>
      <w:r w:rsidR="001A55FA">
        <w:t>e</w:t>
      </w:r>
      <w:r>
        <w:t xml:space="preserve">nt rates for direct care and routine services will not change due to this transaction because </w:t>
      </w:r>
      <w:r w:rsidR="00691004">
        <w:t>allowable</w:t>
      </w:r>
      <w:r>
        <w:t xml:space="preserve"> costs are subject to</w:t>
      </w:r>
      <w:r w:rsidR="00691004">
        <w:t xml:space="preserve"> existing peer group cost caps for reimbursement.</w:t>
      </w:r>
    </w:p>
    <w:p w:rsidR="008269F5" w:rsidRDefault="008269F5" w:rsidP="00555A69">
      <w:pPr>
        <w:tabs>
          <w:tab w:val="left" w:pos="-180"/>
        </w:tabs>
        <w:jc w:val="both"/>
      </w:pPr>
    </w:p>
    <w:p w:rsidR="001A55FA" w:rsidRPr="00834E8B" w:rsidRDefault="008269F5" w:rsidP="00555A69">
      <w:pPr>
        <w:tabs>
          <w:tab w:val="left" w:pos="-180"/>
        </w:tabs>
        <w:jc w:val="both"/>
        <w:rPr>
          <w:sz w:val="16"/>
          <w:szCs w:val="16"/>
        </w:rPr>
      </w:pPr>
      <w:r>
        <w:t>Cummings Health Care Facility, Inc. is an existing facility providing necessary services in the Penobscot County area. It is highly unlikely that more effective, more accessible or less costly alternative technologies or methods of service delivery will become available.</w:t>
      </w:r>
      <w:r w:rsidR="001A55FA">
        <w:t xml:space="preserve"> </w:t>
      </w:r>
    </w:p>
    <w:p w:rsidR="0095668E" w:rsidRPr="0019690A" w:rsidRDefault="0095668E" w:rsidP="008B172B"/>
    <w:p w:rsidR="004336AF" w:rsidRPr="00555A69" w:rsidRDefault="008E41AC" w:rsidP="00555A69">
      <w:pPr>
        <w:rPr>
          <w:b/>
        </w:rPr>
      </w:pPr>
      <w:r w:rsidRPr="00555A69">
        <w:rPr>
          <w:b/>
        </w:rPr>
        <w:t xml:space="preserve">Conclusion </w:t>
      </w:r>
    </w:p>
    <w:p w:rsidR="00D77F04" w:rsidRPr="00555A69" w:rsidRDefault="00D77F04" w:rsidP="008E41AC">
      <w:pPr>
        <w:rPr>
          <w:b/>
          <w:sz w:val="16"/>
          <w:szCs w:val="16"/>
        </w:rPr>
      </w:pPr>
    </w:p>
    <w:p w:rsidR="00D77F04" w:rsidRPr="0019690A" w:rsidRDefault="002E22B3" w:rsidP="008E41AC">
      <w:r w:rsidRPr="0019690A">
        <w:t>The Certificate of Need Unit</w:t>
      </w:r>
      <w:r w:rsidR="00C466B5" w:rsidRPr="0019690A">
        <w:t xml:space="preserve"> </w:t>
      </w:r>
      <w:r w:rsidR="00D77F04" w:rsidRPr="0019690A">
        <w:t>recommends</w:t>
      </w:r>
      <w:r w:rsidR="001227AD" w:rsidRPr="0019690A">
        <w:t xml:space="preserve"> that the Commissioner find</w:t>
      </w:r>
      <w:r w:rsidR="00D77F04" w:rsidRPr="0019690A">
        <w:t xml:space="preserve"> that </w:t>
      </w:r>
      <w:r w:rsidR="00845A59" w:rsidRPr="0019690A">
        <w:t>the applicant has met its</w:t>
      </w:r>
      <w:r w:rsidR="00D77F04" w:rsidRPr="0019690A">
        <w:t xml:space="preserve"> burden to demonstrate that the proposed project is consistent with the orderly and economic development of health facilities and health resources for the State. </w:t>
      </w:r>
    </w:p>
    <w:p w:rsidR="0095550A" w:rsidRPr="0019690A" w:rsidRDefault="0095550A" w:rsidP="004336AF">
      <w:pPr>
        <w:sectPr w:rsidR="0095550A" w:rsidRPr="0019690A" w:rsidSect="001123F4">
          <w:headerReference w:type="default" r:id="rId17"/>
          <w:pgSz w:w="12240" w:h="15840"/>
          <w:pgMar w:top="1440" w:right="1080" w:bottom="1440" w:left="1800" w:header="720" w:footer="720" w:gutter="0"/>
          <w:cols w:space="720"/>
          <w:docGrid w:linePitch="360"/>
        </w:sectPr>
      </w:pPr>
    </w:p>
    <w:p w:rsidR="00496DFB" w:rsidRPr="00D05069" w:rsidRDefault="00595EC7" w:rsidP="00555A69">
      <w:pPr>
        <w:pStyle w:val="Heading1"/>
        <w:spacing w:before="0" w:after="0"/>
        <w:rPr>
          <w:rFonts w:ascii="Times New Roman" w:hAnsi="Times New Roman" w:cs="Times New Roman"/>
          <w:sz w:val="28"/>
          <w:szCs w:val="28"/>
          <w:u w:val="single"/>
        </w:rPr>
      </w:pPr>
      <w:bookmarkStart w:id="18" w:name="_Ref195319965"/>
      <w:r w:rsidRPr="00D05069">
        <w:rPr>
          <w:rFonts w:ascii="Times New Roman" w:hAnsi="Times New Roman" w:cs="Times New Roman"/>
          <w:sz w:val="28"/>
          <w:szCs w:val="28"/>
          <w:u w:val="single"/>
        </w:rPr>
        <w:t>V</w:t>
      </w:r>
      <w:r w:rsidR="004336AF" w:rsidRPr="00D05069">
        <w:rPr>
          <w:rFonts w:ascii="Times New Roman" w:hAnsi="Times New Roman" w:cs="Times New Roman"/>
          <w:sz w:val="28"/>
          <w:szCs w:val="28"/>
          <w:u w:val="single"/>
        </w:rPr>
        <w:t>I. Outcomes and Community Impact</w:t>
      </w:r>
      <w:bookmarkEnd w:id="18"/>
      <w:r w:rsidR="004336AF" w:rsidRPr="00D05069">
        <w:rPr>
          <w:rFonts w:ascii="Times New Roman" w:hAnsi="Times New Roman" w:cs="Times New Roman"/>
          <w:sz w:val="28"/>
          <w:szCs w:val="28"/>
          <w:u w:val="single"/>
        </w:rPr>
        <w:t xml:space="preserve"> </w:t>
      </w:r>
    </w:p>
    <w:p w:rsidR="00E46A96" w:rsidRPr="00E46A96" w:rsidRDefault="00E46A96" w:rsidP="00E46A96"/>
    <w:p w:rsidR="00664296" w:rsidRPr="00555A69" w:rsidRDefault="00555A69" w:rsidP="006E7A2A">
      <w:pPr>
        <w:rPr>
          <w:b/>
        </w:rPr>
      </w:pPr>
      <w:r>
        <w:rPr>
          <w:b/>
        </w:rPr>
        <w:t xml:space="preserve">A. </w:t>
      </w:r>
      <w:r w:rsidR="00664296" w:rsidRPr="00555A69">
        <w:rPr>
          <w:b/>
        </w:rPr>
        <w:t xml:space="preserve">From Applicant </w:t>
      </w:r>
    </w:p>
    <w:p w:rsidR="005D1220" w:rsidRPr="00555A69" w:rsidRDefault="005D1220" w:rsidP="006E7A2A">
      <w:pPr>
        <w:rPr>
          <w:b/>
          <w:sz w:val="16"/>
          <w:szCs w:val="16"/>
          <w:u w:val="single"/>
        </w:rPr>
      </w:pPr>
    </w:p>
    <w:p w:rsidR="0062770A" w:rsidRPr="00E46A96" w:rsidRDefault="00D05069" w:rsidP="0062770A">
      <w:pPr>
        <w:jc w:val="both"/>
      </w:pPr>
      <w:r>
        <w:t>“</w:t>
      </w:r>
      <w:r w:rsidR="0062770A" w:rsidRPr="00E46A96">
        <w:t>Approval of this project will not negatively affect the quality of care delivered by existing service providers. As previously discussed, CHCF has a demonstrated a strong track record of quality of care and positive outcomes. There will be no change in services offered by CHCF as a resu</w:t>
      </w:r>
      <w:r>
        <w:t>lt of this change of ownership.”</w:t>
      </w:r>
    </w:p>
    <w:p w:rsidR="0062770A" w:rsidRPr="00E46A96" w:rsidRDefault="0062770A" w:rsidP="0062770A">
      <w:pPr>
        <w:jc w:val="both"/>
      </w:pPr>
    </w:p>
    <w:p w:rsidR="00F2626B" w:rsidRPr="0019690A" w:rsidRDefault="00D05069" w:rsidP="008269F5">
      <w:pPr>
        <w:jc w:val="both"/>
        <w:rPr>
          <w:b/>
        </w:rPr>
      </w:pPr>
      <w:proofErr w:type="gramStart"/>
      <w:r>
        <w:t>“</w:t>
      </w:r>
      <w:r w:rsidR="0062770A" w:rsidRPr="00E46A96">
        <w:t>See Exhibit IV for copies of letters from community leaders as evidence of quality services offered by the facility and related outcomes.</w:t>
      </w:r>
      <w:r w:rsidR="00664296" w:rsidRPr="0019690A">
        <w:tab/>
      </w:r>
      <w:r>
        <w:t>“</w:t>
      </w:r>
      <w:proofErr w:type="gramEnd"/>
    </w:p>
    <w:p w:rsidR="008500D6" w:rsidRPr="006900E8" w:rsidRDefault="008500D6" w:rsidP="008500D6">
      <w:pPr>
        <w:widowControl w:val="0"/>
        <w:autoSpaceDE w:val="0"/>
        <w:autoSpaceDN w:val="0"/>
        <w:adjustRightInd w:val="0"/>
      </w:pPr>
    </w:p>
    <w:p w:rsidR="0067753E" w:rsidRPr="00D05069" w:rsidRDefault="00D05069" w:rsidP="0067753E">
      <w:pPr>
        <w:rPr>
          <w:b/>
        </w:rPr>
      </w:pPr>
      <w:r>
        <w:rPr>
          <w:b/>
        </w:rPr>
        <w:t xml:space="preserve">B. </w:t>
      </w:r>
      <w:r w:rsidR="006A7CB7" w:rsidRPr="00D05069">
        <w:rPr>
          <w:b/>
        </w:rPr>
        <w:t>Certificate of Need Unit</w:t>
      </w:r>
      <w:r w:rsidR="0067753E" w:rsidRPr="00D05069">
        <w:rPr>
          <w:b/>
        </w:rPr>
        <w:t xml:space="preserve"> Discussion </w:t>
      </w:r>
    </w:p>
    <w:p w:rsidR="00D05069" w:rsidRDefault="00D05069" w:rsidP="0067753E">
      <w:pPr>
        <w:rPr>
          <w:b/>
        </w:rPr>
      </w:pPr>
    </w:p>
    <w:p w:rsidR="0067753E" w:rsidRPr="00D05069" w:rsidRDefault="00E7467A" w:rsidP="0067753E">
      <w:pPr>
        <w:rPr>
          <w:b/>
        </w:rPr>
      </w:pPr>
      <w:r w:rsidRPr="00D05069">
        <w:rPr>
          <w:b/>
        </w:rPr>
        <w:t>Standard</w:t>
      </w:r>
      <w:r w:rsidR="0067753E" w:rsidRPr="00D05069">
        <w:rPr>
          <w:b/>
        </w:rPr>
        <w:t xml:space="preserve"> </w:t>
      </w:r>
    </w:p>
    <w:p w:rsidR="0067753E" w:rsidRPr="00D05069" w:rsidRDefault="0067753E" w:rsidP="0067753E">
      <w:pPr>
        <w:rPr>
          <w:b/>
          <w:sz w:val="16"/>
          <w:szCs w:val="16"/>
        </w:rPr>
      </w:pPr>
    </w:p>
    <w:p w:rsidR="0067753E" w:rsidRPr="0019690A" w:rsidRDefault="0067753E" w:rsidP="00B942DF">
      <w:pPr>
        <w:jc w:val="both"/>
        <w:rPr>
          <w:b/>
        </w:rPr>
      </w:pPr>
      <w:r w:rsidRPr="0019690A">
        <w:t xml:space="preserve">Relevant </w:t>
      </w:r>
      <w:r w:rsidR="00E7467A" w:rsidRPr="0019690A">
        <w:t>standard</w:t>
      </w:r>
      <w:r w:rsidR="00A017D0" w:rsidRPr="0019690A">
        <w:t>s</w:t>
      </w:r>
      <w:r w:rsidRPr="0019690A">
        <w:t xml:space="preserve"> for inclusion in this section are specific to the determination that the project ensures high-quality outcomes and does not negatively affect the quality of care delivered by existing service providers. </w:t>
      </w:r>
    </w:p>
    <w:p w:rsidR="0067753E" w:rsidRPr="0019690A" w:rsidRDefault="0067753E" w:rsidP="0067753E">
      <w:pPr>
        <w:rPr>
          <w:b/>
        </w:rPr>
      </w:pPr>
    </w:p>
    <w:p w:rsidR="0067753E" w:rsidRPr="00D05069" w:rsidRDefault="006A7CB7" w:rsidP="0067753E">
      <w:pPr>
        <w:rPr>
          <w:b/>
        </w:rPr>
      </w:pPr>
      <w:r w:rsidRPr="00D05069">
        <w:rPr>
          <w:b/>
        </w:rPr>
        <w:t>Certificate of Need Unit</w:t>
      </w:r>
      <w:r w:rsidR="000A06C5" w:rsidRPr="00D05069">
        <w:rPr>
          <w:b/>
        </w:rPr>
        <w:t xml:space="preserve"> </w:t>
      </w:r>
      <w:r w:rsidR="0067753E" w:rsidRPr="00D05069">
        <w:rPr>
          <w:b/>
        </w:rPr>
        <w:t>Analysis</w:t>
      </w:r>
    </w:p>
    <w:p w:rsidR="00DE75CD" w:rsidRPr="00B942DF" w:rsidRDefault="00DE75CD" w:rsidP="008B172B">
      <w:pPr>
        <w:rPr>
          <w:sz w:val="16"/>
          <w:szCs w:val="16"/>
        </w:rPr>
      </w:pPr>
    </w:p>
    <w:p w:rsidR="00DE75CD" w:rsidRDefault="008269F5" w:rsidP="00B942DF">
      <w:pPr>
        <w:tabs>
          <w:tab w:val="left" w:pos="-180"/>
        </w:tabs>
        <w:jc w:val="both"/>
      </w:pPr>
      <w:r w:rsidRPr="00583E19">
        <w:t>The applicant is assuming control of</w:t>
      </w:r>
      <w:r>
        <w:t xml:space="preserve"> an existing nursing facility. Continuing necessary services in the current geographic areas will have a positive impact on the quality of care. The existing scope of services will not be changed</w:t>
      </w:r>
      <w:r w:rsidR="005A632C">
        <w:t>.</w:t>
      </w:r>
      <w:r>
        <w:t xml:space="preserve"> </w:t>
      </w:r>
      <w:r w:rsidR="005A632C">
        <w:t>A</w:t>
      </w:r>
      <w:r>
        <w:t>ny future addition of services will be aligned with the needs of the community. Since there will be no change in either services or the number of licensed beds</w:t>
      </w:r>
      <w:r w:rsidR="005A632C">
        <w:t>,</w:t>
      </w:r>
      <w:r>
        <w:t xml:space="preserve"> existing service providers will not be negatively impacted. As described </w:t>
      </w:r>
      <w:r w:rsidR="0047583A">
        <w:t>in the Fit, Willing and Able section</w:t>
      </w:r>
      <w:r>
        <w:t xml:space="preserve"> of this preliminary analysis</w:t>
      </w:r>
      <w:r w:rsidR="00502D9E">
        <w:t>,</w:t>
      </w:r>
      <w:r>
        <w:t xml:space="preserve"> </w:t>
      </w:r>
      <w:r w:rsidR="00DF7001">
        <w:t>Cummings Health Care Facility, Inc.</w:t>
      </w:r>
      <w:r w:rsidR="00502D9E">
        <w:t>,</w:t>
      </w:r>
      <w:r w:rsidR="00DF7001">
        <w:t xml:space="preserve"> is rated </w:t>
      </w:r>
      <w:r w:rsidR="00502D9E">
        <w:t>“</w:t>
      </w:r>
      <w:r w:rsidR="005A632C">
        <w:t>M</w:t>
      </w:r>
      <w:r w:rsidR="00DF7001">
        <w:t xml:space="preserve">uch </w:t>
      </w:r>
      <w:r w:rsidR="005A632C">
        <w:t>A</w:t>
      </w:r>
      <w:r w:rsidR="00DF7001">
        <w:t xml:space="preserve">bove </w:t>
      </w:r>
      <w:r w:rsidR="005A632C">
        <w:t>A</w:t>
      </w:r>
      <w:r w:rsidR="00DF7001">
        <w:t>verage</w:t>
      </w:r>
      <w:r w:rsidR="00502D9E">
        <w:t xml:space="preserve">” for </w:t>
      </w:r>
      <w:r w:rsidR="00DF7001">
        <w:t>overall performance by the CMS rating system.</w:t>
      </w:r>
    </w:p>
    <w:p w:rsidR="00DF7001" w:rsidRDefault="00DF7001" w:rsidP="00DF7001">
      <w:pPr>
        <w:tabs>
          <w:tab w:val="left" w:pos="-180"/>
        </w:tabs>
      </w:pPr>
    </w:p>
    <w:p w:rsidR="00003E55" w:rsidRPr="00D05069" w:rsidRDefault="0067753E" w:rsidP="00D05069">
      <w:pPr>
        <w:rPr>
          <w:b/>
        </w:rPr>
      </w:pPr>
      <w:r w:rsidRPr="00D05069">
        <w:rPr>
          <w:b/>
        </w:rPr>
        <w:t xml:space="preserve">Conclusion </w:t>
      </w:r>
    </w:p>
    <w:p w:rsidR="001A2774" w:rsidRPr="00B942DF" w:rsidRDefault="001A2774" w:rsidP="0067753E">
      <w:pPr>
        <w:rPr>
          <w:sz w:val="16"/>
          <w:szCs w:val="16"/>
        </w:rPr>
      </w:pPr>
    </w:p>
    <w:p w:rsidR="00B132AC" w:rsidRPr="0019690A" w:rsidRDefault="006A7CB7" w:rsidP="00B942DF">
      <w:pPr>
        <w:jc w:val="both"/>
      </w:pPr>
      <w:r w:rsidRPr="0019690A">
        <w:t>Certificate of Need Unit</w:t>
      </w:r>
      <w:r w:rsidR="001A2774" w:rsidRPr="0019690A">
        <w:t xml:space="preserve"> recommends</w:t>
      </w:r>
      <w:r w:rsidR="005F4823" w:rsidRPr="0019690A">
        <w:t xml:space="preserve"> that the Commissioner find</w:t>
      </w:r>
      <w:r w:rsidR="001A2774" w:rsidRPr="0019690A">
        <w:t xml:space="preserve"> that </w:t>
      </w:r>
      <w:r w:rsidR="00845A59" w:rsidRPr="0019690A">
        <w:t xml:space="preserve">the applicant </w:t>
      </w:r>
      <w:r w:rsidR="001A2774" w:rsidRPr="0019690A">
        <w:t xml:space="preserve">met </w:t>
      </w:r>
      <w:r w:rsidR="005B0AD7" w:rsidRPr="0019690A">
        <w:t>their</w:t>
      </w:r>
      <w:r w:rsidR="001A2774" w:rsidRPr="0019690A">
        <w:t xml:space="preserve"> burden to demonstrate that this project will ensur</w:t>
      </w:r>
      <w:r w:rsidR="006760E7" w:rsidRPr="0019690A">
        <w:t>e high-quality outcomes and does</w:t>
      </w:r>
      <w:r w:rsidR="001A2774" w:rsidRPr="0019690A">
        <w:t xml:space="preserve"> not negatively affect the quality of care delivered by existing service providers.</w:t>
      </w:r>
    </w:p>
    <w:p w:rsidR="00595EC7" w:rsidRPr="0019690A" w:rsidRDefault="00595EC7" w:rsidP="005310F8">
      <w:pPr>
        <w:sectPr w:rsidR="00595EC7" w:rsidRPr="0019690A" w:rsidSect="001123F4">
          <w:headerReference w:type="even" r:id="rId18"/>
          <w:headerReference w:type="default" r:id="rId19"/>
          <w:headerReference w:type="first" r:id="rId20"/>
          <w:pgSz w:w="12240" w:h="15840"/>
          <w:pgMar w:top="1440" w:right="1080" w:bottom="1440" w:left="1800" w:header="720" w:footer="720" w:gutter="0"/>
          <w:cols w:space="720"/>
          <w:docGrid w:linePitch="360"/>
        </w:sectPr>
      </w:pPr>
    </w:p>
    <w:p w:rsidR="00496DFB" w:rsidRPr="00D05069" w:rsidRDefault="00595EC7" w:rsidP="00D05069">
      <w:pPr>
        <w:pStyle w:val="Heading1"/>
        <w:spacing w:before="0" w:after="0"/>
        <w:rPr>
          <w:rFonts w:ascii="Times New Roman" w:hAnsi="Times New Roman" w:cs="Times New Roman"/>
          <w:sz w:val="28"/>
          <w:szCs w:val="28"/>
          <w:u w:val="single"/>
        </w:rPr>
      </w:pPr>
      <w:bookmarkStart w:id="19" w:name="_Ref195319971"/>
      <w:r w:rsidRPr="00D05069">
        <w:rPr>
          <w:rFonts w:ascii="Times New Roman" w:hAnsi="Times New Roman" w:cs="Times New Roman"/>
          <w:sz w:val="28"/>
          <w:szCs w:val="28"/>
          <w:u w:val="single"/>
        </w:rPr>
        <w:t>VI</w:t>
      </w:r>
      <w:r w:rsidR="004336AF" w:rsidRPr="00D05069">
        <w:rPr>
          <w:rFonts w:ascii="Times New Roman" w:hAnsi="Times New Roman" w:cs="Times New Roman"/>
          <w:sz w:val="28"/>
          <w:szCs w:val="28"/>
          <w:u w:val="single"/>
        </w:rPr>
        <w:t>I. Service Utilization</w:t>
      </w:r>
      <w:bookmarkEnd w:id="19"/>
      <w:r w:rsidR="004336AF" w:rsidRPr="00D05069">
        <w:rPr>
          <w:rFonts w:ascii="Times New Roman" w:hAnsi="Times New Roman" w:cs="Times New Roman"/>
          <w:sz w:val="28"/>
          <w:szCs w:val="28"/>
          <w:u w:val="single"/>
        </w:rPr>
        <w:t xml:space="preserve"> </w:t>
      </w:r>
    </w:p>
    <w:p w:rsidR="00AA21FB" w:rsidRPr="0019690A" w:rsidRDefault="00AA21FB" w:rsidP="006E7A2A"/>
    <w:p w:rsidR="00AA21FB" w:rsidRPr="00D05069" w:rsidRDefault="00D05069" w:rsidP="006E7A2A">
      <w:pPr>
        <w:rPr>
          <w:b/>
        </w:rPr>
      </w:pPr>
      <w:r>
        <w:rPr>
          <w:b/>
        </w:rPr>
        <w:t xml:space="preserve">A. </w:t>
      </w:r>
      <w:r w:rsidR="00AA21FB" w:rsidRPr="00D05069">
        <w:rPr>
          <w:b/>
        </w:rPr>
        <w:t xml:space="preserve">From Applicant </w:t>
      </w:r>
    </w:p>
    <w:p w:rsidR="00E04446" w:rsidRPr="00D05069" w:rsidRDefault="00E04446" w:rsidP="00E04446">
      <w:pPr>
        <w:rPr>
          <w:sz w:val="16"/>
          <w:szCs w:val="16"/>
        </w:rPr>
      </w:pPr>
    </w:p>
    <w:p w:rsidR="0062770A" w:rsidRPr="00E46A96" w:rsidRDefault="00B942DF" w:rsidP="0062770A">
      <w:pPr>
        <w:jc w:val="both"/>
      </w:pPr>
      <w:r>
        <w:t>“</w:t>
      </w:r>
      <w:r w:rsidR="0062770A" w:rsidRPr="00E46A96">
        <w:t>There will be no changes in the services offered by CHCF as a result of this change of ownership. Historical census data was provided in Section IV. Public Need. We anticipate census and utilization to remain consistent with current market conditions or increase as the population in the surrounding communities continues to age.</w:t>
      </w:r>
      <w:r>
        <w:t>”</w:t>
      </w:r>
    </w:p>
    <w:p w:rsidR="00377656" w:rsidRPr="0019690A" w:rsidRDefault="00377656" w:rsidP="00377656"/>
    <w:p w:rsidR="0067753E" w:rsidRPr="00D05069" w:rsidRDefault="00D05069" w:rsidP="0067753E">
      <w:pPr>
        <w:rPr>
          <w:b/>
        </w:rPr>
      </w:pPr>
      <w:bookmarkStart w:id="20" w:name="_Ref195320003"/>
      <w:r>
        <w:rPr>
          <w:b/>
        </w:rPr>
        <w:t xml:space="preserve">B. </w:t>
      </w:r>
      <w:r w:rsidR="006A7CB7" w:rsidRPr="00D05069">
        <w:rPr>
          <w:b/>
        </w:rPr>
        <w:t>Certificate of Need Unit</w:t>
      </w:r>
      <w:r w:rsidR="0067753E" w:rsidRPr="00D05069">
        <w:rPr>
          <w:b/>
        </w:rPr>
        <w:t xml:space="preserve"> Discussion </w:t>
      </w:r>
    </w:p>
    <w:p w:rsidR="0067753E" w:rsidRPr="0019690A" w:rsidRDefault="0067753E" w:rsidP="0067753E">
      <w:pPr>
        <w:rPr>
          <w:b/>
        </w:rPr>
      </w:pPr>
    </w:p>
    <w:p w:rsidR="0067753E" w:rsidRPr="00D05069" w:rsidRDefault="0067753E" w:rsidP="0067753E">
      <w:pPr>
        <w:rPr>
          <w:b/>
        </w:rPr>
      </w:pPr>
      <w:r w:rsidRPr="00D05069">
        <w:rPr>
          <w:b/>
        </w:rPr>
        <w:t xml:space="preserve">CON </w:t>
      </w:r>
      <w:r w:rsidR="00E7467A" w:rsidRPr="00D05069">
        <w:rPr>
          <w:b/>
        </w:rPr>
        <w:t>Standard</w:t>
      </w:r>
      <w:r w:rsidRPr="00D05069">
        <w:rPr>
          <w:b/>
        </w:rPr>
        <w:t xml:space="preserve"> </w:t>
      </w:r>
    </w:p>
    <w:p w:rsidR="0067753E" w:rsidRPr="00D05069" w:rsidRDefault="0067753E" w:rsidP="0067753E">
      <w:pPr>
        <w:rPr>
          <w:b/>
          <w:sz w:val="16"/>
          <w:szCs w:val="16"/>
        </w:rPr>
      </w:pPr>
    </w:p>
    <w:p w:rsidR="00C7758E" w:rsidRPr="0019690A" w:rsidRDefault="0067753E" w:rsidP="001950B6">
      <w:pPr>
        <w:jc w:val="both"/>
      </w:pPr>
      <w:r w:rsidRPr="0019690A">
        <w:t xml:space="preserve">Relevant </w:t>
      </w:r>
      <w:r w:rsidR="00C9535E" w:rsidRPr="0019690A">
        <w:t>standards</w:t>
      </w:r>
      <w:r w:rsidRPr="0019690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19690A">
        <w:rPr>
          <w:color w:val="000000"/>
          <w:sz w:val="20"/>
          <w:szCs w:val="20"/>
        </w:rPr>
        <w:t xml:space="preserve"> </w:t>
      </w:r>
      <w:r w:rsidR="001D3C46" w:rsidRPr="0019690A">
        <w:t>as established in Title 24-A, section 6951, when the principles adopted by the Maine Quality Forum are directly applicable to the application</w:t>
      </w:r>
      <w:r w:rsidRPr="0019690A">
        <w:t xml:space="preserve">.  </w:t>
      </w:r>
    </w:p>
    <w:p w:rsidR="0067753E" w:rsidRPr="0019690A" w:rsidRDefault="0067753E" w:rsidP="0067753E">
      <w:pPr>
        <w:rPr>
          <w:b/>
        </w:rPr>
      </w:pPr>
    </w:p>
    <w:p w:rsidR="0067753E" w:rsidRPr="00D05069" w:rsidRDefault="006A7CB7" w:rsidP="0067753E">
      <w:pPr>
        <w:rPr>
          <w:b/>
        </w:rPr>
      </w:pPr>
      <w:r w:rsidRPr="00D05069">
        <w:rPr>
          <w:b/>
        </w:rPr>
        <w:t>Certificate of Need Unit</w:t>
      </w:r>
      <w:r w:rsidR="000A06C5" w:rsidRPr="00D05069">
        <w:rPr>
          <w:b/>
        </w:rPr>
        <w:t xml:space="preserve"> </w:t>
      </w:r>
      <w:r w:rsidR="0067753E" w:rsidRPr="00D05069">
        <w:rPr>
          <w:b/>
        </w:rPr>
        <w:t>Analysis</w:t>
      </w:r>
    </w:p>
    <w:p w:rsidR="00526BA7" w:rsidRPr="00D05069" w:rsidRDefault="00526BA7" w:rsidP="0067753E">
      <w:pPr>
        <w:rPr>
          <w:b/>
          <w:sz w:val="16"/>
          <w:szCs w:val="16"/>
        </w:rPr>
      </w:pPr>
    </w:p>
    <w:p w:rsidR="001D3C46" w:rsidRPr="0019690A" w:rsidRDefault="001D3C46" w:rsidP="001950B6">
      <w:pPr>
        <w:jc w:val="both"/>
      </w:pPr>
      <w:r w:rsidRPr="0019690A">
        <w:t>The Maine Quality Forum has not adopted a</w:t>
      </w:r>
      <w:r w:rsidR="00386992" w:rsidRPr="0019690A">
        <w:t>ny</w:t>
      </w:r>
      <w:r w:rsidRPr="0019690A">
        <w:t xml:space="preserve"> principle</w:t>
      </w:r>
      <w:r w:rsidR="00386992" w:rsidRPr="0019690A">
        <w:t>s</w:t>
      </w:r>
      <w:r w:rsidRPr="0019690A">
        <w:t xml:space="preserve"> of evidence-based medicine directly applicable to the application; therefore this application meets the </w:t>
      </w:r>
      <w:r w:rsidR="00E7467A" w:rsidRPr="0019690A">
        <w:t>standard</w:t>
      </w:r>
      <w:r w:rsidRPr="0019690A">
        <w:t xml:space="preserve"> for this determination.</w:t>
      </w:r>
    </w:p>
    <w:p w:rsidR="00F37DC8" w:rsidRPr="0019690A" w:rsidRDefault="00F37DC8" w:rsidP="008B172B">
      <w:pPr>
        <w:rPr>
          <w:b/>
        </w:rPr>
      </w:pPr>
    </w:p>
    <w:p w:rsidR="00403EEC" w:rsidRPr="00D05069" w:rsidRDefault="0067753E" w:rsidP="0067753E">
      <w:pPr>
        <w:rPr>
          <w:b/>
        </w:rPr>
      </w:pPr>
      <w:r w:rsidRPr="00D05069">
        <w:rPr>
          <w:b/>
        </w:rPr>
        <w:t xml:space="preserve">Conclusion </w:t>
      </w:r>
    </w:p>
    <w:p w:rsidR="001A2774" w:rsidRPr="00D05069" w:rsidRDefault="001A2774" w:rsidP="0067753E">
      <w:pPr>
        <w:rPr>
          <w:b/>
          <w:sz w:val="16"/>
          <w:szCs w:val="16"/>
        </w:rPr>
      </w:pPr>
    </w:p>
    <w:p w:rsidR="00C820D0" w:rsidRPr="0019690A" w:rsidRDefault="006A7CB7" w:rsidP="001950B6">
      <w:pPr>
        <w:jc w:val="both"/>
      </w:pPr>
      <w:r w:rsidRPr="0019690A">
        <w:t>Certificate of Need Unit</w:t>
      </w:r>
      <w:r w:rsidR="001A2774" w:rsidRPr="0019690A">
        <w:t xml:space="preserve"> recommends</w:t>
      </w:r>
      <w:r w:rsidR="00D81EC4" w:rsidRPr="0019690A">
        <w:t xml:space="preserve"> that the Commissioner find</w:t>
      </w:r>
      <w:r w:rsidR="001A2774" w:rsidRPr="0019690A">
        <w:t xml:space="preserve"> that the applicant ha</w:t>
      </w:r>
      <w:r w:rsidR="00845A59" w:rsidRPr="0019690A">
        <w:t>s</w:t>
      </w:r>
      <w:r w:rsidR="001A2774" w:rsidRPr="0019690A">
        <w:t xml:space="preserve"> met their burden to demonstrate that</w:t>
      </w:r>
      <w:r w:rsidR="00A869F9" w:rsidRPr="0019690A">
        <w:t xml:space="preserve"> the project does not result in</w:t>
      </w:r>
      <w:r w:rsidR="001A2774" w:rsidRPr="0019690A">
        <w:t xml:space="preserve"> inappropriate i</w:t>
      </w:r>
      <w:r w:rsidR="00A869F9" w:rsidRPr="0019690A">
        <w:t>ncreases in service utilization, according to the principles of evidence-based medicine adopted by the Maine Quality Foru</w:t>
      </w:r>
      <w:bookmarkEnd w:id="20"/>
      <w:r w:rsidR="00595EC7" w:rsidRPr="0019690A">
        <w:t xml:space="preserve">m. </w:t>
      </w:r>
    </w:p>
    <w:p w:rsidR="00C820D0" w:rsidRPr="0019690A" w:rsidRDefault="00C820D0" w:rsidP="008D3354"/>
    <w:p w:rsidR="00C820D0" w:rsidRPr="0019690A" w:rsidRDefault="00C820D0" w:rsidP="008D3354">
      <w:pPr>
        <w:sectPr w:rsidR="00C820D0" w:rsidRPr="0019690A" w:rsidSect="00F25D90">
          <w:headerReference w:type="even" r:id="rId21"/>
          <w:headerReference w:type="default" r:id="rId22"/>
          <w:headerReference w:type="first" r:id="rId23"/>
          <w:pgSz w:w="12240" w:h="15840"/>
          <w:pgMar w:top="1440" w:right="1440" w:bottom="1440" w:left="1440" w:header="720" w:footer="720" w:gutter="0"/>
          <w:cols w:space="720"/>
          <w:docGrid w:linePitch="360"/>
        </w:sectPr>
      </w:pPr>
    </w:p>
    <w:p w:rsidR="00AA3EB7" w:rsidRPr="00DE75CD" w:rsidRDefault="00DF7001" w:rsidP="00D05069">
      <w:pPr>
        <w:pStyle w:val="Heading1"/>
        <w:spacing w:before="0" w:after="0"/>
        <w:rPr>
          <w:rFonts w:ascii="Times New Roman" w:hAnsi="Times New Roman" w:cs="Times New Roman"/>
        </w:rPr>
      </w:pPr>
      <w:r>
        <w:rPr>
          <w:rFonts w:ascii="Times New Roman" w:hAnsi="Times New Roman" w:cs="Times New Roman"/>
        </w:rPr>
        <w:t>VIII.</w:t>
      </w:r>
      <w:r w:rsidR="00AA3EB7" w:rsidRPr="00DE75CD">
        <w:rPr>
          <w:rFonts w:ascii="Times New Roman" w:hAnsi="Times New Roman" w:cs="Times New Roman"/>
        </w:rPr>
        <w:t xml:space="preserve"> Timely Notice </w:t>
      </w:r>
    </w:p>
    <w:p w:rsidR="005D1220" w:rsidRDefault="005D1220" w:rsidP="005D1220">
      <w:pPr>
        <w:pStyle w:val="BodyText2"/>
        <w:spacing w:after="0" w:line="240" w:lineRule="auto"/>
      </w:pPr>
    </w:p>
    <w:p w:rsidR="00AA3EB7" w:rsidRDefault="00D05069" w:rsidP="005D1220">
      <w:pPr>
        <w:pStyle w:val="BodyText2"/>
        <w:spacing w:after="0" w:line="240" w:lineRule="auto"/>
        <w:rPr>
          <w:b/>
        </w:rPr>
      </w:pPr>
      <w:r w:rsidRPr="00D05069">
        <w:rPr>
          <w:b/>
        </w:rPr>
        <w:t xml:space="preserve">A. </w:t>
      </w:r>
      <w:r w:rsidR="00AA3EB7" w:rsidRPr="00D05069">
        <w:rPr>
          <w:b/>
        </w:rPr>
        <w:t>From Applicant</w:t>
      </w:r>
    </w:p>
    <w:p w:rsidR="00D05069" w:rsidRPr="00D05069" w:rsidRDefault="00D05069" w:rsidP="005D1220">
      <w:pPr>
        <w:pStyle w:val="BodyText2"/>
        <w:spacing w:after="0" w:line="240" w:lineRule="auto"/>
        <w:rPr>
          <w:b/>
          <w:sz w:val="16"/>
          <w:szCs w:val="16"/>
        </w:rPr>
      </w:pPr>
    </w:p>
    <w:p w:rsidR="003A4DEC" w:rsidRPr="0019690A" w:rsidRDefault="003A4DEC" w:rsidP="006E7A2A">
      <w:pPr>
        <w:rPr>
          <w:b/>
          <w:i/>
          <w:iCs/>
        </w:rPr>
      </w:pPr>
      <w:r w:rsidRPr="0019690A">
        <w:t xml:space="preserve">“The applicant fully intends to follow the appropriate procedures outlined in the </w:t>
      </w:r>
      <w:bookmarkStart w:id="21" w:name="_DV_C532"/>
      <w:r w:rsidRPr="0019690A">
        <w:rPr>
          <w:rStyle w:val="DeltaViewInsertion"/>
          <w:color w:val="auto"/>
          <w:u w:val="none"/>
        </w:rPr>
        <w:t>CON</w:t>
      </w:r>
      <w:bookmarkStart w:id="22" w:name="_DV_M469"/>
      <w:bookmarkEnd w:id="21"/>
      <w:bookmarkEnd w:id="22"/>
      <w:r w:rsidRPr="0019690A">
        <w:t xml:space="preserve"> Procedures Manual to include all requirements for public meetings.”</w:t>
      </w:r>
    </w:p>
    <w:p w:rsidR="00625A1A" w:rsidRPr="0019690A" w:rsidRDefault="00625A1A" w:rsidP="00595EC7">
      <w:pPr>
        <w:rPr>
          <w:b/>
        </w:rPr>
      </w:pPr>
    </w:p>
    <w:p w:rsidR="00AA3EB7" w:rsidRPr="00D05069" w:rsidRDefault="00D05069" w:rsidP="005D1220">
      <w:pPr>
        <w:pStyle w:val="BodyText2"/>
        <w:spacing w:after="0" w:line="240" w:lineRule="auto"/>
        <w:rPr>
          <w:b/>
        </w:rPr>
      </w:pPr>
      <w:r w:rsidRPr="00D05069">
        <w:rPr>
          <w:b/>
        </w:rPr>
        <w:t xml:space="preserve">B. </w:t>
      </w:r>
      <w:r w:rsidR="00AA3EB7" w:rsidRPr="00D05069">
        <w:rPr>
          <w:b/>
        </w:rPr>
        <w:t xml:space="preserve">CONU </w:t>
      </w:r>
    </w:p>
    <w:tbl>
      <w:tblPr>
        <w:tblW w:w="0" w:type="auto"/>
        <w:tblLook w:val="01E0" w:firstRow="1" w:lastRow="1" w:firstColumn="1" w:lastColumn="1" w:noHBand="0" w:noVBand="0"/>
      </w:tblPr>
      <w:tblGrid>
        <w:gridCol w:w="4788"/>
        <w:gridCol w:w="4428"/>
      </w:tblGrid>
      <w:tr w:rsidR="00AA3EB7" w:rsidRPr="0019690A" w:rsidTr="0079511C">
        <w:tc>
          <w:tcPr>
            <w:tcW w:w="4788" w:type="dxa"/>
          </w:tcPr>
          <w:p w:rsidR="00AA3EB7" w:rsidRPr="0019690A" w:rsidRDefault="00AA3EB7" w:rsidP="0039418D"/>
        </w:tc>
        <w:tc>
          <w:tcPr>
            <w:tcW w:w="4428" w:type="dxa"/>
          </w:tcPr>
          <w:p w:rsidR="001328E1" w:rsidRPr="0019690A" w:rsidRDefault="001328E1" w:rsidP="00595EC7">
            <w:pPr>
              <w:jc w:val="right"/>
            </w:pPr>
          </w:p>
        </w:tc>
      </w:tr>
    </w:tbl>
    <w:p w:rsidR="0019690A" w:rsidRDefault="0019690A" w:rsidP="0019690A">
      <w:pPr>
        <w:pStyle w:val="BodyText2"/>
        <w:spacing w:after="0" w:line="240" w:lineRule="auto"/>
      </w:pPr>
      <w:r>
        <w:t>Letter of Intent file</w:t>
      </w:r>
      <w:r w:rsidR="0017393D">
        <w:t>d</w:t>
      </w:r>
      <w:r>
        <w:t>:</w:t>
      </w:r>
      <w:r>
        <w:tab/>
      </w:r>
      <w:r>
        <w:tab/>
      </w:r>
      <w:r>
        <w:tab/>
      </w:r>
      <w:r>
        <w:tab/>
      </w:r>
      <w:r>
        <w:tab/>
      </w:r>
      <w:r>
        <w:tab/>
      </w:r>
      <w:r w:rsidR="0017393D">
        <w:t>May 28, 2013</w:t>
      </w:r>
    </w:p>
    <w:p w:rsidR="0019690A" w:rsidRDefault="0019690A" w:rsidP="0019690A">
      <w:pPr>
        <w:pStyle w:val="BodyText2"/>
        <w:spacing w:after="0" w:line="240" w:lineRule="auto"/>
      </w:pPr>
      <w:r>
        <w:t>Technical Assistance meeting held:</w:t>
      </w:r>
      <w:r>
        <w:tab/>
      </w:r>
      <w:r>
        <w:tab/>
      </w:r>
      <w:r>
        <w:tab/>
      </w:r>
      <w:r>
        <w:tab/>
      </w:r>
      <w:r w:rsidR="0017393D">
        <w:t>August 1, 2013</w:t>
      </w:r>
    </w:p>
    <w:p w:rsidR="0019690A" w:rsidRDefault="0019690A" w:rsidP="0019690A">
      <w:pPr>
        <w:pStyle w:val="BodyText2"/>
        <w:spacing w:after="0" w:line="240" w:lineRule="auto"/>
      </w:pPr>
      <w:r>
        <w:t>CON application filed:</w:t>
      </w:r>
      <w:r>
        <w:tab/>
      </w:r>
      <w:r>
        <w:tab/>
      </w:r>
      <w:r>
        <w:tab/>
      </w:r>
      <w:r>
        <w:tab/>
      </w:r>
      <w:r>
        <w:tab/>
      </w:r>
      <w:r w:rsidR="0017393D">
        <w:t>August 19, 2013</w:t>
      </w:r>
    </w:p>
    <w:p w:rsidR="0019690A" w:rsidRDefault="0019690A" w:rsidP="0019690A">
      <w:pPr>
        <w:pStyle w:val="BodyText2"/>
        <w:spacing w:after="0" w:line="240" w:lineRule="auto"/>
      </w:pPr>
      <w:r>
        <w:t>CON certified as complete:</w:t>
      </w:r>
      <w:r>
        <w:tab/>
      </w:r>
      <w:r>
        <w:tab/>
      </w:r>
      <w:r>
        <w:tab/>
      </w:r>
      <w:r>
        <w:tab/>
      </w:r>
      <w:r>
        <w:tab/>
      </w:r>
      <w:r w:rsidR="0017393D">
        <w:t>August 19, 201</w:t>
      </w:r>
      <w:r w:rsidR="00CB437D">
        <w:t>3</w:t>
      </w:r>
    </w:p>
    <w:p w:rsidR="0019690A" w:rsidRDefault="0019690A" w:rsidP="0019690A">
      <w:pPr>
        <w:pStyle w:val="BodyText2"/>
        <w:spacing w:after="0" w:line="240" w:lineRule="auto"/>
      </w:pPr>
      <w:r>
        <w:t>Public Information Meeting held:</w:t>
      </w:r>
      <w:r>
        <w:tab/>
      </w:r>
      <w:r>
        <w:tab/>
      </w:r>
      <w:r>
        <w:tab/>
      </w:r>
      <w:r>
        <w:tab/>
      </w:r>
      <w:r w:rsidR="00215F0E">
        <w:t>N/A</w:t>
      </w:r>
    </w:p>
    <w:p w:rsidR="0019690A" w:rsidRPr="002D0884" w:rsidRDefault="0019690A" w:rsidP="0019690A">
      <w:pPr>
        <w:pStyle w:val="BodyText2"/>
        <w:spacing w:after="0" w:line="240" w:lineRule="auto"/>
      </w:pPr>
      <w:r>
        <w:t>Public Hearing:</w:t>
      </w:r>
      <w:r>
        <w:tab/>
      </w:r>
      <w:r>
        <w:tab/>
      </w:r>
      <w:r>
        <w:tab/>
      </w:r>
      <w:r>
        <w:tab/>
      </w:r>
      <w:r>
        <w:tab/>
      </w:r>
      <w:r>
        <w:tab/>
        <w:t>N/A</w:t>
      </w:r>
    </w:p>
    <w:p w:rsidR="00AA3EB7" w:rsidRPr="0019690A" w:rsidRDefault="005A632C" w:rsidP="00595EC7">
      <w:r>
        <w:t>Close of Record:</w:t>
      </w:r>
      <w:r>
        <w:tab/>
      </w:r>
      <w:r>
        <w:tab/>
      </w:r>
      <w:r>
        <w:tab/>
      </w:r>
      <w:r>
        <w:tab/>
      </w:r>
      <w:r>
        <w:tab/>
      </w:r>
      <w:r>
        <w:tab/>
        <w:t>September 18, 2013</w:t>
      </w:r>
    </w:p>
    <w:p w:rsidR="001328E1" w:rsidRPr="0019690A" w:rsidRDefault="001328E1" w:rsidP="00595EC7">
      <w:pPr>
        <w:rPr>
          <w:b/>
          <w:u w:val="single"/>
        </w:rPr>
      </w:pPr>
      <w:r w:rsidRPr="0019690A">
        <w:tab/>
      </w:r>
    </w:p>
    <w:p w:rsidR="001328E1" w:rsidRPr="0019690A" w:rsidRDefault="001328E1" w:rsidP="00595EC7">
      <w:pPr>
        <w:sectPr w:rsidR="001328E1" w:rsidRPr="0019690A" w:rsidSect="00F25D90">
          <w:headerReference w:type="default" r:id="rId24"/>
          <w:pgSz w:w="12240" w:h="15840"/>
          <w:pgMar w:top="1440" w:right="1440" w:bottom="1440" w:left="1440" w:header="720" w:footer="720" w:gutter="0"/>
          <w:cols w:space="720"/>
          <w:docGrid w:linePitch="360"/>
        </w:sectPr>
      </w:pPr>
    </w:p>
    <w:p w:rsidR="00AA21FB" w:rsidRPr="001950B6" w:rsidRDefault="00595EC7" w:rsidP="00595EC7">
      <w:pPr>
        <w:pStyle w:val="Heading1"/>
        <w:rPr>
          <w:rFonts w:ascii="Times New Roman" w:hAnsi="Times New Roman" w:cs="Times New Roman"/>
          <w:sz w:val="28"/>
          <w:szCs w:val="28"/>
          <w:u w:val="single"/>
        </w:rPr>
      </w:pPr>
      <w:r w:rsidRPr="001950B6">
        <w:rPr>
          <w:rFonts w:ascii="Times New Roman" w:hAnsi="Times New Roman" w:cs="Times New Roman"/>
          <w:sz w:val="28"/>
          <w:szCs w:val="28"/>
          <w:u w:val="single"/>
        </w:rPr>
        <w:t>X</w:t>
      </w:r>
      <w:r w:rsidR="00AA21FB" w:rsidRPr="001950B6">
        <w:rPr>
          <w:rFonts w:ascii="Times New Roman" w:hAnsi="Times New Roman" w:cs="Times New Roman"/>
          <w:sz w:val="28"/>
          <w:szCs w:val="28"/>
          <w:u w:val="single"/>
        </w:rPr>
        <w:t xml:space="preserve">. </w:t>
      </w:r>
      <w:r w:rsidR="00AA21FB" w:rsidRPr="001950B6">
        <w:rPr>
          <w:rFonts w:ascii="Times New Roman" w:hAnsi="Times New Roman" w:cs="Times New Roman"/>
          <w:sz w:val="28"/>
          <w:szCs w:val="28"/>
          <w:u w:val="single"/>
        </w:rPr>
        <w:tab/>
        <w:t xml:space="preserve">Findings and Recommendations  </w:t>
      </w:r>
    </w:p>
    <w:p w:rsidR="00AA21FB" w:rsidRPr="0052336F" w:rsidRDefault="00AA21FB" w:rsidP="00595EC7">
      <w:r w:rsidRPr="000B3BF8">
        <w:rPr>
          <w:sz w:val="16"/>
          <w:szCs w:val="16"/>
        </w:rPr>
        <w:cr/>
      </w:r>
      <w:r w:rsidRPr="0052336F">
        <w:t xml:space="preserve">Based on the preceding analysis, including information contained in the record, </w:t>
      </w:r>
      <w:r w:rsidR="0021371F" w:rsidRPr="0052336F">
        <w:t xml:space="preserve">the </w:t>
      </w:r>
      <w:r w:rsidR="006A7CB7" w:rsidRPr="0052336F">
        <w:t>Certificate of Need Unit</w:t>
      </w:r>
      <w:r w:rsidRPr="0052336F">
        <w:t xml:space="preserve"> recommends that the Commissioner make the following findings:</w:t>
      </w:r>
    </w:p>
    <w:p w:rsidR="00AA21FB" w:rsidRPr="000B3BF8" w:rsidRDefault="00AA21FB" w:rsidP="00595EC7">
      <w:pPr>
        <w:rPr>
          <w:sz w:val="16"/>
          <w:szCs w:val="16"/>
        </w:rPr>
      </w:pPr>
    </w:p>
    <w:p w:rsidR="00AA21FB" w:rsidRPr="0052336F" w:rsidRDefault="00AA21FB" w:rsidP="0052336F">
      <w:pPr>
        <w:ind w:left="720" w:hanging="720"/>
      </w:pPr>
      <w:r w:rsidRPr="005D1220">
        <w:rPr>
          <w:b/>
        </w:rPr>
        <w:t>A.</w:t>
      </w:r>
      <w:r w:rsidRPr="0052336F">
        <w:tab/>
      </w:r>
      <w:r w:rsidR="00B55173">
        <w:t>T</w:t>
      </w:r>
      <w:r w:rsidRPr="0052336F">
        <w:t xml:space="preserve">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21371F" w:rsidRPr="000B3BF8" w:rsidRDefault="0021371F" w:rsidP="0021371F">
      <w:pPr>
        <w:rPr>
          <w:sz w:val="16"/>
          <w:szCs w:val="16"/>
        </w:rPr>
      </w:pPr>
    </w:p>
    <w:p w:rsidR="0021371F" w:rsidRPr="0052336F" w:rsidRDefault="00EC7048" w:rsidP="00EC7048">
      <w:r w:rsidRPr="005D1220">
        <w:rPr>
          <w:b/>
        </w:rPr>
        <w:t>B.</w:t>
      </w:r>
      <w:r w:rsidRPr="0052336F">
        <w:tab/>
      </w:r>
      <w:r w:rsidR="00AA21FB" w:rsidRPr="0052336F">
        <w:t>The economic feasibility of the proposed services is demonstrated in terms of the:</w:t>
      </w:r>
    </w:p>
    <w:p w:rsidR="0021371F" w:rsidRPr="000B3BF8" w:rsidRDefault="0021371F" w:rsidP="0021371F">
      <w:pPr>
        <w:pStyle w:val="ListParagraph"/>
        <w:ind w:left="1440"/>
        <w:rPr>
          <w:sz w:val="16"/>
          <w:szCs w:val="16"/>
        </w:rPr>
      </w:pPr>
    </w:p>
    <w:p w:rsidR="00AA21FB" w:rsidRDefault="00AA21FB" w:rsidP="005D1220">
      <w:pPr>
        <w:pStyle w:val="ListParagraph"/>
        <w:numPr>
          <w:ilvl w:val="0"/>
          <w:numId w:val="20"/>
        </w:numPr>
        <w:ind w:left="1080"/>
      </w:pPr>
      <w:r w:rsidRPr="0052336F">
        <w:t>Capacity of the applicant to support the project financially over its useful life, in light of the rates the applicant expects to be able to charge for the services to be provided by the project; and</w:t>
      </w:r>
    </w:p>
    <w:p w:rsidR="000B3BF8" w:rsidRPr="000B3BF8" w:rsidRDefault="000B3BF8" w:rsidP="000B3BF8">
      <w:pPr>
        <w:pStyle w:val="ListParagraph"/>
        <w:ind w:left="1080"/>
        <w:rPr>
          <w:sz w:val="16"/>
          <w:szCs w:val="16"/>
        </w:rPr>
      </w:pPr>
    </w:p>
    <w:p w:rsidR="00AA21FB" w:rsidRPr="0052336F" w:rsidRDefault="00273571" w:rsidP="00273571">
      <w:pPr>
        <w:ind w:left="1080" w:hanging="360"/>
      </w:pPr>
      <w:r w:rsidRPr="005D1220">
        <w:rPr>
          <w:b/>
        </w:rPr>
        <w:t>2.</w:t>
      </w:r>
      <w:r>
        <w:tab/>
      </w:r>
      <w:r w:rsidR="00AA21FB" w:rsidRPr="0052336F">
        <w:t>The applicant’s ability to establish and operate the project in accordance with existing and reasonably anticipated future changes in federal, state and local licensure and other applicable or potentially applicable rules;</w:t>
      </w:r>
    </w:p>
    <w:p w:rsidR="00AA21FB" w:rsidRPr="000B3BF8" w:rsidRDefault="00AA21FB" w:rsidP="00595EC7">
      <w:pPr>
        <w:rPr>
          <w:sz w:val="16"/>
          <w:szCs w:val="16"/>
        </w:rPr>
      </w:pPr>
    </w:p>
    <w:p w:rsidR="00AA21FB" w:rsidRPr="0052336F" w:rsidRDefault="00AA21FB" w:rsidP="0052336F">
      <w:pPr>
        <w:ind w:left="720" w:hanging="720"/>
      </w:pPr>
      <w:r w:rsidRPr="005D1220">
        <w:rPr>
          <w:b/>
        </w:rPr>
        <w:t>C.</w:t>
      </w:r>
      <w:r w:rsidRPr="0052336F">
        <w:tab/>
      </w:r>
      <w:r w:rsidR="001D58C4">
        <w:t>T</w:t>
      </w:r>
      <w:r w:rsidRPr="0052336F">
        <w:t xml:space="preserve">here is a public need for the proposed services </w:t>
      </w:r>
      <w:r w:rsidR="009E1817" w:rsidRPr="0052336F">
        <w:t xml:space="preserve">as demonstrated by </w:t>
      </w:r>
      <w:r w:rsidRPr="0052336F">
        <w:t>certain factors, including, but not limited to;</w:t>
      </w:r>
    </w:p>
    <w:p w:rsidR="00AA21FB" w:rsidRPr="000B3BF8" w:rsidRDefault="00AA21FB" w:rsidP="00595EC7">
      <w:pPr>
        <w:rPr>
          <w:sz w:val="16"/>
          <w:szCs w:val="16"/>
        </w:rPr>
      </w:pPr>
    </w:p>
    <w:p w:rsidR="00AA21FB" w:rsidRDefault="00AA21FB" w:rsidP="000B3BF8">
      <w:pPr>
        <w:pStyle w:val="ListParagraph"/>
        <w:numPr>
          <w:ilvl w:val="0"/>
          <w:numId w:val="21"/>
        </w:numPr>
      </w:pPr>
      <w:r w:rsidRPr="0052336F">
        <w:t xml:space="preserve">The </w:t>
      </w:r>
      <w:r w:rsidR="009E1817" w:rsidRPr="0052336F">
        <w:t xml:space="preserve">extent to which the </w:t>
      </w:r>
      <w:r w:rsidRPr="0052336F">
        <w:t>project will substantially address specific health problems as measured by health needs in the area to be served by the project;</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1"/>
        </w:numPr>
      </w:pPr>
      <w:r w:rsidRPr="0052336F">
        <w:t>The project has demonstrated that it will have a positive impact on the health status indicators of the population to be served;</w:t>
      </w:r>
    </w:p>
    <w:p w:rsidR="000B3BF8" w:rsidRPr="000B3BF8" w:rsidRDefault="000B3BF8" w:rsidP="000B3BF8">
      <w:pPr>
        <w:rPr>
          <w:sz w:val="16"/>
          <w:szCs w:val="16"/>
        </w:rPr>
      </w:pPr>
    </w:p>
    <w:p w:rsidR="00AA21FB" w:rsidRDefault="009E1817" w:rsidP="000B3BF8">
      <w:pPr>
        <w:pStyle w:val="ListParagraph"/>
        <w:numPr>
          <w:ilvl w:val="0"/>
          <w:numId w:val="21"/>
        </w:numPr>
      </w:pPr>
      <w:r w:rsidRPr="0052336F">
        <w:t>T</w:t>
      </w:r>
      <w:r w:rsidR="00AA21FB" w:rsidRPr="0052336F">
        <w:t xml:space="preserve">he project will be </w:t>
      </w:r>
      <w:r w:rsidRPr="0052336F">
        <w:t xml:space="preserve">accessible to all residents of </w:t>
      </w:r>
      <w:r w:rsidR="00AA21FB" w:rsidRPr="0052336F">
        <w:t>the area proposed to be served; and</w:t>
      </w:r>
    </w:p>
    <w:p w:rsidR="000B3BF8" w:rsidRPr="000B3BF8" w:rsidRDefault="000B3BF8" w:rsidP="000B3BF8">
      <w:pPr>
        <w:pStyle w:val="ListParagraph"/>
        <w:rPr>
          <w:sz w:val="16"/>
          <w:szCs w:val="16"/>
        </w:rPr>
      </w:pPr>
    </w:p>
    <w:p w:rsidR="00AA21FB" w:rsidRPr="0052336F" w:rsidRDefault="009E1817" w:rsidP="00CC3A9C">
      <w:pPr>
        <w:pStyle w:val="ListParagraph"/>
        <w:numPr>
          <w:ilvl w:val="0"/>
          <w:numId w:val="21"/>
        </w:numPr>
      </w:pPr>
      <w:r w:rsidRPr="0052336F">
        <w:t>T</w:t>
      </w:r>
      <w:r w:rsidR="00AA21FB" w:rsidRPr="0052336F">
        <w:t>he project will provide demonstrable improvements in quality and outcome measu</w:t>
      </w:r>
      <w:r w:rsidRPr="0052336F">
        <w:t>res applicab</w:t>
      </w:r>
      <w:r w:rsidR="0021371F" w:rsidRPr="0052336F">
        <w:t>l</w:t>
      </w:r>
      <w:r w:rsidRPr="0052336F">
        <w:t xml:space="preserve">e to the services </w:t>
      </w:r>
      <w:r w:rsidR="00AA21FB" w:rsidRPr="0052336F">
        <w:t>proposed in the</w:t>
      </w:r>
      <w:r w:rsidRPr="0052336F">
        <w:t xml:space="preserve"> project</w:t>
      </w:r>
      <w:r w:rsidR="00AA21FB" w:rsidRPr="0052336F">
        <w:t xml:space="preserve">; </w:t>
      </w:r>
    </w:p>
    <w:p w:rsidR="00AA21FB" w:rsidRPr="000B3BF8" w:rsidRDefault="00AA21FB" w:rsidP="00595EC7">
      <w:pPr>
        <w:rPr>
          <w:sz w:val="16"/>
          <w:szCs w:val="16"/>
        </w:rPr>
      </w:pPr>
    </w:p>
    <w:p w:rsidR="00AA21FB" w:rsidRPr="0052336F" w:rsidRDefault="00AA21FB" w:rsidP="0052336F">
      <w:pPr>
        <w:ind w:left="720" w:hanging="720"/>
      </w:pPr>
      <w:r w:rsidRPr="005D1220">
        <w:rPr>
          <w:b/>
        </w:rPr>
        <w:t>D.</w:t>
      </w:r>
      <w:r w:rsidRPr="0052336F">
        <w:tab/>
      </w:r>
      <w:r w:rsidR="001D58C4">
        <w:t>T</w:t>
      </w:r>
      <w:r w:rsidRPr="0052336F">
        <w:t>he proposed services are consistent with the orderly and economic development of health facilities and health resources for the State as demonstrated by:</w:t>
      </w:r>
    </w:p>
    <w:p w:rsidR="00AA21FB" w:rsidRPr="000B3BF8" w:rsidRDefault="00AA21FB" w:rsidP="00595EC7">
      <w:pPr>
        <w:rPr>
          <w:sz w:val="16"/>
          <w:szCs w:val="16"/>
        </w:rPr>
      </w:pPr>
    </w:p>
    <w:p w:rsidR="00AA21FB" w:rsidRDefault="009E1817" w:rsidP="000B3BF8">
      <w:pPr>
        <w:pStyle w:val="ListParagraph"/>
        <w:numPr>
          <w:ilvl w:val="0"/>
          <w:numId w:val="22"/>
        </w:numPr>
      </w:pPr>
      <w:r w:rsidRPr="0052336F">
        <w:t>T</w:t>
      </w:r>
      <w:r w:rsidR="00AA21FB" w:rsidRPr="0052336F">
        <w:t xml:space="preserve">he impact of the project on total health </w:t>
      </w:r>
      <w:r w:rsidRPr="0052336F">
        <w:t>c</w:t>
      </w:r>
      <w:r w:rsidR="00AA21FB" w:rsidRPr="0052336F">
        <w:t>are expenditures after taking into account, to the extent practical, both the costs</w:t>
      </w:r>
      <w:r w:rsidRPr="0052336F">
        <w:t xml:space="preserve"> </w:t>
      </w:r>
      <w:r w:rsidR="00AA21FB" w:rsidRPr="0052336F">
        <w:t>and benefits of the project and the competing demands in the local service area</w:t>
      </w:r>
      <w:r w:rsidRPr="0052336F">
        <w:t xml:space="preserve"> </w:t>
      </w:r>
      <w:r w:rsidR="00AA21FB" w:rsidRPr="0052336F">
        <w:t xml:space="preserve">and statewide for available resources for health care; </w:t>
      </w:r>
    </w:p>
    <w:p w:rsidR="000B3BF8" w:rsidRPr="000B3BF8" w:rsidRDefault="000B3BF8" w:rsidP="000B3BF8">
      <w:pPr>
        <w:pStyle w:val="ListParagraph"/>
        <w:ind w:left="1080"/>
        <w:rPr>
          <w:sz w:val="16"/>
          <w:szCs w:val="16"/>
        </w:rPr>
      </w:pPr>
    </w:p>
    <w:p w:rsidR="00AA21FB" w:rsidRDefault="00AA21FB" w:rsidP="000B3BF8">
      <w:pPr>
        <w:pStyle w:val="ListParagraph"/>
        <w:numPr>
          <w:ilvl w:val="0"/>
          <w:numId w:val="22"/>
        </w:numPr>
      </w:pPr>
      <w:r w:rsidRPr="0052336F">
        <w:t>The availability of State funds to cover any increase in state costs associated with utilization of the project’s services; and</w:t>
      </w:r>
    </w:p>
    <w:p w:rsidR="000B3BF8" w:rsidRPr="0052336F" w:rsidRDefault="000B3BF8" w:rsidP="000B3BF8"/>
    <w:p w:rsidR="000B3BF8" w:rsidRDefault="00AA21FB" w:rsidP="000B3BF8">
      <w:pPr>
        <w:pStyle w:val="ListParagraph"/>
        <w:numPr>
          <w:ilvl w:val="0"/>
          <w:numId w:val="22"/>
        </w:numPr>
      </w:pPr>
      <w:r w:rsidRPr="0052336F">
        <w:t>The likelihood that more effective, more accessible or less costly alternative technologies or methods of service de</w:t>
      </w:r>
      <w:r w:rsidR="00616524" w:rsidRPr="0052336F">
        <w:t>livery may become available was</w:t>
      </w:r>
      <w:r w:rsidRPr="0052336F">
        <w:t xml:space="preserve"> demonstrated by the applicant;</w:t>
      </w:r>
    </w:p>
    <w:p w:rsidR="009530A6" w:rsidRDefault="009530A6" w:rsidP="009530A6">
      <w:pPr>
        <w:ind w:left="720"/>
        <w:sectPr w:rsidR="009530A6" w:rsidSect="00F25D90">
          <w:headerReference w:type="even" r:id="rId25"/>
          <w:headerReference w:type="default" r:id="rId26"/>
          <w:headerReference w:type="first" r:id="rId27"/>
          <w:pgSz w:w="12240" w:h="15840"/>
          <w:pgMar w:top="1440" w:right="1440" w:bottom="1440" w:left="1440" w:header="720" w:footer="720" w:gutter="0"/>
          <w:cols w:space="720"/>
          <w:docGrid w:linePitch="360"/>
        </w:sectPr>
      </w:pPr>
    </w:p>
    <w:p w:rsidR="009530A6" w:rsidRDefault="009530A6" w:rsidP="009530A6">
      <w:pPr>
        <w:ind w:left="720"/>
      </w:pPr>
    </w:p>
    <w:p w:rsidR="000B3BF8" w:rsidRPr="0052336F" w:rsidRDefault="00E04446" w:rsidP="000B3BF8">
      <w:pPr>
        <w:ind w:left="720" w:hanging="720"/>
      </w:pPr>
      <w:r w:rsidRPr="005D1220">
        <w:rPr>
          <w:b/>
        </w:rPr>
        <w:t>E</w:t>
      </w:r>
      <w:r w:rsidR="00AA21FB" w:rsidRPr="005D1220">
        <w:rPr>
          <w:b/>
        </w:rPr>
        <w:t>.</w:t>
      </w:r>
      <w:r w:rsidR="00AA21FB" w:rsidRPr="0052336F">
        <w:tab/>
      </w:r>
      <w:r w:rsidR="001D58C4">
        <w:t>T</w:t>
      </w:r>
      <w:r w:rsidR="00AA21FB" w:rsidRPr="0052336F">
        <w:t>he project ensures high-quality outcomes and does not negatively affect the quality of care delivere</w:t>
      </w:r>
      <w:r w:rsidR="001D58C4">
        <w:t>d by existing service providers:</w:t>
      </w:r>
    </w:p>
    <w:p w:rsidR="00AA21FB" w:rsidRPr="0052336F" w:rsidRDefault="00AA21FB" w:rsidP="00595EC7"/>
    <w:p w:rsidR="00AA21FB" w:rsidRPr="0052336F" w:rsidRDefault="00E04446" w:rsidP="000B3BF8">
      <w:pPr>
        <w:ind w:left="720" w:hanging="720"/>
      </w:pPr>
      <w:r w:rsidRPr="005D1220">
        <w:rPr>
          <w:b/>
        </w:rPr>
        <w:t>F</w:t>
      </w:r>
      <w:r w:rsidR="00AA21FB" w:rsidRPr="005D1220">
        <w:rPr>
          <w:b/>
        </w:rPr>
        <w:t>.</w:t>
      </w:r>
      <w:r w:rsidR="00AA21FB" w:rsidRPr="0052336F">
        <w:tab/>
      </w:r>
      <w:r w:rsidR="001D58C4">
        <w:t>T</w:t>
      </w:r>
      <w:r w:rsidR="00AA21FB" w:rsidRPr="0052336F">
        <w:t>he project does not result in inappropriate increases in service utilization, according to the principles of evidence-based medicine adopted by the Maine Quality Forum; and</w:t>
      </w:r>
    </w:p>
    <w:p w:rsidR="000853B9" w:rsidRPr="0052336F" w:rsidRDefault="000853B9" w:rsidP="00595EC7"/>
    <w:p w:rsidR="000853B9" w:rsidRPr="0052336F" w:rsidRDefault="0021371F" w:rsidP="000B3BF8">
      <w:pPr>
        <w:ind w:left="720" w:hanging="720"/>
      </w:pPr>
      <w:r w:rsidRPr="005D1220">
        <w:rPr>
          <w:b/>
        </w:rPr>
        <w:t>G.</w:t>
      </w:r>
      <w:r w:rsidRPr="0052336F">
        <w:t xml:space="preserve"> </w:t>
      </w:r>
      <w:r w:rsidRPr="0052336F">
        <w:tab/>
        <w:t xml:space="preserve">The project does not need </w:t>
      </w:r>
      <w:r w:rsidR="000853B9" w:rsidRPr="0052336F">
        <w:t>fund</w:t>
      </w:r>
      <w:r w:rsidRPr="0052336F">
        <w:t xml:space="preserve">ing from </w:t>
      </w:r>
      <w:r w:rsidR="000853B9" w:rsidRPr="0052336F">
        <w:t>within the Nursing Facility MaineCare Funding Pool.</w:t>
      </w:r>
    </w:p>
    <w:p w:rsidR="00DA072B" w:rsidRPr="0052336F" w:rsidRDefault="00DA072B" w:rsidP="00595EC7"/>
    <w:p w:rsidR="00DA072B" w:rsidRPr="0052336F" w:rsidRDefault="00DA072B" w:rsidP="00F2626B">
      <w:r w:rsidRPr="0052336F">
        <w:t>For all the reasons contained in th</w:t>
      </w:r>
      <w:r w:rsidR="00A02D6E" w:rsidRPr="0052336F">
        <w:t>is</w:t>
      </w:r>
      <w:r w:rsidRPr="0052336F">
        <w:t xml:space="preserve"> preliminary analysis and </w:t>
      </w:r>
      <w:r w:rsidR="00A02D6E" w:rsidRPr="0052336F">
        <w:t xml:space="preserve">based upon information contained </w:t>
      </w:r>
      <w:r w:rsidRPr="0052336F">
        <w:t xml:space="preserve">in the record, </w:t>
      </w:r>
      <w:r w:rsidR="006A7CB7" w:rsidRPr="0052336F">
        <w:t>Certificate of Need Unit</w:t>
      </w:r>
      <w:r w:rsidRPr="0052336F">
        <w:t xml:space="preserve"> recommends that the Commissioner determine that this project should be </w:t>
      </w:r>
      <w:r w:rsidR="0021371F" w:rsidRPr="0052336F">
        <w:rPr>
          <w:b/>
        </w:rPr>
        <w:t>approved</w:t>
      </w:r>
      <w:r w:rsidR="00C70524" w:rsidRPr="0052336F">
        <w:rPr>
          <w:b/>
        </w:rPr>
        <w:t>.</w:t>
      </w:r>
    </w:p>
    <w:sectPr w:rsidR="00DA072B" w:rsidRPr="0052336F" w:rsidSect="00F25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ECE" w:rsidRDefault="001C5ECE">
      <w:r>
        <w:separator/>
      </w:r>
    </w:p>
  </w:endnote>
  <w:endnote w:type="continuationSeparator" w:id="0">
    <w:p w:rsidR="001C5ECE" w:rsidRDefault="001C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ECE" w:rsidRDefault="001C5ECE">
      <w:r>
        <w:separator/>
      </w:r>
    </w:p>
  </w:footnote>
  <w:footnote w:type="continuationSeparator" w:id="0">
    <w:p w:rsidR="001C5ECE" w:rsidRDefault="001C5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7A659C">
    <w:pPr>
      <w:pStyle w:val="Header"/>
      <w:tabs>
        <w:tab w:val="clear" w:pos="8640"/>
        <w:tab w:val="right" w:pos="9360"/>
      </w:tabs>
      <w:ind w:left="-1080" w:right="-900"/>
    </w:pPr>
    <w:r>
      <w:rPr>
        <w:noProof/>
      </w:rPr>
      <w:drawing>
        <wp:inline distT="0" distB="0" distL="0" distR="0" wp14:anchorId="63E53C39" wp14:editId="6C444021">
          <wp:extent cx="7271238" cy="1178169"/>
          <wp:effectExtent l="0" t="0" r="6350" b="3175"/>
          <wp:docPr id="2" name="Picture 2" descr="Licensing&amp;RegulatoryAugust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sing&amp;RegulatoryAugust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650" cy="1180828"/>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Cummings Health Care Facility, Inc.</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16</w:t>
    </w:r>
    <w:r>
      <w:rPr>
        <w:rStyle w:val="PageNumber"/>
      </w:rPr>
      <w:fldChar w:fldCharType="end"/>
    </w:r>
    <w:r>
      <w:rPr>
        <w:rStyle w:val="PageNumber"/>
      </w:rPr>
      <w:t xml:space="preserve"> -</w:t>
    </w:r>
    <w:r>
      <w:rPr>
        <w:rStyle w:val="PageNumber"/>
      </w:rPr>
      <w:tab/>
      <w:t xml:space="preserve">Acquisition of Control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pPr>
      <w:pStyle w:val="Header"/>
      <w:rPr>
        <w:rStyle w:val="PageNumber"/>
      </w:rPr>
    </w:pPr>
    <w:r>
      <w:rPr>
        <w:rStyle w:val="PageNumber"/>
      </w:rPr>
      <w:t>VI. Outcomes and Community Impact</w:t>
    </w:r>
  </w:p>
  <w:p w:rsidR="001C5ECE" w:rsidRDefault="001C5ECE">
    <w:pPr>
      <w:pStyle w:val="Header"/>
      <w:rPr>
        <w:rStyle w:val="PageNumber"/>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Cummings Health Care Facility, Inc.</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17</w:t>
    </w:r>
    <w:r>
      <w:rPr>
        <w:rStyle w:val="PageNumber"/>
      </w:rPr>
      <w:fldChar w:fldCharType="end"/>
    </w:r>
    <w:r>
      <w:rPr>
        <w:rStyle w:val="PageNumber"/>
      </w:rPr>
      <w:t xml:space="preserve"> -</w:t>
    </w:r>
    <w:r>
      <w:rPr>
        <w:rStyle w:val="PageNumber"/>
      </w:rPr>
      <w:tab/>
      <w:t xml:space="preserve">Acquisition of Control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pPr>
      <w:pStyle w:val="Header"/>
      <w:rPr>
        <w:rStyle w:val="PageNumber"/>
      </w:rPr>
    </w:pPr>
    <w:r>
      <w:rPr>
        <w:rStyle w:val="PageNumber"/>
      </w:rPr>
      <w:t>VII. Service Utilization</w:t>
    </w:r>
  </w:p>
  <w:p w:rsidR="001C5ECE" w:rsidRDefault="001C5ECE">
    <w:pPr>
      <w:pStyle w:val="Header"/>
      <w:rPr>
        <w:rStyle w:val="PageNumber"/>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Cummings Health Care Facility, Inc.</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18</w:t>
    </w:r>
    <w:r>
      <w:rPr>
        <w:rStyle w:val="PageNumber"/>
      </w:rPr>
      <w:fldChar w:fldCharType="end"/>
    </w:r>
    <w:r>
      <w:rPr>
        <w:rStyle w:val="PageNumber"/>
      </w:rPr>
      <w:t xml:space="preserve"> -</w:t>
    </w:r>
    <w:r>
      <w:rPr>
        <w:rStyle w:val="PageNumber"/>
      </w:rPr>
      <w:tab/>
      <w:t xml:space="preserve">Acquisition of Control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106349">
    <w:pPr>
      <w:pStyle w:val="Header"/>
      <w:tabs>
        <w:tab w:val="clear" w:pos="4320"/>
        <w:tab w:val="clear" w:pos="8640"/>
      </w:tabs>
    </w:pPr>
    <w:r>
      <w:t>VIII. Timely Notice</w:t>
    </w:r>
  </w:p>
  <w:p w:rsidR="001C5ECE" w:rsidRDefault="001C5ECE" w:rsidP="00106349">
    <w:pPr>
      <w:pStyle w:val="Header"/>
      <w:tabs>
        <w:tab w:val="clear" w:pos="4320"/>
        <w:tab w:val="clear" w:pos="8640"/>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67479F">
    <w:pPr>
      <w:pStyle w:val="Header"/>
      <w:tabs>
        <w:tab w:val="clear" w:pos="8640"/>
        <w:tab w:val="left" w:pos="6507"/>
        <w:tab w:val="right" w:pos="9360"/>
      </w:tabs>
      <w:rPr>
        <w:rStyle w:val="PageNumber"/>
      </w:rPr>
    </w:pPr>
    <w:r>
      <w:t>Cummings Health Care Facility, Inc.</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20</w:t>
    </w:r>
    <w:r>
      <w:rPr>
        <w:rStyle w:val="PageNumber"/>
      </w:rPr>
      <w:fldChar w:fldCharType="end"/>
    </w:r>
    <w:r>
      <w:rPr>
        <w:rStyle w:val="PageNumber"/>
      </w:rPr>
      <w:t xml:space="preserve"> -</w:t>
    </w:r>
    <w:r>
      <w:rPr>
        <w:rStyle w:val="PageNumber"/>
      </w:rPr>
      <w:tab/>
    </w:r>
    <w:r>
      <w:rPr>
        <w:rStyle w:val="PageNumber"/>
      </w:rPr>
      <w:tab/>
      <w:t xml:space="preserve">Change of Ownership </w:t>
    </w:r>
  </w:p>
  <w:p w:rsidR="001C5ECE" w:rsidRDefault="001C5ECE" w:rsidP="0019690A">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19690A">
    <w:pPr>
      <w:pStyle w:val="Header"/>
      <w:tabs>
        <w:tab w:val="clear" w:pos="4320"/>
        <w:tab w:val="clear" w:pos="8640"/>
      </w:tabs>
    </w:pPr>
    <w:r>
      <w:t>X. Findings and Recommendations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tab/>
      <w:t xml:space="preserve">Change of Ownership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pPr>
      <w:pStyle w:val="Header"/>
      <w:rPr>
        <w:rStyle w:val="PageNumber"/>
      </w:rPr>
    </w:pPr>
    <w:r>
      <w:rPr>
        <w:rStyle w:val="PageNumber"/>
      </w:rPr>
      <w:t>II. Fit, Willing and Able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2</w:t>
    </w:r>
    <w:r>
      <w:rPr>
        <w:rStyle w:val="PageNumber"/>
      </w:rPr>
      <w:fldChar w:fldCharType="end"/>
    </w:r>
    <w:r>
      <w:rPr>
        <w:rStyle w:val="PageNumber"/>
      </w:rPr>
      <w:t xml:space="preserve"> -</w:t>
    </w:r>
    <w:r>
      <w:rPr>
        <w:rStyle w:val="PageNumber"/>
      </w:rPr>
      <w:tab/>
      <w:t xml:space="preserve">Acquisition of Control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pPr>
      <w:pStyle w:val="Header"/>
      <w:rPr>
        <w:rStyle w:val="PageNumber"/>
      </w:rPr>
    </w:pPr>
    <w:r>
      <w:rPr>
        <w:rStyle w:val="PageNumber"/>
      </w:rPr>
      <w:t>I. Abstract</w:t>
    </w:r>
  </w:p>
  <w:p w:rsidR="001C5ECE" w:rsidRDefault="001C5ECE">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237C8E">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6</w:t>
    </w:r>
    <w:r>
      <w:rPr>
        <w:rStyle w:val="PageNumber"/>
      </w:rPr>
      <w:fldChar w:fldCharType="end"/>
    </w:r>
    <w:r>
      <w:rPr>
        <w:rStyle w:val="PageNumber"/>
      </w:rPr>
      <w:t xml:space="preserve"> -</w:t>
    </w:r>
    <w:r>
      <w:rPr>
        <w:rStyle w:val="PageNumber"/>
      </w:rPr>
      <w:tab/>
      <w:t xml:space="preserve">Acquisition of Control </w:t>
    </w:r>
  </w:p>
  <w:p w:rsidR="001C5ECE" w:rsidRDefault="001C5ECE"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pPr>
      <w:pStyle w:val="Header"/>
      <w:rPr>
        <w:rStyle w:val="PageNumber"/>
      </w:rPr>
    </w:pPr>
    <w:r>
      <w:rPr>
        <w:rStyle w:val="PageNumber"/>
      </w:rPr>
      <w:t>II. Fit, Willing and Able</w:t>
    </w:r>
  </w:p>
  <w:p w:rsidR="001C5ECE" w:rsidRDefault="001C5ECE">
    <w:pPr>
      <w:pStyle w:val="Head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7</w:t>
    </w:r>
    <w:r>
      <w:rPr>
        <w:rStyle w:val="PageNumber"/>
      </w:rPr>
      <w:fldChar w:fldCharType="end"/>
    </w:r>
    <w:r>
      <w:rPr>
        <w:rStyle w:val="PageNumber"/>
      </w:rPr>
      <w:t xml:space="preserve"> -</w:t>
    </w:r>
    <w:r>
      <w:rPr>
        <w:rStyle w:val="PageNumber"/>
      </w:rPr>
      <w:tab/>
      <w:t xml:space="preserve">Acquisition of Control </w:t>
    </w:r>
  </w:p>
  <w:p w:rsidR="001C5ECE" w:rsidRDefault="001C5ECE"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DE75CD">
    <w:pPr>
      <w:pStyle w:val="Header"/>
      <w:tabs>
        <w:tab w:val="clear" w:pos="8640"/>
        <w:tab w:val="right" w:pos="9360"/>
      </w:tabs>
    </w:pPr>
    <w:r>
      <w:rPr>
        <w:rStyle w:val="PageNumber"/>
        <w:bCs/>
      </w:rPr>
      <w:t>III. Economic Feasibility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9</w:t>
    </w:r>
    <w:r>
      <w:rPr>
        <w:rStyle w:val="PageNumber"/>
      </w:rPr>
      <w:fldChar w:fldCharType="end"/>
    </w:r>
    <w:r>
      <w:rPr>
        <w:rStyle w:val="PageNumber"/>
      </w:rPr>
      <w:t xml:space="preserve"> -</w:t>
    </w:r>
    <w:r>
      <w:rPr>
        <w:rStyle w:val="PageNumber"/>
      </w:rPr>
      <w:tab/>
      <w:t xml:space="preserve">Change of Ownership </w:t>
    </w:r>
  </w:p>
  <w:p w:rsidR="001C5ECE" w:rsidRDefault="001C5ECE"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5F331D">
    <w:pPr>
      <w:pStyle w:val="Header"/>
      <w:tabs>
        <w:tab w:val="clear" w:pos="8640"/>
        <w:tab w:val="right" w:pos="9360"/>
      </w:tabs>
      <w:rPr>
        <w:rStyle w:val="PageNumber"/>
        <w:bCs/>
      </w:rPr>
    </w:pPr>
    <w:r>
      <w:rPr>
        <w:rStyle w:val="PageNumber"/>
        <w:bCs/>
      </w:rPr>
      <w:t>III. Economic Feasibility</w:t>
    </w:r>
  </w:p>
  <w:p w:rsidR="001C5ECE" w:rsidRDefault="001C5ECE" w:rsidP="005F331D">
    <w:pPr>
      <w:pStyle w:val="Header"/>
      <w:tabs>
        <w:tab w:val="clear" w:pos="8640"/>
        <w:tab w:val="right" w:pos="936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1804AF">
    <w:pPr>
      <w:pStyle w:val="Header"/>
      <w:tabs>
        <w:tab w:val="clear" w:pos="8640"/>
        <w:tab w:val="right" w:pos="9360"/>
      </w:tabs>
      <w:jc w:val="center"/>
      <w:rPr>
        <w:rStyle w:val="PageNumber"/>
      </w:rPr>
    </w:pPr>
    <w:r>
      <w:t xml:space="preserve">Cummings Health Care Facility, Inc. </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13</w:t>
    </w:r>
    <w:r>
      <w:rPr>
        <w:rStyle w:val="PageNumber"/>
      </w:rPr>
      <w:fldChar w:fldCharType="end"/>
    </w:r>
    <w:r>
      <w:rPr>
        <w:rStyle w:val="PageNumber"/>
      </w:rPr>
      <w:t xml:space="preserve"> -</w:t>
    </w:r>
    <w:r>
      <w:rPr>
        <w:rStyle w:val="PageNumber"/>
      </w:rPr>
      <w:tab/>
      <w:t xml:space="preserve">Acquisition of Control </w:t>
    </w:r>
  </w:p>
  <w:p w:rsidR="001C5ECE" w:rsidRDefault="001C5ECE"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5F331D">
    <w:pPr>
      <w:pStyle w:val="Header"/>
      <w:tabs>
        <w:tab w:val="clear" w:pos="8640"/>
        <w:tab w:val="right" w:pos="9360"/>
      </w:tabs>
      <w:rPr>
        <w:rStyle w:val="PageNumber"/>
        <w:bCs/>
      </w:rPr>
    </w:pPr>
    <w:r>
      <w:rPr>
        <w:rStyle w:val="PageNumber"/>
        <w:bCs/>
      </w:rPr>
      <w:t>IV. Public Need</w:t>
    </w:r>
  </w:p>
  <w:p w:rsidR="001C5ECE" w:rsidRDefault="001C5ECE" w:rsidP="005F331D">
    <w:pPr>
      <w:pStyle w:val="Header"/>
      <w:tabs>
        <w:tab w:val="clear" w:pos="8640"/>
        <w:tab w:val="right" w:pos="9360"/>
      </w:tabs>
      <w:rPr>
        <w:rStyle w:val="PageNumber"/>
        <w:bC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rsidP="00F62A4F">
    <w:pPr>
      <w:pStyle w:val="Header"/>
      <w:tabs>
        <w:tab w:val="clear" w:pos="8640"/>
        <w:tab w:val="right" w:pos="9360"/>
      </w:tabs>
      <w:jc w:val="center"/>
      <w:rPr>
        <w:rStyle w:val="PageNumber"/>
      </w:rPr>
    </w:pPr>
    <w:r>
      <w:t>Cummings Health Care Facility, Inc.</w:t>
    </w:r>
    <w:r>
      <w:tab/>
      <w:t xml:space="preserve">- </w:t>
    </w:r>
    <w:r>
      <w:rPr>
        <w:rStyle w:val="PageNumber"/>
      </w:rPr>
      <w:fldChar w:fldCharType="begin"/>
    </w:r>
    <w:r>
      <w:rPr>
        <w:rStyle w:val="PageNumber"/>
      </w:rPr>
      <w:instrText xml:space="preserve"> PAGE </w:instrText>
    </w:r>
    <w:r>
      <w:rPr>
        <w:rStyle w:val="PageNumber"/>
      </w:rPr>
      <w:fldChar w:fldCharType="separate"/>
    </w:r>
    <w:r w:rsidR="00664261">
      <w:rPr>
        <w:rStyle w:val="PageNumber"/>
        <w:noProof/>
      </w:rPr>
      <w:t>15</w:t>
    </w:r>
    <w:r>
      <w:rPr>
        <w:rStyle w:val="PageNumber"/>
      </w:rPr>
      <w:fldChar w:fldCharType="end"/>
    </w:r>
    <w:r>
      <w:rPr>
        <w:rStyle w:val="PageNumber"/>
      </w:rPr>
      <w:t xml:space="preserve"> -</w:t>
    </w:r>
    <w:r>
      <w:rPr>
        <w:rStyle w:val="PageNumber"/>
      </w:rPr>
      <w:tab/>
      <w:t>Acquisition of Control</w:t>
    </w:r>
  </w:p>
  <w:p w:rsidR="001C5ECE" w:rsidRDefault="001C5ECE" w:rsidP="00F62A4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1C5ECE" w:rsidRDefault="001C5ECE" w:rsidP="00F62A4F">
    <w:pPr>
      <w:pStyle w:val="Header"/>
      <w:rPr>
        <w:rStyle w:val="PageNumber"/>
      </w:rPr>
    </w:pPr>
    <w:r>
      <w:rPr>
        <w:rStyle w:val="PageNumber"/>
      </w:rPr>
      <w:t>V. Orderly and Economic Development</w:t>
    </w:r>
  </w:p>
  <w:p w:rsidR="001C5ECE" w:rsidRDefault="001C5ECE" w:rsidP="00F62A4F">
    <w:pPr>
      <w:pStyle w:val="Header"/>
      <w:rPr>
        <w:rStyle w:val="PageNumbe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CE" w:rsidRDefault="001C5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B5ACCB8"/>
    <w:lvl w:ilvl="0" w:tplc="FFFFFFFF">
      <w:start w:val="1"/>
      <w:numFmt w:val="bullet"/>
      <w:lvlText w:val=""/>
      <w:lvlJc w:val="left"/>
      <w:pPr>
        <w:widowControl w:val="0"/>
        <w:tabs>
          <w:tab w:val="num" w:pos="720"/>
        </w:tabs>
        <w:autoSpaceDE w:val="0"/>
        <w:autoSpaceDN w:val="0"/>
        <w:adjustRightInd w:val="0"/>
        <w:ind w:left="720" w:hanging="360"/>
      </w:pPr>
      <w:rPr>
        <w:rFonts w:ascii="Symbol" w:hAnsi="Symbol" w:cs="Symbol"/>
        <w:sz w:val="24"/>
        <w:szCs w:val="24"/>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4"/>
        <w:szCs w:val="24"/>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4"/>
        <w:szCs w:val="24"/>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4"/>
        <w:szCs w:val="24"/>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4"/>
        <w:szCs w:val="24"/>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4"/>
        <w:szCs w:val="24"/>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4"/>
        <w:szCs w:val="24"/>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4"/>
        <w:szCs w:val="24"/>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4"/>
        <w:szCs w:val="24"/>
      </w:rPr>
    </w:lvl>
  </w:abstractNum>
  <w:abstractNum w:abstractNumId="1">
    <w:nsid w:val="00544747"/>
    <w:multiLevelType w:val="hybridMultilevel"/>
    <w:tmpl w:val="3E28E554"/>
    <w:lvl w:ilvl="0" w:tplc="8BE448DA">
      <w:start w:val="9"/>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03C251F6"/>
    <w:multiLevelType w:val="hybridMultilevel"/>
    <w:tmpl w:val="FAF404BC"/>
    <w:lvl w:ilvl="0" w:tplc="E4286826">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8CB0E11"/>
    <w:multiLevelType w:val="hybridMultilevel"/>
    <w:tmpl w:val="31948528"/>
    <w:lvl w:ilvl="0" w:tplc="39A6119E">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590E4F"/>
    <w:multiLevelType w:val="hybridMultilevel"/>
    <w:tmpl w:val="6250F4F2"/>
    <w:lvl w:ilvl="0" w:tplc="CDE41A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F348B3"/>
    <w:multiLevelType w:val="hybridMultilevel"/>
    <w:tmpl w:val="149AAE8C"/>
    <w:lvl w:ilvl="0" w:tplc="C2666F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7F7C74"/>
    <w:multiLevelType w:val="hybridMultilevel"/>
    <w:tmpl w:val="D53845CE"/>
    <w:lvl w:ilvl="0" w:tplc="52ECBA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37EEF"/>
    <w:multiLevelType w:val="hybridMultilevel"/>
    <w:tmpl w:val="C930E534"/>
    <w:lvl w:ilvl="0" w:tplc="9A4263E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E40700"/>
    <w:multiLevelType w:val="hybridMultilevel"/>
    <w:tmpl w:val="598E075E"/>
    <w:lvl w:ilvl="0" w:tplc="5FDC1704">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2C0D2D"/>
    <w:multiLevelType w:val="hybridMultilevel"/>
    <w:tmpl w:val="6D1C4CC4"/>
    <w:lvl w:ilvl="0" w:tplc="D4205F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8716B"/>
    <w:multiLevelType w:val="hybridMultilevel"/>
    <w:tmpl w:val="9BD6DE8E"/>
    <w:lvl w:ilvl="0" w:tplc="EF983C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80365E"/>
    <w:multiLevelType w:val="hybridMultilevel"/>
    <w:tmpl w:val="EF94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AA5C6F"/>
    <w:multiLevelType w:val="hybridMultilevel"/>
    <w:tmpl w:val="B33E00EE"/>
    <w:lvl w:ilvl="0" w:tplc="06E4D970">
      <w:start w:val="1"/>
      <w:numFmt w:val="upperLetter"/>
      <w:lvlText w:val="%1."/>
      <w:lvlJc w:val="left"/>
      <w:pPr>
        <w:ind w:left="540" w:hanging="360"/>
      </w:pPr>
      <w:rPr>
        <w:rFonts w:hint="default"/>
        <w:b/>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13">
    <w:nsid w:val="3CA11A61"/>
    <w:multiLevelType w:val="multilevel"/>
    <w:tmpl w:val="86C84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34764"/>
    <w:multiLevelType w:val="multilevel"/>
    <w:tmpl w:val="3212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E342CC"/>
    <w:multiLevelType w:val="multilevel"/>
    <w:tmpl w:val="8E306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9A2EEA"/>
    <w:multiLevelType w:val="hybridMultilevel"/>
    <w:tmpl w:val="25626C36"/>
    <w:lvl w:ilvl="0" w:tplc="F450226C">
      <w:start w:val="1"/>
      <w:numFmt w:val="upperLetter"/>
      <w:lvlText w:val="%1."/>
      <w:lvlJc w:val="left"/>
      <w:pPr>
        <w:ind w:left="540" w:hanging="360"/>
      </w:pPr>
      <w:rPr>
        <w:rFonts w:ascii="Times New Roman" w:eastAsia="Times New Roman" w:hAnsi="Times New Roman"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F8D2802"/>
    <w:multiLevelType w:val="hybridMultilevel"/>
    <w:tmpl w:val="1F78AAC8"/>
    <w:lvl w:ilvl="0" w:tplc="9EA832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A30E56"/>
    <w:multiLevelType w:val="multilevel"/>
    <w:tmpl w:val="59E294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965DD6"/>
    <w:multiLevelType w:val="multilevel"/>
    <w:tmpl w:val="61AA4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21378A"/>
    <w:multiLevelType w:val="multilevel"/>
    <w:tmpl w:val="D062B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3904AC"/>
    <w:multiLevelType w:val="hybridMultilevel"/>
    <w:tmpl w:val="D37E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C039D6"/>
    <w:multiLevelType w:val="multilevel"/>
    <w:tmpl w:val="2FA4F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22"/>
  </w:num>
  <w:num w:numId="4">
    <w:abstractNumId w:val="8"/>
  </w:num>
  <w:num w:numId="5">
    <w:abstractNumId w:val="3"/>
  </w:num>
  <w:num w:numId="6">
    <w:abstractNumId w:val="4"/>
  </w:num>
  <w:num w:numId="7">
    <w:abstractNumId w:val="18"/>
  </w:num>
  <w:num w:numId="8">
    <w:abstractNumId w:val="13"/>
  </w:num>
  <w:num w:numId="9">
    <w:abstractNumId w:val="21"/>
  </w:num>
  <w:num w:numId="10">
    <w:abstractNumId w:val="15"/>
  </w:num>
  <w:num w:numId="11">
    <w:abstractNumId w:val="24"/>
  </w:num>
  <w:num w:numId="12">
    <w:abstractNumId w:val="20"/>
  </w:num>
  <w:num w:numId="13">
    <w:abstractNumId w:val="11"/>
  </w:num>
  <w:num w:numId="14">
    <w:abstractNumId w:val="0"/>
  </w:num>
  <w:num w:numId="15">
    <w:abstractNumId w:val="10"/>
  </w:num>
  <w:num w:numId="16">
    <w:abstractNumId w:val="17"/>
  </w:num>
  <w:num w:numId="17">
    <w:abstractNumId w:val="1"/>
  </w:num>
  <w:num w:numId="18">
    <w:abstractNumId w:val="14"/>
  </w:num>
  <w:num w:numId="19">
    <w:abstractNumId w:val="23"/>
  </w:num>
  <w:num w:numId="20">
    <w:abstractNumId w:val="2"/>
  </w:num>
  <w:num w:numId="21">
    <w:abstractNumId w:val="6"/>
  </w:num>
  <w:num w:numId="22">
    <w:abstractNumId w:val="5"/>
  </w:num>
  <w:num w:numId="23">
    <w:abstractNumId w:val="12"/>
  </w:num>
  <w:num w:numId="24">
    <w:abstractNumId w:val="16"/>
  </w:num>
  <w:num w:numId="25">
    <w:abstractNumId w:val="7"/>
  </w:num>
  <w:num w:numId="26">
    <w:abstractNumId w:val="9"/>
  </w:num>
  <w:num w:numId="27">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E55"/>
    <w:rsid w:val="00010FEE"/>
    <w:rsid w:val="00013754"/>
    <w:rsid w:val="00014F57"/>
    <w:rsid w:val="00016B51"/>
    <w:rsid w:val="000216A0"/>
    <w:rsid w:val="00022448"/>
    <w:rsid w:val="00024A81"/>
    <w:rsid w:val="00026156"/>
    <w:rsid w:val="0003323D"/>
    <w:rsid w:val="000345DE"/>
    <w:rsid w:val="00034FD4"/>
    <w:rsid w:val="0003667B"/>
    <w:rsid w:val="00040A30"/>
    <w:rsid w:val="00041EBA"/>
    <w:rsid w:val="0004389E"/>
    <w:rsid w:val="000442EE"/>
    <w:rsid w:val="00045522"/>
    <w:rsid w:val="00046DFB"/>
    <w:rsid w:val="000544B7"/>
    <w:rsid w:val="00055047"/>
    <w:rsid w:val="0005511F"/>
    <w:rsid w:val="00055F8B"/>
    <w:rsid w:val="00056D31"/>
    <w:rsid w:val="00062BF0"/>
    <w:rsid w:val="00065569"/>
    <w:rsid w:val="0006690B"/>
    <w:rsid w:val="00075057"/>
    <w:rsid w:val="00076012"/>
    <w:rsid w:val="00077EEC"/>
    <w:rsid w:val="00080825"/>
    <w:rsid w:val="00081D1A"/>
    <w:rsid w:val="000825CB"/>
    <w:rsid w:val="000853B9"/>
    <w:rsid w:val="000854E9"/>
    <w:rsid w:val="00091267"/>
    <w:rsid w:val="00091B04"/>
    <w:rsid w:val="000922F1"/>
    <w:rsid w:val="00092D67"/>
    <w:rsid w:val="000930A4"/>
    <w:rsid w:val="00093328"/>
    <w:rsid w:val="00094484"/>
    <w:rsid w:val="0009650B"/>
    <w:rsid w:val="000967EB"/>
    <w:rsid w:val="00097693"/>
    <w:rsid w:val="000A06C5"/>
    <w:rsid w:val="000A3E3D"/>
    <w:rsid w:val="000A5118"/>
    <w:rsid w:val="000A57BA"/>
    <w:rsid w:val="000B1DBE"/>
    <w:rsid w:val="000B3084"/>
    <w:rsid w:val="000B3BF8"/>
    <w:rsid w:val="000B42CF"/>
    <w:rsid w:val="000B4C40"/>
    <w:rsid w:val="000B563C"/>
    <w:rsid w:val="000B6428"/>
    <w:rsid w:val="000C02CD"/>
    <w:rsid w:val="000C05B8"/>
    <w:rsid w:val="000C184B"/>
    <w:rsid w:val="000C5C78"/>
    <w:rsid w:val="000D46A5"/>
    <w:rsid w:val="000D7F49"/>
    <w:rsid w:val="000E0017"/>
    <w:rsid w:val="000E0EFF"/>
    <w:rsid w:val="000E5DB3"/>
    <w:rsid w:val="000F300C"/>
    <w:rsid w:val="000F36BB"/>
    <w:rsid w:val="000F59B6"/>
    <w:rsid w:val="0010200A"/>
    <w:rsid w:val="00106349"/>
    <w:rsid w:val="0010786D"/>
    <w:rsid w:val="0011107B"/>
    <w:rsid w:val="0011216D"/>
    <w:rsid w:val="001123F4"/>
    <w:rsid w:val="0011348B"/>
    <w:rsid w:val="00114C18"/>
    <w:rsid w:val="0011600C"/>
    <w:rsid w:val="00117CD5"/>
    <w:rsid w:val="00120B0F"/>
    <w:rsid w:val="00120FC8"/>
    <w:rsid w:val="001227AD"/>
    <w:rsid w:val="00127993"/>
    <w:rsid w:val="00130ECD"/>
    <w:rsid w:val="00131744"/>
    <w:rsid w:val="00131C35"/>
    <w:rsid w:val="001328E1"/>
    <w:rsid w:val="00133F2B"/>
    <w:rsid w:val="001364F5"/>
    <w:rsid w:val="00136B46"/>
    <w:rsid w:val="001372BD"/>
    <w:rsid w:val="00137E29"/>
    <w:rsid w:val="001411A8"/>
    <w:rsid w:val="00141379"/>
    <w:rsid w:val="00141856"/>
    <w:rsid w:val="0014286D"/>
    <w:rsid w:val="001437E4"/>
    <w:rsid w:val="00143889"/>
    <w:rsid w:val="001452EE"/>
    <w:rsid w:val="001453D0"/>
    <w:rsid w:val="00147374"/>
    <w:rsid w:val="0014742E"/>
    <w:rsid w:val="00150ABE"/>
    <w:rsid w:val="00153499"/>
    <w:rsid w:val="00156075"/>
    <w:rsid w:val="00157DFB"/>
    <w:rsid w:val="001606CA"/>
    <w:rsid w:val="00161043"/>
    <w:rsid w:val="0016323D"/>
    <w:rsid w:val="00163C16"/>
    <w:rsid w:val="00164035"/>
    <w:rsid w:val="00164DC7"/>
    <w:rsid w:val="00170A22"/>
    <w:rsid w:val="00171DE7"/>
    <w:rsid w:val="00172171"/>
    <w:rsid w:val="0017393D"/>
    <w:rsid w:val="00175A6C"/>
    <w:rsid w:val="0018003F"/>
    <w:rsid w:val="00180282"/>
    <w:rsid w:val="001804AF"/>
    <w:rsid w:val="00181BCF"/>
    <w:rsid w:val="001823ED"/>
    <w:rsid w:val="00182C85"/>
    <w:rsid w:val="00182C8B"/>
    <w:rsid w:val="00185184"/>
    <w:rsid w:val="0018741D"/>
    <w:rsid w:val="00187F19"/>
    <w:rsid w:val="00192884"/>
    <w:rsid w:val="00192F8A"/>
    <w:rsid w:val="001930D4"/>
    <w:rsid w:val="001940E3"/>
    <w:rsid w:val="00194135"/>
    <w:rsid w:val="001950B6"/>
    <w:rsid w:val="0019690A"/>
    <w:rsid w:val="001A07C0"/>
    <w:rsid w:val="001A0ED7"/>
    <w:rsid w:val="001A2774"/>
    <w:rsid w:val="001A55FA"/>
    <w:rsid w:val="001A733F"/>
    <w:rsid w:val="001B0B14"/>
    <w:rsid w:val="001B1B91"/>
    <w:rsid w:val="001B308E"/>
    <w:rsid w:val="001B6517"/>
    <w:rsid w:val="001B68F2"/>
    <w:rsid w:val="001C1832"/>
    <w:rsid w:val="001C26FE"/>
    <w:rsid w:val="001C4A51"/>
    <w:rsid w:val="001C51CE"/>
    <w:rsid w:val="001C542F"/>
    <w:rsid w:val="001C5ECE"/>
    <w:rsid w:val="001D1900"/>
    <w:rsid w:val="001D36E5"/>
    <w:rsid w:val="001D3C46"/>
    <w:rsid w:val="001D58C4"/>
    <w:rsid w:val="001D679E"/>
    <w:rsid w:val="001D6B27"/>
    <w:rsid w:val="001D6D33"/>
    <w:rsid w:val="001E00BD"/>
    <w:rsid w:val="001E0749"/>
    <w:rsid w:val="001E09AD"/>
    <w:rsid w:val="001E3A4E"/>
    <w:rsid w:val="001E594F"/>
    <w:rsid w:val="001F067B"/>
    <w:rsid w:val="001F3FDD"/>
    <w:rsid w:val="001F4319"/>
    <w:rsid w:val="001F5BCA"/>
    <w:rsid w:val="001F5D04"/>
    <w:rsid w:val="001F5D2A"/>
    <w:rsid w:val="001F6722"/>
    <w:rsid w:val="002003C8"/>
    <w:rsid w:val="00200B10"/>
    <w:rsid w:val="00200D4B"/>
    <w:rsid w:val="00201FC4"/>
    <w:rsid w:val="00202E71"/>
    <w:rsid w:val="00204F50"/>
    <w:rsid w:val="00205E08"/>
    <w:rsid w:val="00206984"/>
    <w:rsid w:val="00206DC6"/>
    <w:rsid w:val="00210E23"/>
    <w:rsid w:val="00211D06"/>
    <w:rsid w:val="00212068"/>
    <w:rsid w:val="002127B5"/>
    <w:rsid w:val="0021371F"/>
    <w:rsid w:val="00214F84"/>
    <w:rsid w:val="00215D54"/>
    <w:rsid w:val="00215F0E"/>
    <w:rsid w:val="00216329"/>
    <w:rsid w:val="002178C6"/>
    <w:rsid w:val="0022060C"/>
    <w:rsid w:val="0022100D"/>
    <w:rsid w:val="0022146F"/>
    <w:rsid w:val="00222352"/>
    <w:rsid w:val="0022235E"/>
    <w:rsid w:val="00222A11"/>
    <w:rsid w:val="00223F75"/>
    <w:rsid w:val="0022411D"/>
    <w:rsid w:val="00224366"/>
    <w:rsid w:val="002244EF"/>
    <w:rsid w:val="00225DC6"/>
    <w:rsid w:val="0023013F"/>
    <w:rsid w:val="00235199"/>
    <w:rsid w:val="002369A8"/>
    <w:rsid w:val="00237C8E"/>
    <w:rsid w:val="00237E17"/>
    <w:rsid w:val="002405E5"/>
    <w:rsid w:val="00240843"/>
    <w:rsid w:val="00241573"/>
    <w:rsid w:val="00244346"/>
    <w:rsid w:val="002444EC"/>
    <w:rsid w:val="00244EDC"/>
    <w:rsid w:val="00245CA8"/>
    <w:rsid w:val="002479D0"/>
    <w:rsid w:val="00247F3D"/>
    <w:rsid w:val="00250263"/>
    <w:rsid w:val="00251D1C"/>
    <w:rsid w:val="00251F13"/>
    <w:rsid w:val="00251F6D"/>
    <w:rsid w:val="002525B6"/>
    <w:rsid w:val="0025334A"/>
    <w:rsid w:val="00253CD1"/>
    <w:rsid w:val="00253E20"/>
    <w:rsid w:val="00255DA4"/>
    <w:rsid w:val="0025717C"/>
    <w:rsid w:val="0025743F"/>
    <w:rsid w:val="002579ED"/>
    <w:rsid w:val="0026027B"/>
    <w:rsid w:val="00262F87"/>
    <w:rsid w:val="0026409A"/>
    <w:rsid w:val="00264F51"/>
    <w:rsid w:val="00265AE1"/>
    <w:rsid w:val="00271773"/>
    <w:rsid w:val="00272BAF"/>
    <w:rsid w:val="00273571"/>
    <w:rsid w:val="00273E81"/>
    <w:rsid w:val="00276BB7"/>
    <w:rsid w:val="00277DBF"/>
    <w:rsid w:val="002823F9"/>
    <w:rsid w:val="00283C25"/>
    <w:rsid w:val="00283D65"/>
    <w:rsid w:val="00283DC2"/>
    <w:rsid w:val="002843F4"/>
    <w:rsid w:val="00287742"/>
    <w:rsid w:val="002935BF"/>
    <w:rsid w:val="002940A8"/>
    <w:rsid w:val="0029625C"/>
    <w:rsid w:val="002A14EA"/>
    <w:rsid w:val="002A1621"/>
    <w:rsid w:val="002A5230"/>
    <w:rsid w:val="002A5A03"/>
    <w:rsid w:val="002B3062"/>
    <w:rsid w:val="002B6542"/>
    <w:rsid w:val="002C0993"/>
    <w:rsid w:val="002C2225"/>
    <w:rsid w:val="002C2748"/>
    <w:rsid w:val="002C3EE6"/>
    <w:rsid w:val="002C4179"/>
    <w:rsid w:val="002C781C"/>
    <w:rsid w:val="002D457E"/>
    <w:rsid w:val="002D5FB7"/>
    <w:rsid w:val="002E0E08"/>
    <w:rsid w:val="002E1003"/>
    <w:rsid w:val="002E22B3"/>
    <w:rsid w:val="002E3098"/>
    <w:rsid w:val="002E5AD7"/>
    <w:rsid w:val="002E5DFF"/>
    <w:rsid w:val="002F12A8"/>
    <w:rsid w:val="002F1A23"/>
    <w:rsid w:val="002F5D5D"/>
    <w:rsid w:val="002F661F"/>
    <w:rsid w:val="002F77AA"/>
    <w:rsid w:val="0030245A"/>
    <w:rsid w:val="003024F1"/>
    <w:rsid w:val="00302ACF"/>
    <w:rsid w:val="00304C0B"/>
    <w:rsid w:val="0030620E"/>
    <w:rsid w:val="00307410"/>
    <w:rsid w:val="00312883"/>
    <w:rsid w:val="00313A94"/>
    <w:rsid w:val="0031527B"/>
    <w:rsid w:val="00321025"/>
    <w:rsid w:val="00322A3A"/>
    <w:rsid w:val="00323EF1"/>
    <w:rsid w:val="00324685"/>
    <w:rsid w:val="0032609B"/>
    <w:rsid w:val="003268FA"/>
    <w:rsid w:val="003302F0"/>
    <w:rsid w:val="0033282C"/>
    <w:rsid w:val="003411E0"/>
    <w:rsid w:val="00342E1B"/>
    <w:rsid w:val="00342ECC"/>
    <w:rsid w:val="00342F56"/>
    <w:rsid w:val="00343C22"/>
    <w:rsid w:val="00343D2F"/>
    <w:rsid w:val="00344554"/>
    <w:rsid w:val="003459C9"/>
    <w:rsid w:val="003501B0"/>
    <w:rsid w:val="00350211"/>
    <w:rsid w:val="003510E9"/>
    <w:rsid w:val="00352154"/>
    <w:rsid w:val="00354259"/>
    <w:rsid w:val="00355F74"/>
    <w:rsid w:val="0035626B"/>
    <w:rsid w:val="00356D91"/>
    <w:rsid w:val="00356E63"/>
    <w:rsid w:val="00357C0E"/>
    <w:rsid w:val="00362413"/>
    <w:rsid w:val="003652E8"/>
    <w:rsid w:val="00367D55"/>
    <w:rsid w:val="003722CC"/>
    <w:rsid w:val="0037690B"/>
    <w:rsid w:val="00377656"/>
    <w:rsid w:val="00383BFF"/>
    <w:rsid w:val="00384E81"/>
    <w:rsid w:val="003854EC"/>
    <w:rsid w:val="0038597B"/>
    <w:rsid w:val="00386992"/>
    <w:rsid w:val="00387E7D"/>
    <w:rsid w:val="00390593"/>
    <w:rsid w:val="00391987"/>
    <w:rsid w:val="003924D2"/>
    <w:rsid w:val="0039418D"/>
    <w:rsid w:val="003A0242"/>
    <w:rsid w:val="003A05A4"/>
    <w:rsid w:val="003A1445"/>
    <w:rsid w:val="003A1757"/>
    <w:rsid w:val="003A20AA"/>
    <w:rsid w:val="003A2B54"/>
    <w:rsid w:val="003A3B6D"/>
    <w:rsid w:val="003A3D98"/>
    <w:rsid w:val="003A46E0"/>
    <w:rsid w:val="003A4DEC"/>
    <w:rsid w:val="003B05CA"/>
    <w:rsid w:val="003B1884"/>
    <w:rsid w:val="003B3D48"/>
    <w:rsid w:val="003B3E8A"/>
    <w:rsid w:val="003B5350"/>
    <w:rsid w:val="003B6079"/>
    <w:rsid w:val="003B7BC4"/>
    <w:rsid w:val="003C4907"/>
    <w:rsid w:val="003D37F4"/>
    <w:rsid w:val="003D74E7"/>
    <w:rsid w:val="003E2C49"/>
    <w:rsid w:val="003E5114"/>
    <w:rsid w:val="003E61AB"/>
    <w:rsid w:val="003E6426"/>
    <w:rsid w:val="003E70FD"/>
    <w:rsid w:val="003E752C"/>
    <w:rsid w:val="003E77E1"/>
    <w:rsid w:val="004006AE"/>
    <w:rsid w:val="00400EB6"/>
    <w:rsid w:val="004031B9"/>
    <w:rsid w:val="00403EEC"/>
    <w:rsid w:val="004059D4"/>
    <w:rsid w:val="00405B9A"/>
    <w:rsid w:val="00407BF0"/>
    <w:rsid w:val="00411AD9"/>
    <w:rsid w:val="00412913"/>
    <w:rsid w:val="00417574"/>
    <w:rsid w:val="00417C0F"/>
    <w:rsid w:val="004207F6"/>
    <w:rsid w:val="00422811"/>
    <w:rsid w:val="00422851"/>
    <w:rsid w:val="0042287D"/>
    <w:rsid w:val="00422A34"/>
    <w:rsid w:val="00422A73"/>
    <w:rsid w:val="00422D24"/>
    <w:rsid w:val="00424A03"/>
    <w:rsid w:val="004257F1"/>
    <w:rsid w:val="00426B2E"/>
    <w:rsid w:val="00426D87"/>
    <w:rsid w:val="00431491"/>
    <w:rsid w:val="00432458"/>
    <w:rsid w:val="0043347D"/>
    <w:rsid w:val="004336AF"/>
    <w:rsid w:val="00434034"/>
    <w:rsid w:val="00436EAE"/>
    <w:rsid w:val="00443D73"/>
    <w:rsid w:val="00445BCD"/>
    <w:rsid w:val="00446CB8"/>
    <w:rsid w:val="00450E6A"/>
    <w:rsid w:val="004538B0"/>
    <w:rsid w:val="00453D27"/>
    <w:rsid w:val="00454F4F"/>
    <w:rsid w:val="00455C8C"/>
    <w:rsid w:val="004620A5"/>
    <w:rsid w:val="004620C2"/>
    <w:rsid w:val="004629A6"/>
    <w:rsid w:val="00462DC2"/>
    <w:rsid w:val="00464ABC"/>
    <w:rsid w:val="00465E95"/>
    <w:rsid w:val="00466BD1"/>
    <w:rsid w:val="00466DB7"/>
    <w:rsid w:val="00467E95"/>
    <w:rsid w:val="00470D26"/>
    <w:rsid w:val="004714B7"/>
    <w:rsid w:val="004716E9"/>
    <w:rsid w:val="0047583A"/>
    <w:rsid w:val="004767EA"/>
    <w:rsid w:val="004808F3"/>
    <w:rsid w:val="00481886"/>
    <w:rsid w:val="00482953"/>
    <w:rsid w:val="004831B1"/>
    <w:rsid w:val="00485F47"/>
    <w:rsid w:val="00486846"/>
    <w:rsid w:val="00486FB7"/>
    <w:rsid w:val="00487488"/>
    <w:rsid w:val="004915FD"/>
    <w:rsid w:val="00493C32"/>
    <w:rsid w:val="00495C6B"/>
    <w:rsid w:val="00496462"/>
    <w:rsid w:val="004968AE"/>
    <w:rsid w:val="00496A5F"/>
    <w:rsid w:val="00496DFB"/>
    <w:rsid w:val="004978D4"/>
    <w:rsid w:val="00497B4D"/>
    <w:rsid w:val="004A21E1"/>
    <w:rsid w:val="004A3A12"/>
    <w:rsid w:val="004A4A78"/>
    <w:rsid w:val="004A514C"/>
    <w:rsid w:val="004A51DE"/>
    <w:rsid w:val="004A61ED"/>
    <w:rsid w:val="004A75E9"/>
    <w:rsid w:val="004A7EE1"/>
    <w:rsid w:val="004B0A6B"/>
    <w:rsid w:val="004B2B65"/>
    <w:rsid w:val="004B4477"/>
    <w:rsid w:val="004B73BA"/>
    <w:rsid w:val="004C0CCA"/>
    <w:rsid w:val="004C1992"/>
    <w:rsid w:val="004C1C4C"/>
    <w:rsid w:val="004C528F"/>
    <w:rsid w:val="004C7120"/>
    <w:rsid w:val="004C7E3F"/>
    <w:rsid w:val="004D00D7"/>
    <w:rsid w:val="004D131C"/>
    <w:rsid w:val="004D56CF"/>
    <w:rsid w:val="004E6C2B"/>
    <w:rsid w:val="004E75C9"/>
    <w:rsid w:val="004E7E4E"/>
    <w:rsid w:val="004F16C4"/>
    <w:rsid w:val="004F3144"/>
    <w:rsid w:val="004F437E"/>
    <w:rsid w:val="004F572D"/>
    <w:rsid w:val="005018A5"/>
    <w:rsid w:val="00502D9E"/>
    <w:rsid w:val="005113CE"/>
    <w:rsid w:val="00515839"/>
    <w:rsid w:val="00516852"/>
    <w:rsid w:val="00517B0E"/>
    <w:rsid w:val="0052336F"/>
    <w:rsid w:val="00525A8F"/>
    <w:rsid w:val="00525CAF"/>
    <w:rsid w:val="00526BA7"/>
    <w:rsid w:val="005310F8"/>
    <w:rsid w:val="005329AA"/>
    <w:rsid w:val="005336AB"/>
    <w:rsid w:val="00533CA8"/>
    <w:rsid w:val="00534D0B"/>
    <w:rsid w:val="00536B68"/>
    <w:rsid w:val="0054109B"/>
    <w:rsid w:val="00541162"/>
    <w:rsid w:val="00545C02"/>
    <w:rsid w:val="00545F60"/>
    <w:rsid w:val="00546245"/>
    <w:rsid w:val="00546D6B"/>
    <w:rsid w:val="00547A95"/>
    <w:rsid w:val="0055033E"/>
    <w:rsid w:val="00552817"/>
    <w:rsid w:val="005533AB"/>
    <w:rsid w:val="0055563F"/>
    <w:rsid w:val="00555A69"/>
    <w:rsid w:val="00557E75"/>
    <w:rsid w:val="00565660"/>
    <w:rsid w:val="005674C7"/>
    <w:rsid w:val="00570D1C"/>
    <w:rsid w:val="00572647"/>
    <w:rsid w:val="00577E2B"/>
    <w:rsid w:val="005803BC"/>
    <w:rsid w:val="0058157C"/>
    <w:rsid w:val="00582633"/>
    <w:rsid w:val="0058458C"/>
    <w:rsid w:val="00587ABC"/>
    <w:rsid w:val="005908F8"/>
    <w:rsid w:val="00590EB5"/>
    <w:rsid w:val="00591003"/>
    <w:rsid w:val="0059151F"/>
    <w:rsid w:val="00594AFE"/>
    <w:rsid w:val="00595692"/>
    <w:rsid w:val="00595EC7"/>
    <w:rsid w:val="0059618E"/>
    <w:rsid w:val="00596425"/>
    <w:rsid w:val="005A018C"/>
    <w:rsid w:val="005A1035"/>
    <w:rsid w:val="005A1124"/>
    <w:rsid w:val="005A160B"/>
    <w:rsid w:val="005A5B3E"/>
    <w:rsid w:val="005A632C"/>
    <w:rsid w:val="005B0AD7"/>
    <w:rsid w:val="005B3A71"/>
    <w:rsid w:val="005B4607"/>
    <w:rsid w:val="005B5848"/>
    <w:rsid w:val="005B7BDC"/>
    <w:rsid w:val="005C36C7"/>
    <w:rsid w:val="005C51D7"/>
    <w:rsid w:val="005C52DD"/>
    <w:rsid w:val="005D037C"/>
    <w:rsid w:val="005D039B"/>
    <w:rsid w:val="005D0577"/>
    <w:rsid w:val="005D1220"/>
    <w:rsid w:val="005D1235"/>
    <w:rsid w:val="005D14D0"/>
    <w:rsid w:val="005D242D"/>
    <w:rsid w:val="005D51EE"/>
    <w:rsid w:val="005D59FA"/>
    <w:rsid w:val="005D7BDB"/>
    <w:rsid w:val="005D7ED4"/>
    <w:rsid w:val="005E1D06"/>
    <w:rsid w:val="005E4370"/>
    <w:rsid w:val="005E5A17"/>
    <w:rsid w:val="005E777C"/>
    <w:rsid w:val="005F08A2"/>
    <w:rsid w:val="005F331D"/>
    <w:rsid w:val="005F3DE7"/>
    <w:rsid w:val="005F4823"/>
    <w:rsid w:val="005F4E46"/>
    <w:rsid w:val="005F72A2"/>
    <w:rsid w:val="005F755E"/>
    <w:rsid w:val="005F7C00"/>
    <w:rsid w:val="00600191"/>
    <w:rsid w:val="00602FAD"/>
    <w:rsid w:val="00603019"/>
    <w:rsid w:val="00603422"/>
    <w:rsid w:val="00604E26"/>
    <w:rsid w:val="006072C7"/>
    <w:rsid w:val="00612038"/>
    <w:rsid w:val="006124A5"/>
    <w:rsid w:val="00613911"/>
    <w:rsid w:val="00614193"/>
    <w:rsid w:val="00614434"/>
    <w:rsid w:val="00616524"/>
    <w:rsid w:val="0061709D"/>
    <w:rsid w:val="00623218"/>
    <w:rsid w:val="00623881"/>
    <w:rsid w:val="006240CC"/>
    <w:rsid w:val="00624863"/>
    <w:rsid w:val="00625A1A"/>
    <w:rsid w:val="00626BF9"/>
    <w:rsid w:val="0062770A"/>
    <w:rsid w:val="0063032C"/>
    <w:rsid w:val="00631E0E"/>
    <w:rsid w:val="00633545"/>
    <w:rsid w:val="0063491C"/>
    <w:rsid w:val="00635733"/>
    <w:rsid w:val="00636366"/>
    <w:rsid w:val="00641162"/>
    <w:rsid w:val="00643903"/>
    <w:rsid w:val="00643E72"/>
    <w:rsid w:val="006444D4"/>
    <w:rsid w:val="006449D0"/>
    <w:rsid w:val="00647078"/>
    <w:rsid w:val="006504B0"/>
    <w:rsid w:val="0065225D"/>
    <w:rsid w:val="00653F10"/>
    <w:rsid w:val="006540F0"/>
    <w:rsid w:val="00654D8C"/>
    <w:rsid w:val="006568EE"/>
    <w:rsid w:val="006601BA"/>
    <w:rsid w:val="00664261"/>
    <w:rsid w:val="00664296"/>
    <w:rsid w:val="00665580"/>
    <w:rsid w:val="006660DB"/>
    <w:rsid w:val="00666133"/>
    <w:rsid w:val="006676B2"/>
    <w:rsid w:val="00670787"/>
    <w:rsid w:val="00673875"/>
    <w:rsid w:val="0067479F"/>
    <w:rsid w:val="00675C8E"/>
    <w:rsid w:val="006760E7"/>
    <w:rsid w:val="0067753E"/>
    <w:rsid w:val="00683849"/>
    <w:rsid w:val="0068589B"/>
    <w:rsid w:val="00687613"/>
    <w:rsid w:val="00687C41"/>
    <w:rsid w:val="006900E8"/>
    <w:rsid w:val="006908B4"/>
    <w:rsid w:val="00691004"/>
    <w:rsid w:val="00691CD5"/>
    <w:rsid w:val="00692E8C"/>
    <w:rsid w:val="00697607"/>
    <w:rsid w:val="006A0F9E"/>
    <w:rsid w:val="006A3DC8"/>
    <w:rsid w:val="006A3EE7"/>
    <w:rsid w:val="006A7CB7"/>
    <w:rsid w:val="006B5B2D"/>
    <w:rsid w:val="006B6A9D"/>
    <w:rsid w:val="006B6C2B"/>
    <w:rsid w:val="006B7755"/>
    <w:rsid w:val="006C3CFE"/>
    <w:rsid w:val="006C75A8"/>
    <w:rsid w:val="006C7ABE"/>
    <w:rsid w:val="006D4267"/>
    <w:rsid w:val="006D460B"/>
    <w:rsid w:val="006E0920"/>
    <w:rsid w:val="006E09B1"/>
    <w:rsid w:val="006E2953"/>
    <w:rsid w:val="006E3BB1"/>
    <w:rsid w:val="006E44C3"/>
    <w:rsid w:val="006E54E7"/>
    <w:rsid w:val="006E7A2A"/>
    <w:rsid w:val="006F1D1B"/>
    <w:rsid w:val="006F38F2"/>
    <w:rsid w:val="006F4190"/>
    <w:rsid w:val="006F4F1D"/>
    <w:rsid w:val="006F6D08"/>
    <w:rsid w:val="006F702A"/>
    <w:rsid w:val="007006EA"/>
    <w:rsid w:val="007007F3"/>
    <w:rsid w:val="00701F98"/>
    <w:rsid w:val="007042FD"/>
    <w:rsid w:val="00705791"/>
    <w:rsid w:val="007125EA"/>
    <w:rsid w:val="0071377B"/>
    <w:rsid w:val="00716BF3"/>
    <w:rsid w:val="007212C3"/>
    <w:rsid w:val="0072244E"/>
    <w:rsid w:val="007268EE"/>
    <w:rsid w:val="0072715F"/>
    <w:rsid w:val="00731A9C"/>
    <w:rsid w:val="00731B0B"/>
    <w:rsid w:val="0073204E"/>
    <w:rsid w:val="007322BA"/>
    <w:rsid w:val="00734271"/>
    <w:rsid w:val="00740F85"/>
    <w:rsid w:val="00743249"/>
    <w:rsid w:val="00747A9F"/>
    <w:rsid w:val="00747ABC"/>
    <w:rsid w:val="007501A0"/>
    <w:rsid w:val="007506B6"/>
    <w:rsid w:val="00755A52"/>
    <w:rsid w:val="007560B5"/>
    <w:rsid w:val="00760809"/>
    <w:rsid w:val="00760BC8"/>
    <w:rsid w:val="0076162B"/>
    <w:rsid w:val="00761F9A"/>
    <w:rsid w:val="00762DF3"/>
    <w:rsid w:val="007635E4"/>
    <w:rsid w:val="00763A02"/>
    <w:rsid w:val="00765327"/>
    <w:rsid w:val="00765508"/>
    <w:rsid w:val="007663E0"/>
    <w:rsid w:val="00767D9A"/>
    <w:rsid w:val="00772383"/>
    <w:rsid w:val="00775382"/>
    <w:rsid w:val="00776842"/>
    <w:rsid w:val="00791E3C"/>
    <w:rsid w:val="00794425"/>
    <w:rsid w:val="0079511C"/>
    <w:rsid w:val="00797D9C"/>
    <w:rsid w:val="007A2119"/>
    <w:rsid w:val="007A4501"/>
    <w:rsid w:val="007A4FA5"/>
    <w:rsid w:val="007A585E"/>
    <w:rsid w:val="007A659C"/>
    <w:rsid w:val="007B1D8B"/>
    <w:rsid w:val="007B4559"/>
    <w:rsid w:val="007C35A0"/>
    <w:rsid w:val="007C412E"/>
    <w:rsid w:val="007C78B1"/>
    <w:rsid w:val="007D1B80"/>
    <w:rsid w:val="007D3B0F"/>
    <w:rsid w:val="007D4502"/>
    <w:rsid w:val="007D45A7"/>
    <w:rsid w:val="007D6549"/>
    <w:rsid w:val="007D6779"/>
    <w:rsid w:val="007E6EB9"/>
    <w:rsid w:val="007F092F"/>
    <w:rsid w:val="007F2255"/>
    <w:rsid w:val="007F2D35"/>
    <w:rsid w:val="007F2D68"/>
    <w:rsid w:val="007F4CBE"/>
    <w:rsid w:val="007F6924"/>
    <w:rsid w:val="00806AB0"/>
    <w:rsid w:val="00806E9D"/>
    <w:rsid w:val="0080754C"/>
    <w:rsid w:val="00807870"/>
    <w:rsid w:val="00810FE1"/>
    <w:rsid w:val="00813635"/>
    <w:rsid w:val="00816CFD"/>
    <w:rsid w:val="008177DF"/>
    <w:rsid w:val="00821AC2"/>
    <w:rsid w:val="00821B4B"/>
    <w:rsid w:val="0082500C"/>
    <w:rsid w:val="008259CE"/>
    <w:rsid w:val="008269F5"/>
    <w:rsid w:val="00827134"/>
    <w:rsid w:val="0082721B"/>
    <w:rsid w:val="00827364"/>
    <w:rsid w:val="0082794E"/>
    <w:rsid w:val="00827DB8"/>
    <w:rsid w:val="0083113A"/>
    <w:rsid w:val="00833C8B"/>
    <w:rsid w:val="00833F0F"/>
    <w:rsid w:val="00834892"/>
    <w:rsid w:val="00834CD3"/>
    <w:rsid w:val="008357AF"/>
    <w:rsid w:val="00835A63"/>
    <w:rsid w:val="00836E57"/>
    <w:rsid w:val="00837E38"/>
    <w:rsid w:val="00842E87"/>
    <w:rsid w:val="008443D2"/>
    <w:rsid w:val="00844781"/>
    <w:rsid w:val="008449A1"/>
    <w:rsid w:val="0084507C"/>
    <w:rsid w:val="00845A59"/>
    <w:rsid w:val="00845BD6"/>
    <w:rsid w:val="00846297"/>
    <w:rsid w:val="00847266"/>
    <w:rsid w:val="00847586"/>
    <w:rsid w:val="00847AAA"/>
    <w:rsid w:val="008500D6"/>
    <w:rsid w:val="0085057C"/>
    <w:rsid w:val="00851BB0"/>
    <w:rsid w:val="00852292"/>
    <w:rsid w:val="00853C84"/>
    <w:rsid w:val="00854FF9"/>
    <w:rsid w:val="00856CEE"/>
    <w:rsid w:val="00857367"/>
    <w:rsid w:val="00857816"/>
    <w:rsid w:val="0086026B"/>
    <w:rsid w:val="008602E7"/>
    <w:rsid w:val="0086036D"/>
    <w:rsid w:val="00861616"/>
    <w:rsid w:val="00861AD4"/>
    <w:rsid w:val="00861B2C"/>
    <w:rsid w:val="008620EA"/>
    <w:rsid w:val="008626C7"/>
    <w:rsid w:val="008643FC"/>
    <w:rsid w:val="00864E77"/>
    <w:rsid w:val="008660FA"/>
    <w:rsid w:val="00870408"/>
    <w:rsid w:val="008727DB"/>
    <w:rsid w:val="008730BC"/>
    <w:rsid w:val="0087478D"/>
    <w:rsid w:val="00875D00"/>
    <w:rsid w:val="00875E51"/>
    <w:rsid w:val="00876364"/>
    <w:rsid w:val="00880416"/>
    <w:rsid w:val="00880B80"/>
    <w:rsid w:val="00880EA7"/>
    <w:rsid w:val="00883BDC"/>
    <w:rsid w:val="00883D24"/>
    <w:rsid w:val="0088407E"/>
    <w:rsid w:val="008856EE"/>
    <w:rsid w:val="00885D21"/>
    <w:rsid w:val="0088630B"/>
    <w:rsid w:val="008915F5"/>
    <w:rsid w:val="008917B1"/>
    <w:rsid w:val="00893D45"/>
    <w:rsid w:val="008968FC"/>
    <w:rsid w:val="008A0CCD"/>
    <w:rsid w:val="008A1889"/>
    <w:rsid w:val="008A2FF2"/>
    <w:rsid w:val="008A35D6"/>
    <w:rsid w:val="008A406E"/>
    <w:rsid w:val="008A4D98"/>
    <w:rsid w:val="008A57B8"/>
    <w:rsid w:val="008A6411"/>
    <w:rsid w:val="008B0356"/>
    <w:rsid w:val="008B0D5C"/>
    <w:rsid w:val="008B172B"/>
    <w:rsid w:val="008B2271"/>
    <w:rsid w:val="008B25EC"/>
    <w:rsid w:val="008B2E12"/>
    <w:rsid w:val="008B5527"/>
    <w:rsid w:val="008B6F1D"/>
    <w:rsid w:val="008B70F2"/>
    <w:rsid w:val="008C05BC"/>
    <w:rsid w:val="008C20DE"/>
    <w:rsid w:val="008C3127"/>
    <w:rsid w:val="008C387A"/>
    <w:rsid w:val="008C3C3D"/>
    <w:rsid w:val="008C45C6"/>
    <w:rsid w:val="008C5F9B"/>
    <w:rsid w:val="008C7487"/>
    <w:rsid w:val="008D0D61"/>
    <w:rsid w:val="008D3354"/>
    <w:rsid w:val="008D357C"/>
    <w:rsid w:val="008D3608"/>
    <w:rsid w:val="008D436C"/>
    <w:rsid w:val="008D45A9"/>
    <w:rsid w:val="008E10CA"/>
    <w:rsid w:val="008E2AE9"/>
    <w:rsid w:val="008E3673"/>
    <w:rsid w:val="008E41AC"/>
    <w:rsid w:val="008E624C"/>
    <w:rsid w:val="008E74A3"/>
    <w:rsid w:val="008F2303"/>
    <w:rsid w:val="008F244E"/>
    <w:rsid w:val="008F31D8"/>
    <w:rsid w:val="008F3BC2"/>
    <w:rsid w:val="008F6532"/>
    <w:rsid w:val="008F70C0"/>
    <w:rsid w:val="008F7B41"/>
    <w:rsid w:val="00900228"/>
    <w:rsid w:val="00901B2A"/>
    <w:rsid w:val="00902EF5"/>
    <w:rsid w:val="00903CFB"/>
    <w:rsid w:val="00906493"/>
    <w:rsid w:val="00907AD3"/>
    <w:rsid w:val="009100B1"/>
    <w:rsid w:val="00910E6C"/>
    <w:rsid w:val="0091174B"/>
    <w:rsid w:val="009121D5"/>
    <w:rsid w:val="00912C23"/>
    <w:rsid w:val="00912C6A"/>
    <w:rsid w:val="0091360D"/>
    <w:rsid w:val="00914382"/>
    <w:rsid w:val="009158E1"/>
    <w:rsid w:val="009169C3"/>
    <w:rsid w:val="00916FF1"/>
    <w:rsid w:val="00917FE8"/>
    <w:rsid w:val="009208D9"/>
    <w:rsid w:val="00922568"/>
    <w:rsid w:val="00922EE3"/>
    <w:rsid w:val="009261F5"/>
    <w:rsid w:val="009262B9"/>
    <w:rsid w:val="00927599"/>
    <w:rsid w:val="00934228"/>
    <w:rsid w:val="00934E9A"/>
    <w:rsid w:val="00937FC2"/>
    <w:rsid w:val="0094000C"/>
    <w:rsid w:val="00941DDE"/>
    <w:rsid w:val="00942125"/>
    <w:rsid w:val="009429EE"/>
    <w:rsid w:val="00942C86"/>
    <w:rsid w:val="00944AF9"/>
    <w:rsid w:val="009505A3"/>
    <w:rsid w:val="009506C2"/>
    <w:rsid w:val="00950A4E"/>
    <w:rsid w:val="009530A6"/>
    <w:rsid w:val="00954219"/>
    <w:rsid w:val="009547EB"/>
    <w:rsid w:val="00954DA1"/>
    <w:rsid w:val="0095550A"/>
    <w:rsid w:val="0095668E"/>
    <w:rsid w:val="0095723C"/>
    <w:rsid w:val="009640B2"/>
    <w:rsid w:val="0096525B"/>
    <w:rsid w:val="0096652F"/>
    <w:rsid w:val="00966C5C"/>
    <w:rsid w:val="0096750A"/>
    <w:rsid w:val="0097116E"/>
    <w:rsid w:val="009734C6"/>
    <w:rsid w:val="00975768"/>
    <w:rsid w:val="00975AFD"/>
    <w:rsid w:val="00975C12"/>
    <w:rsid w:val="00976D99"/>
    <w:rsid w:val="00976F58"/>
    <w:rsid w:val="00981185"/>
    <w:rsid w:val="00984D69"/>
    <w:rsid w:val="0098558F"/>
    <w:rsid w:val="0099038C"/>
    <w:rsid w:val="0099050E"/>
    <w:rsid w:val="00993099"/>
    <w:rsid w:val="00996026"/>
    <w:rsid w:val="00996579"/>
    <w:rsid w:val="009A088B"/>
    <w:rsid w:val="009A1A38"/>
    <w:rsid w:val="009A1A3F"/>
    <w:rsid w:val="009A302F"/>
    <w:rsid w:val="009A330E"/>
    <w:rsid w:val="009A4D9D"/>
    <w:rsid w:val="009A56DF"/>
    <w:rsid w:val="009A578C"/>
    <w:rsid w:val="009A62B9"/>
    <w:rsid w:val="009A6AA2"/>
    <w:rsid w:val="009A7D34"/>
    <w:rsid w:val="009B0817"/>
    <w:rsid w:val="009B0F9E"/>
    <w:rsid w:val="009B3DFB"/>
    <w:rsid w:val="009B5EAF"/>
    <w:rsid w:val="009B7B62"/>
    <w:rsid w:val="009B7D33"/>
    <w:rsid w:val="009C0E6D"/>
    <w:rsid w:val="009C2B70"/>
    <w:rsid w:val="009C2FFB"/>
    <w:rsid w:val="009C3C43"/>
    <w:rsid w:val="009C482E"/>
    <w:rsid w:val="009C4928"/>
    <w:rsid w:val="009C6E56"/>
    <w:rsid w:val="009C726F"/>
    <w:rsid w:val="009D2E20"/>
    <w:rsid w:val="009D6221"/>
    <w:rsid w:val="009D7AC0"/>
    <w:rsid w:val="009E0506"/>
    <w:rsid w:val="009E1817"/>
    <w:rsid w:val="009E2EA0"/>
    <w:rsid w:val="009E598C"/>
    <w:rsid w:val="009E6111"/>
    <w:rsid w:val="009F0F0C"/>
    <w:rsid w:val="009F1514"/>
    <w:rsid w:val="009F18BB"/>
    <w:rsid w:val="009F2068"/>
    <w:rsid w:val="009F227F"/>
    <w:rsid w:val="009F418D"/>
    <w:rsid w:val="009F66EB"/>
    <w:rsid w:val="00A00716"/>
    <w:rsid w:val="00A01541"/>
    <w:rsid w:val="00A017D0"/>
    <w:rsid w:val="00A022FE"/>
    <w:rsid w:val="00A02D6E"/>
    <w:rsid w:val="00A0368C"/>
    <w:rsid w:val="00A03EE1"/>
    <w:rsid w:val="00A04BCA"/>
    <w:rsid w:val="00A05A71"/>
    <w:rsid w:val="00A07EA4"/>
    <w:rsid w:val="00A1029B"/>
    <w:rsid w:val="00A13455"/>
    <w:rsid w:val="00A143EF"/>
    <w:rsid w:val="00A14AE3"/>
    <w:rsid w:val="00A14FF9"/>
    <w:rsid w:val="00A16394"/>
    <w:rsid w:val="00A17CB9"/>
    <w:rsid w:val="00A229A2"/>
    <w:rsid w:val="00A22B81"/>
    <w:rsid w:val="00A25B13"/>
    <w:rsid w:val="00A27BCA"/>
    <w:rsid w:val="00A37024"/>
    <w:rsid w:val="00A376DE"/>
    <w:rsid w:val="00A40E5E"/>
    <w:rsid w:val="00A42E96"/>
    <w:rsid w:val="00A431A4"/>
    <w:rsid w:val="00A44ABE"/>
    <w:rsid w:val="00A457C9"/>
    <w:rsid w:val="00A461C0"/>
    <w:rsid w:val="00A46C94"/>
    <w:rsid w:val="00A46ED4"/>
    <w:rsid w:val="00A54B88"/>
    <w:rsid w:val="00A554D2"/>
    <w:rsid w:val="00A55738"/>
    <w:rsid w:val="00A56242"/>
    <w:rsid w:val="00A60F56"/>
    <w:rsid w:val="00A61F81"/>
    <w:rsid w:val="00A624BF"/>
    <w:rsid w:val="00A637EE"/>
    <w:rsid w:val="00A63A9A"/>
    <w:rsid w:val="00A70744"/>
    <w:rsid w:val="00A737AE"/>
    <w:rsid w:val="00A74676"/>
    <w:rsid w:val="00A769D9"/>
    <w:rsid w:val="00A80C52"/>
    <w:rsid w:val="00A866BE"/>
    <w:rsid w:val="00A869F9"/>
    <w:rsid w:val="00A948C7"/>
    <w:rsid w:val="00A97665"/>
    <w:rsid w:val="00AA0918"/>
    <w:rsid w:val="00AA21FB"/>
    <w:rsid w:val="00AA3EB7"/>
    <w:rsid w:val="00AB0547"/>
    <w:rsid w:val="00AB08B0"/>
    <w:rsid w:val="00AB23C8"/>
    <w:rsid w:val="00AB2517"/>
    <w:rsid w:val="00AB6AAE"/>
    <w:rsid w:val="00AC02E6"/>
    <w:rsid w:val="00AC053D"/>
    <w:rsid w:val="00AC258F"/>
    <w:rsid w:val="00AC61D1"/>
    <w:rsid w:val="00AC62CE"/>
    <w:rsid w:val="00AC7D42"/>
    <w:rsid w:val="00AD1EF1"/>
    <w:rsid w:val="00AD509F"/>
    <w:rsid w:val="00AD6035"/>
    <w:rsid w:val="00AD6782"/>
    <w:rsid w:val="00AD6D32"/>
    <w:rsid w:val="00AE0BCB"/>
    <w:rsid w:val="00AE239C"/>
    <w:rsid w:val="00AE36D8"/>
    <w:rsid w:val="00AE3C39"/>
    <w:rsid w:val="00AE471B"/>
    <w:rsid w:val="00AE55AE"/>
    <w:rsid w:val="00AE72A4"/>
    <w:rsid w:val="00AE764D"/>
    <w:rsid w:val="00AE7A84"/>
    <w:rsid w:val="00AF0785"/>
    <w:rsid w:val="00AF0926"/>
    <w:rsid w:val="00AF0DC7"/>
    <w:rsid w:val="00AF19E5"/>
    <w:rsid w:val="00AF252C"/>
    <w:rsid w:val="00AF39E8"/>
    <w:rsid w:val="00AF6D09"/>
    <w:rsid w:val="00AF7E02"/>
    <w:rsid w:val="00B057B5"/>
    <w:rsid w:val="00B10A0E"/>
    <w:rsid w:val="00B132AC"/>
    <w:rsid w:val="00B14AF1"/>
    <w:rsid w:val="00B16DE7"/>
    <w:rsid w:val="00B1740B"/>
    <w:rsid w:val="00B20320"/>
    <w:rsid w:val="00B23C43"/>
    <w:rsid w:val="00B23C50"/>
    <w:rsid w:val="00B248A3"/>
    <w:rsid w:val="00B26788"/>
    <w:rsid w:val="00B26B8E"/>
    <w:rsid w:val="00B3386F"/>
    <w:rsid w:val="00B41744"/>
    <w:rsid w:val="00B42759"/>
    <w:rsid w:val="00B5120C"/>
    <w:rsid w:val="00B524F5"/>
    <w:rsid w:val="00B53A66"/>
    <w:rsid w:val="00B5414F"/>
    <w:rsid w:val="00B55173"/>
    <w:rsid w:val="00B569A5"/>
    <w:rsid w:val="00B57B22"/>
    <w:rsid w:val="00B61426"/>
    <w:rsid w:val="00B616C8"/>
    <w:rsid w:val="00B62E29"/>
    <w:rsid w:val="00B639D5"/>
    <w:rsid w:val="00B65088"/>
    <w:rsid w:val="00B65A5E"/>
    <w:rsid w:val="00B703C7"/>
    <w:rsid w:val="00B711E3"/>
    <w:rsid w:val="00B74491"/>
    <w:rsid w:val="00B77467"/>
    <w:rsid w:val="00B80017"/>
    <w:rsid w:val="00B81E77"/>
    <w:rsid w:val="00B8242F"/>
    <w:rsid w:val="00B84860"/>
    <w:rsid w:val="00B84A46"/>
    <w:rsid w:val="00B870E3"/>
    <w:rsid w:val="00B87247"/>
    <w:rsid w:val="00B877D1"/>
    <w:rsid w:val="00B90B60"/>
    <w:rsid w:val="00B92A34"/>
    <w:rsid w:val="00B941D0"/>
    <w:rsid w:val="00B942DF"/>
    <w:rsid w:val="00B94CB7"/>
    <w:rsid w:val="00B962B7"/>
    <w:rsid w:val="00B973DF"/>
    <w:rsid w:val="00BA32E9"/>
    <w:rsid w:val="00BA53B3"/>
    <w:rsid w:val="00BB0F75"/>
    <w:rsid w:val="00BB1625"/>
    <w:rsid w:val="00BB1D26"/>
    <w:rsid w:val="00BC2435"/>
    <w:rsid w:val="00BC2461"/>
    <w:rsid w:val="00BC290A"/>
    <w:rsid w:val="00BC3A9B"/>
    <w:rsid w:val="00BD0820"/>
    <w:rsid w:val="00BD2FA6"/>
    <w:rsid w:val="00BD395F"/>
    <w:rsid w:val="00BD6FAC"/>
    <w:rsid w:val="00BE088D"/>
    <w:rsid w:val="00BE0A75"/>
    <w:rsid w:val="00BE6DEE"/>
    <w:rsid w:val="00BF0D2E"/>
    <w:rsid w:val="00BF15EC"/>
    <w:rsid w:val="00BF74B5"/>
    <w:rsid w:val="00C01153"/>
    <w:rsid w:val="00C0193A"/>
    <w:rsid w:val="00C0296A"/>
    <w:rsid w:val="00C10E37"/>
    <w:rsid w:val="00C115BD"/>
    <w:rsid w:val="00C11D52"/>
    <w:rsid w:val="00C12574"/>
    <w:rsid w:val="00C126D5"/>
    <w:rsid w:val="00C1296E"/>
    <w:rsid w:val="00C13413"/>
    <w:rsid w:val="00C160A8"/>
    <w:rsid w:val="00C238CF"/>
    <w:rsid w:val="00C245DB"/>
    <w:rsid w:val="00C3060F"/>
    <w:rsid w:val="00C30947"/>
    <w:rsid w:val="00C32E58"/>
    <w:rsid w:val="00C333B0"/>
    <w:rsid w:val="00C342EC"/>
    <w:rsid w:val="00C40CF4"/>
    <w:rsid w:val="00C41C09"/>
    <w:rsid w:val="00C43628"/>
    <w:rsid w:val="00C43854"/>
    <w:rsid w:val="00C43C74"/>
    <w:rsid w:val="00C44955"/>
    <w:rsid w:val="00C450B1"/>
    <w:rsid w:val="00C453EB"/>
    <w:rsid w:val="00C466B5"/>
    <w:rsid w:val="00C504EC"/>
    <w:rsid w:val="00C50F4F"/>
    <w:rsid w:val="00C51860"/>
    <w:rsid w:val="00C51C8A"/>
    <w:rsid w:val="00C53736"/>
    <w:rsid w:val="00C53878"/>
    <w:rsid w:val="00C634AE"/>
    <w:rsid w:val="00C63F1D"/>
    <w:rsid w:val="00C70524"/>
    <w:rsid w:val="00C74B84"/>
    <w:rsid w:val="00C7758E"/>
    <w:rsid w:val="00C8060A"/>
    <w:rsid w:val="00C820D0"/>
    <w:rsid w:val="00C82D3B"/>
    <w:rsid w:val="00C841B6"/>
    <w:rsid w:val="00C8758F"/>
    <w:rsid w:val="00C900F4"/>
    <w:rsid w:val="00C91110"/>
    <w:rsid w:val="00C91FF7"/>
    <w:rsid w:val="00C94B4F"/>
    <w:rsid w:val="00C9535E"/>
    <w:rsid w:val="00C9722C"/>
    <w:rsid w:val="00CA0886"/>
    <w:rsid w:val="00CA1608"/>
    <w:rsid w:val="00CA7CDA"/>
    <w:rsid w:val="00CA7FAA"/>
    <w:rsid w:val="00CB0C79"/>
    <w:rsid w:val="00CB16B9"/>
    <w:rsid w:val="00CB3844"/>
    <w:rsid w:val="00CB3E8F"/>
    <w:rsid w:val="00CB41DB"/>
    <w:rsid w:val="00CB42F6"/>
    <w:rsid w:val="00CB437D"/>
    <w:rsid w:val="00CB74C9"/>
    <w:rsid w:val="00CC2795"/>
    <w:rsid w:val="00CC3894"/>
    <w:rsid w:val="00CC3A9C"/>
    <w:rsid w:val="00CC5DD5"/>
    <w:rsid w:val="00CD26D2"/>
    <w:rsid w:val="00CD4100"/>
    <w:rsid w:val="00CD490F"/>
    <w:rsid w:val="00CD4FCD"/>
    <w:rsid w:val="00CD66ED"/>
    <w:rsid w:val="00CE072B"/>
    <w:rsid w:val="00CE203F"/>
    <w:rsid w:val="00CE211B"/>
    <w:rsid w:val="00CE5141"/>
    <w:rsid w:val="00CE703E"/>
    <w:rsid w:val="00CF12AC"/>
    <w:rsid w:val="00CF1540"/>
    <w:rsid w:val="00CF1E9A"/>
    <w:rsid w:val="00CF1F74"/>
    <w:rsid w:val="00CF2474"/>
    <w:rsid w:val="00CF25AD"/>
    <w:rsid w:val="00CF35EB"/>
    <w:rsid w:val="00CF4B8A"/>
    <w:rsid w:val="00CF71CE"/>
    <w:rsid w:val="00D016EE"/>
    <w:rsid w:val="00D01EAB"/>
    <w:rsid w:val="00D032CD"/>
    <w:rsid w:val="00D0339A"/>
    <w:rsid w:val="00D04D17"/>
    <w:rsid w:val="00D05069"/>
    <w:rsid w:val="00D05867"/>
    <w:rsid w:val="00D05A38"/>
    <w:rsid w:val="00D074ED"/>
    <w:rsid w:val="00D077B6"/>
    <w:rsid w:val="00D0794B"/>
    <w:rsid w:val="00D10B93"/>
    <w:rsid w:val="00D14F6B"/>
    <w:rsid w:val="00D157CC"/>
    <w:rsid w:val="00D1739C"/>
    <w:rsid w:val="00D17CC1"/>
    <w:rsid w:val="00D2269F"/>
    <w:rsid w:val="00D24DA2"/>
    <w:rsid w:val="00D2721B"/>
    <w:rsid w:val="00D30271"/>
    <w:rsid w:val="00D31806"/>
    <w:rsid w:val="00D32135"/>
    <w:rsid w:val="00D32CDD"/>
    <w:rsid w:val="00D3412E"/>
    <w:rsid w:val="00D353C7"/>
    <w:rsid w:val="00D35DD7"/>
    <w:rsid w:val="00D37274"/>
    <w:rsid w:val="00D37AE5"/>
    <w:rsid w:val="00D4068F"/>
    <w:rsid w:val="00D4106D"/>
    <w:rsid w:val="00D42E63"/>
    <w:rsid w:val="00D46E90"/>
    <w:rsid w:val="00D50326"/>
    <w:rsid w:val="00D51D3C"/>
    <w:rsid w:val="00D5464E"/>
    <w:rsid w:val="00D54E5E"/>
    <w:rsid w:val="00D5569C"/>
    <w:rsid w:val="00D56934"/>
    <w:rsid w:val="00D57F6C"/>
    <w:rsid w:val="00D57FB0"/>
    <w:rsid w:val="00D602A5"/>
    <w:rsid w:val="00D60619"/>
    <w:rsid w:val="00D62226"/>
    <w:rsid w:val="00D63B51"/>
    <w:rsid w:val="00D642A9"/>
    <w:rsid w:val="00D6468C"/>
    <w:rsid w:val="00D64AD2"/>
    <w:rsid w:val="00D65CD5"/>
    <w:rsid w:val="00D672B7"/>
    <w:rsid w:val="00D70DD3"/>
    <w:rsid w:val="00D720C9"/>
    <w:rsid w:val="00D72F84"/>
    <w:rsid w:val="00D74AF0"/>
    <w:rsid w:val="00D75ADD"/>
    <w:rsid w:val="00D75D1A"/>
    <w:rsid w:val="00D7665B"/>
    <w:rsid w:val="00D76B86"/>
    <w:rsid w:val="00D76F46"/>
    <w:rsid w:val="00D77F04"/>
    <w:rsid w:val="00D817DA"/>
    <w:rsid w:val="00D81EC4"/>
    <w:rsid w:val="00D87173"/>
    <w:rsid w:val="00D87A67"/>
    <w:rsid w:val="00D908D5"/>
    <w:rsid w:val="00D9178C"/>
    <w:rsid w:val="00D91DE8"/>
    <w:rsid w:val="00D92306"/>
    <w:rsid w:val="00D9465B"/>
    <w:rsid w:val="00D95725"/>
    <w:rsid w:val="00D96533"/>
    <w:rsid w:val="00DA072B"/>
    <w:rsid w:val="00DA0CB2"/>
    <w:rsid w:val="00DA17C8"/>
    <w:rsid w:val="00DA1EBD"/>
    <w:rsid w:val="00DA31EE"/>
    <w:rsid w:val="00DA3CAF"/>
    <w:rsid w:val="00DA40C9"/>
    <w:rsid w:val="00DA47B9"/>
    <w:rsid w:val="00DA4801"/>
    <w:rsid w:val="00DA610C"/>
    <w:rsid w:val="00DB010F"/>
    <w:rsid w:val="00DB0359"/>
    <w:rsid w:val="00DB3223"/>
    <w:rsid w:val="00DB3F84"/>
    <w:rsid w:val="00DB547E"/>
    <w:rsid w:val="00DB54BA"/>
    <w:rsid w:val="00DB620B"/>
    <w:rsid w:val="00DC1394"/>
    <w:rsid w:val="00DC21D2"/>
    <w:rsid w:val="00DC347F"/>
    <w:rsid w:val="00DC5A45"/>
    <w:rsid w:val="00DC7F59"/>
    <w:rsid w:val="00DC7FB5"/>
    <w:rsid w:val="00DD242B"/>
    <w:rsid w:val="00DD28CA"/>
    <w:rsid w:val="00DD618F"/>
    <w:rsid w:val="00DD677A"/>
    <w:rsid w:val="00DD7D9A"/>
    <w:rsid w:val="00DE000C"/>
    <w:rsid w:val="00DE0FAA"/>
    <w:rsid w:val="00DE17A1"/>
    <w:rsid w:val="00DE1D24"/>
    <w:rsid w:val="00DE2D0A"/>
    <w:rsid w:val="00DE748E"/>
    <w:rsid w:val="00DE75CD"/>
    <w:rsid w:val="00DF01D6"/>
    <w:rsid w:val="00DF0A95"/>
    <w:rsid w:val="00DF1D0A"/>
    <w:rsid w:val="00DF1E8B"/>
    <w:rsid w:val="00DF2291"/>
    <w:rsid w:val="00DF2477"/>
    <w:rsid w:val="00DF3F71"/>
    <w:rsid w:val="00DF6472"/>
    <w:rsid w:val="00DF7001"/>
    <w:rsid w:val="00DF7B66"/>
    <w:rsid w:val="00E01946"/>
    <w:rsid w:val="00E021C2"/>
    <w:rsid w:val="00E02F2A"/>
    <w:rsid w:val="00E04446"/>
    <w:rsid w:val="00E05284"/>
    <w:rsid w:val="00E07F14"/>
    <w:rsid w:val="00E107DF"/>
    <w:rsid w:val="00E10868"/>
    <w:rsid w:val="00E120CA"/>
    <w:rsid w:val="00E2075C"/>
    <w:rsid w:val="00E2091E"/>
    <w:rsid w:val="00E20C60"/>
    <w:rsid w:val="00E20CE5"/>
    <w:rsid w:val="00E2156F"/>
    <w:rsid w:val="00E23235"/>
    <w:rsid w:val="00E23845"/>
    <w:rsid w:val="00E2515B"/>
    <w:rsid w:val="00E2615B"/>
    <w:rsid w:val="00E2678B"/>
    <w:rsid w:val="00E30FCF"/>
    <w:rsid w:val="00E32294"/>
    <w:rsid w:val="00E32A42"/>
    <w:rsid w:val="00E33467"/>
    <w:rsid w:val="00E3566A"/>
    <w:rsid w:val="00E40EE6"/>
    <w:rsid w:val="00E4202E"/>
    <w:rsid w:val="00E42BBB"/>
    <w:rsid w:val="00E432C7"/>
    <w:rsid w:val="00E45348"/>
    <w:rsid w:val="00E46A96"/>
    <w:rsid w:val="00E46DAF"/>
    <w:rsid w:val="00E54460"/>
    <w:rsid w:val="00E54ED5"/>
    <w:rsid w:val="00E55F9B"/>
    <w:rsid w:val="00E57841"/>
    <w:rsid w:val="00E6016C"/>
    <w:rsid w:val="00E603BE"/>
    <w:rsid w:val="00E60875"/>
    <w:rsid w:val="00E60CB1"/>
    <w:rsid w:val="00E638F7"/>
    <w:rsid w:val="00E65496"/>
    <w:rsid w:val="00E66A78"/>
    <w:rsid w:val="00E67ADB"/>
    <w:rsid w:val="00E70502"/>
    <w:rsid w:val="00E71C1E"/>
    <w:rsid w:val="00E739DC"/>
    <w:rsid w:val="00E73A51"/>
    <w:rsid w:val="00E7467A"/>
    <w:rsid w:val="00E74AFA"/>
    <w:rsid w:val="00E76D36"/>
    <w:rsid w:val="00E8059E"/>
    <w:rsid w:val="00E80688"/>
    <w:rsid w:val="00E825E0"/>
    <w:rsid w:val="00E828F4"/>
    <w:rsid w:val="00E84376"/>
    <w:rsid w:val="00E85FA2"/>
    <w:rsid w:val="00E86032"/>
    <w:rsid w:val="00E87879"/>
    <w:rsid w:val="00E94D32"/>
    <w:rsid w:val="00EA0093"/>
    <w:rsid w:val="00EA7A2F"/>
    <w:rsid w:val="00EA7E2E"/>
    <w:rsid w:val="00EB0C15"/>
    <w:rsid w:val="00EB2458"/>
    <w:rsid w:val="00EB44C6"/>
    <w:rsid w:val="00EC036B"/>
    <w:rsid w:val="00EC1BC1"/>
    <w:rsid w:val="00EC7048"/>
    <w:rsid w:val="00EC7556"/>
    <w:rsid w:val="00ED135B"/>
    <w:rsid w:val="00EE131E"/>
    <w:rsid w:val="00EE1D6E"/>
    <w:rsid w:val="00EE5A2F"/>
    <w:rsid w:val="00EE6E75"/>
    <w:rsid w:val="00EF0BCD"/>
    <w:rsid w:val="00EF1258"/>
    <w:rsid w:val="00EF1DEE"/>
    <w:rsid w:val="00EF2414"/>
    <w:rsid w:val="00F01839"/>
    <w:rsid w:val="00F0238B"/>
    <w:rsid w:val="00F04C8F"/>
    <w:rsid w:val="00F05B0C"/>
    <w:rsid w:val="00F11D0B"/>
    <w:rsid w:val="00F1286F"/>
    <w:rsid w:val="00F13087"/>
    <w:rsid w:val="00F14E6F"/>
    <w:rsid w:val="00F1655F"/>
    <w:rsid w:val="00F16789"/>
    <w:rsid w:val="00F17F60"/>
    <w:rsid w:val="00F223C3"/>
    <w:rsid w:val="00F245B4"/>
    <w:rsid w:val="00F25D90"/>
    <w:rsid w:val="00F2626B"/>
    <w:rsid w:val="00F2666D"/>
    <w:rsid w:val="00F26E51"/>
    <w:rsid w:val="00F34BA2"/>
    <w:rsid w:val="00F34C0A"/>
    <w:rsid w:val="00F37DC8"/>
    <w:rsid w:val="00F4160F"/>
    <w:rsid w:val="00F428E3"/>
    <w:rsid w:val="00F47E17"/>
    <w:rsid w:val="00F51EC4"/>
    <w:rsid w:val="00F53000"/>
    <w:rsid w:val="00F53223"/>
    <w:rsid w:val="00F574DC"/>
    <w:rsid w:val="00F57846"/>
    <w:rsid w:val="00F60632"/>
    <w:rsid w:val="00F61C34"/>
    <w:rsid w:val="00F61DC6"/>
    <w:rsid w:val="00F61E8C"/>
    <w:rsid w:val="00F62A4F"/>
    <w:rsid w:val="00F64313"/>
    <w:rsid w:val="00F644B0"/>
    <w:rsid w:val="00F6602C"/>
    <w:rsid w:val="00F66984"/>
    <w:rsid w:val="00F67186"/>
    <w:rsid w:val="00F6789F"/>
    <w:rsid w:val="00F67FB3"/>
    <w:rsid w:val="00F73CEB"/>
    <w:rsid w:val="00F77673"/>
    <w:rsid w:val="00F80065"/>
    <w:rsid w:val="00F803AB"/>
    <w:rsid w:val="00F8090E"/>
    <w:rsid w:val="00F81AB8"/>
    <w:rsid w:val="00F81B82"/>
    <w:rsid w:val="00F82106"/>
    <w:rsid w:val="00F826FE"/>
    <w:rsid w:val="00F86BE6"/>
    <w:rsid w:val="00F87C02"/>
    <w:rsid w:val="00F902FA"/>
    <w:rsid w:val="00F90A84"/>
    <w:rsid w:val="00F92432"/>
    <w:rsid w:val="00F93CCD"/>
    <w:rsid w:val="00F93D29"/>
    <w:rsid w:val="00F9427B"/>
    <w:rsid w:val="00F950F1"/>
    <w:rsid w:val="00F9655F"/>
    <w:rsid w:val="00F976AD"/>
    <w:rsid w:val="00F9789E"/>
    <w:rsid w:val="00FA0937"/>
    <w:rsid w:val="00FA0BFF"/>
    <w:rsid w:val="00FA1CAA"/>
    <w:rsid w:val="00FA2A06"/>
    <w:rsid w:val="00FA3F2C"/>
    <w:rsid w:val="00FA51E4"/>
    <w:rsid w:val="00FB0047"/>
    <w:rsid w:val="00FB01A3"/>
    <w:rsid w:val="00FB0F83"/>
    <w:rsid w:val="00FB424A"/>
    <w:rsid w:val="00FC02DE"/>
    <w:rsid w:val="00FC11F6"/>
    <w:rsid w:val="00FC1F58"/>
    <w:rsid w:val="00FC31A9"/>
    <w:rsid w:val="00FC3B1D"/>
    <w:rsid w:val="00FC702E"/>
    <w:rsid w:val="00FC7467"/>
    <w:rsid w:val="00FC76DD"/>
    <w:rsid w:val="00FD14CA"/>
    <w:rsid w:val="00FD1DD7"/>
    <w:rsid w:val="00FD2910"/>
    <w:rsid w:val="00FD741E"/>
    <w:rsid w:val="00FE07D4"/>
    <w:rsid w:val="00FE14C5"/>
    <w:rsid w:val="00FE683E"/>
    <w:rsid w:val="00FF1204"/>
    <w:rsid w:val="00FF1355"/>
    <w:rsid w:val="00FF226D"/>
    <w:rsid w:val="00FF38D1"/>
    <w:rsid w:val="00FF3E08"/>
    <w:rsid w:val="00FF3EB6"/>
    <w:rsid w:val="00FF41A1"/>
    <w:rsid w:val="00FF4C9B"/>
    <w:rsid w:val="00FF5990"/>
    <w:rsid w:val="00FF631B"/>
    <w:rsid w:val="00FF6EF9"/>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41554571">
      <w:bodyDiv w:val="1"/>
      <w:marLeft w:val="0"/>
      <w:marRight w:val="0"/>
      <w:marTop w:val="0"/>
      <w:marBottom w:val="0"/>
      <w:divBdr>
        <w:top w:val="none" w:sz="0" w:space="0" w:color="auto"/>
        <w:left w:val="none" w:sz="0" w:space="0" w:color="auto"/>
        <w:bottom w:val="none" w:sz="0" w:space="0" w:color="auto"/>
        <w:right w:val="none" w:sz="0" w:space="0" w:color="auto"/>
      </w:divBdr>
    </w:div>
    <w:div w:id="895776009">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404713708">
      <w:bodyDiv w:val="1"/>
      <w:marLeft w:val="0"/>
      <w:marRight w:val="0"/>
      <w:marTop w:val="0"/>
      <w:marBottom w:val="0"/>
      <w:divBdr>
        <w:top w:val="none" w:sz="0" w:space="0" w:color="auto"/>
        <w:left w:val="none" w:sz="0" w:space="0" w:color="auto"/>
        <w:bottom w:val="none" w:sz="0" w:space="0" w:color="auto"/>
        <w:right w:val="none" w:sz="0" w:space="0" w:color="auto"/>
      </w:divBdr>
      <w:divsChild>
        <w:div w:id="889535217">
          <w:marLeft w:val="0"/>
          <w:marRight w:val="0"/>
          <w:marTop w:val="0"/>
          <w:marBottom w:val="0"/>
          <w:divBdr>
            <w:top w:val="none" w:sz="0" w:space="0" w:color="auto"/>
            <w:left w:val="none" w:sz="0" w:space="0" w:color="auto"/>
            <w:bottom w:val="none" w:sz="0" w:space="0" w:color="auto"/>
            <w:right w:val="none" w:sz="0" w:space="0" w:color="auto"/>
          </w:divBdr>
          <w:divsChild>
            <w:div w:id="1429428075">
              <w:marLeft w:val="0"/>
              <w:marRight w:val="0"/>
              <w:marTop w:val="0"/>
              <w:marBottom w:val="0"/>
              <w:divBdr>
                <w:top w:val="none" w:sz="0" w:space="0" w:color="auto"/>
                <w:left w:val="none" w:sz="0" w:space="0" w:color="auto"/>
                <w:bottom w:val="none" w:sz="0" w:space="0" w:color="auto"/>
                <w:right w:val="none" w:sz="0" w:space="0" w:color="auto"/>
              </w:divBdr>
              <w:divsChild>
                <w:div w:id="1530685453">
                  <w:marLeft w:val="0"/>
                  <w:marRight w:val="0"/>
                  <w:marTop w:val="0"/>
                  <w:marBottom w:val="0"/>
                  <w:divBdr>
                    <w:top w:val="none" w:sz="0" w:space="0" w:color="auto"/>
                    <w:left w:val="none" w:sz="0" w:space="0" w:color="auto"/>
                    <w:bottom w:val="none" w:sz="0" w:space="0" w:color="auto"/>
                    <w:right w:val="none" w:sz="0" w:space="0" w:color="auto"/>
                  </w:divBdr>
                  <w:divsChild>
                    <w:div w:id="1049843667">
                      <w:marLeft w:val="0"/>
                      <w:marRight w:val="0"/>
                      <w:marTop w:val="0"/>
                      <w:marBottom w:val="0"/>
                      <w:divBdr>
                        <w:top w:val="none" w:sz="0" w:space="0" w:color="auto"/>
                        <w:left w:val="none" w:sz="0" w:space="0" w:color="auto"/>
                        <w:bottom w:val="none" w:sz="0" w:space="0" w:color="auto"/>
                        <w:right w:val="none" w:sz="0" w:space="0" w:color="auto"/>
                      </w:divBdr>
                      <w:divsChild>
                        <w:div w:id="1048535485">
                          <w:marLeft w:val="0"/>
                          <w:marRight w:val="0"/>
                          <w:marTop w:val="0"/>
                          <w:marBottom w:val="0"/>
                          <w:divBdr>
                            <w:top w:val="none" w:sz="0" w:space="0" w:color="auto"/>
                            <w:left w:val="none" w:sz="0" w:space="0" w:color="auto"/>
                            <w:bottom w:val="none" w:sz="0" w:space="0" w:color="auto"/>
                            <w:right w:val="none" w:sz="0" w:space="0" w:color="auto"/>
                          </w:divBdr>
                          <w:divsChild>
                            <w:div w:id="5143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815486057">
      <w:bodyDiv w:val="1"/>
      <w:marLeft w:val="0"/>
      <w:marRight w:val="0"/>
      <w:marTop w:val="0"/>
      <w:marBottom w:val="0"/>
      <w:divBdr>
        <w:top w:val="none" w:sz="0" w:space="0" w:color="auto"/>
        <w:left w:val="none" w:sz="0" w:space="0" w:color="auto"/>
        <w:bottom w:val="none" w:sz="0" w:space="0" w:color="auto"/>
        <w:right w:val="none" w:sz="0" w:space="0" w:color="auto"/>
      </w:divBdr>
    </w:div>
    <w:div w:id="204289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yperlink" Target="http://quickfacts.census.gov" TargetMode="Externa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C8146-3DB8-4161-82BB-C418AB27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5793</Words>
  <Characters>31676</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37395</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Lawrence, Rich S.</dc:creator>
  <cp:keywords/>
  <cp:lastModifiedBy>michael.morin</cp:lastModifiedBy>
  <cp:revision>2</cp:revision>
  <cp:lastPrinted>2013-10-16T15:08:00Z</cp:lastPrinted>
  <dcterms:created xsi:type="dcterms:W3CDTF">2013-10-28T17:24:00Z</dcterms:created>
  <dcterms:modified xsi:type="dcterms:W3CDTF">2013-10-28T17:24:00Z</dcterms:modified>
</cp:coreProperties>
</file>