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45" w:rsidRDefault="00FC2B45" w:rsidP="009868B7">
      <w:pPr>
        <w:jc w:val="center"/>
        <w:rPr>
          <w:b/>
        </w:rPr>
      </w:pPr>
      <w:bookmarkStart w:id="0" w:name="_GoBack"/>
      <w:bookmarkEnd w:id="0"/>
    </w:p>
    <w:p w:rsidR="00671FA5" w:rsidRPr="00E305E6" w:rsidRDefault="009868B7" w:rsidP="00B86B23">
      <w:pPr>
        <w:rPr>
          <w:b/>
        </w:rPr>
      </w:pPr>
      <w:r w:rsidRPr="00E305E6">
        <w:rPr>
          <w:b/>
        </w:rPr>
        <w:t xml:space="preserve">Is a Business Associate Agreement </w:t>
      </w:r>
      <w:r w:rsidR="00E305E6">
        <w:rPr>
          <w:b/>
        </w:rPr>
        <w:t xml:space="preserve">(BAA) </w:t>
      </w:r>
      <w:r w:rsidRPr="00E305E6">
        <w:rPr>
          <w:b/>
        </w:rPr>
        <w:t xml:space="preserve">Required? BAA </w:t>
      </w:r>
      <w:r w:rsidR="0099730D">
        <w:rPr>
          <w:b/>
        </w:rPr>
        <w:t xml:space="preserve">Decision </w:t>
      </w:r>
      <w:r w:rsidRPr="00E305E6">
        <w:rPr>
          <w:b/>
        </w:rPr>
        <w:t>Checklist</w:t>
      </w:r>
    </w:p>
    <w:p w:rsidR="009868B7" w:rsidRDefault="009868B7" w:rsidP="009868B7">
      <w:pPr>
        <w:jc w:val="center"/>
      </w:pPr>
    </w:p>
    <w:p w:rsidR="00B86B23" w:rsidRDefault="00B86B23" w:rsidP="00FC2B45">
      <w:pPr>
        <w:ind w:left="0"/>
        <w:rPr>
          <w:rFonts w:cs="Times New Roman"/>
          <w:b/>
        </w:rPr>
      </w:pPr>
    </w:p>
    <w:p w:rsidR="006933DA" w:rsidRDefault="00E64E8D" w:rsidP="00FC2B45">
      <w:pPr>
        <w:ind w:left="0"/>
        <w:rPr>
          <w:rFonts w:cs="Times New Roman"/>
          <w:b/>
        </w:rPr>
      </w:pPr>
      <w:r>
        <w:rPr>
          <w:rFonts w:cs="Times New Roman"/>
          <w:b/>
        </w:rPr>
        <w:t>Question</w:t>
      </w:r>
      <w:r w:rsidR="007B2843">
        <w:rPr>
          <w:rFonts w:cs="Times New Roman"/>
        </w:rPr>
        <w:t xml:space="preserve"> </w:t>
      </w:r>
      <w:r w:rsidR="007B2843" w:rsidRPr="004E7557">
        <w:rPr>
          <w:rFonts w:cs="Times New Roman"/>
          <w:b/>
        </w:rPr>
        <w:t>1</w:t>
      </w:r>
      <w:r w:rsidR="00FC2B45">
        <w:rPr>
          <w:rFonts w:cs="Times New Roman"/>
          <w:b/>
        </w:rPr>
        <w:t>:</w:t>
      </w:r>
      <w:r w:rsidR="00C807DB" w:rsidRPr="007B2843">
        <w:rPr>
          <w:rFonts w:cs="Times New Roman"/>
          <w:b/>
        </w:rPr>
        <w:t xml:space="preserve"> </w:t>
      </w:r>
      <w:r w:rsidR="000B4EC4" w:rsidRPr="005A1408">
        <w:rPr>
          <w:rFonts w:cs="Times New Roman"/>
          <w:b/>
        </w:rPr>
        <w:t>Is the</w:t>
      </w:r>
      <w:r w:rsidR="00FF2C9E" w:rsidRPr="005A1408">
        <w:rPr>
          <w:rFonts w:cs="Times New Roman"/>
          <w:b/>
        </w:rPr>
        <w:t xml:space="preserve"> vendor</w:t>
      </w:r>
      <w:r w:rsidR="000B4EC4" w:rsidRPr="005A1408">
        <w:rPr>
          <w:rFonts w:cs="Times New Roman"/>
          <w:b/>
        </w:rPr>
        <w:t xml:space="preserve"> providing services to or on behalf of the Dep</w:t>
      </w:r>
      <w:r w:rsidR="00FF2C9E" w:rsidRPr="005A1408">
        <w:rPr>
          <w:rFonts w:cs="Times New Roman"/>
          <w:b/>
        </w:rPr>
        <w:t>artment</w:t>
      </w:r>
      <w:r w:rsidR="000B4EC4" w:rsidRPr="005A1408">
        <w:rPr>
          <w:rFonts w:cs="Times New Roman"/>
          <w:b/>
        </w:rPr>
        <w:t xml:space="preserve"> using patient or member protected health information (PHI), which includes verbal, written or electronic healthcare and</w:t>
      </w:r>
      <w:r w:rsidR="00FC2B45">
        <w:rPr>
          <w:rFonts w:cs="Times New Roman"/>
          <w:b/>
        </w:rPr>
        <w:t>/or</w:t>
      </w:r>
      <w:r w:rsidR="000B4EC4" w:rsidRPr="005A1408">
        <w:rPr>
          <w:rFonts w:cs="Times New Roman"/>
          <w:b/>
        </w:rPr>
        <w:t xml:space="preserve"> billing information?</w:t>
      </w:r>
      <w:r w:rsidR="00370E05" w:rsidRPr="005A1408">
        <w:rPr>
          <w:rFonts w:cs="Times New Roman"/>
          <w:b/>
        </w:rPr>
        <w:t xml:space="preserve"> </w:t>
      </w:r>
    </w:p>
    <w:p w:rsidR="006933DA" w:rsidRDefault="006933DA" w:rsidP="00FC2B45">
      <w:pPr>
        <w:ind w:left="0"/>
        <w:rPr>
          <w:rFonts w:cs="Times New Roman"/>
          <w:b/>
        </w:rPr>
      </w:pPr>
    </w:p>
    <w:p w:rsidR="006933DA" w:rsidRPr="00651A86" w:rsidRDefault="006933DA" w:rsidP="00FC2B45">
      <w:pPr>
        <w:ind w:left="0"/>
        <w:rPr>
          <w:rFonts w:cs="Times New Roman"/>
        </w:rPr>
      </w:pPr>
      <w:r w:rsidRPr="00651A86">
        <w:rPr>
          <w:rFonts w:cs="Times New Roman"/>
        </w:rPr>
        <w:t xml:space="preserve">PHI means health information that is created or received by a healthcare provider, health plan (including MaineCare) or healthcare clearinghouse (translates claims) that relates to </w:t>
      </w:r>
      <w:r w:rsidR="00417D31" w:rsidRPr="00651A86">
        <w:rPr>
          <w:rFonts w:cs="Times New Roman"/>
        </w:rPr>
        <w:t xml:space="preserve">the </w:t>
      </w:r>
      <w:r w:rsidRPr="00651A86">
        <w:rPr>
          <w:rFonts w:cs="Times New Roman"/>
        </w:rPr>
        <w:t>physical or mental health of</w:t>
      </w:r>
      <w:r w:rsidR="00417D31" w:rsidRPr="00651A86">
        <w:rPr>
          <w:rFonts w:cs="Times New Roman"/>
        </w:rPr>
        <w:t xml:space="preserve"> an individual, the provision of services</w:t>
      </w:r>
      <w:r w:rsidR="00417D31">
        <w:rPr>
          <w:rFonts w:cs="Times New Roman"/>
        </w:rPr>
        <w:t xml:space="preserve"> to the individual</w:t>
      </w:r>
      <w:r w:rsidR="00417D31" w:rsidRPr="00651A86">
        <w:rPr>
          <w:rFonts w:cs="Times New Roman"/>
        </w:rPr>
        <w:t xml:space="preserve"> or payment</w:t>
      </w:r>
      <w:r w:rsidR="00417D31">
        <w:rPr>
          <w:rFonts w:cs="Times New Roman"/>
        </w:rPr>
        <w:t xml:space="preserve"> for services</w:t>
      </w:r>
      <w:r w:rsidR="00417D31" w:rsidRPr="00651A86">
        <w:rPr>
          <w:rFonts w:cs="Times New Roman"/>
        </w:rPr>
        <w:t>, that can reasonably be used to identify an individual</w:t>
      </w:r>
      <w:r w:rsidRPr="00651A86">
        <w:rPr>
          <w:rFonts w:cs="Times New Roman"/>
        </w:rPr>
        <w:t>.</w:t>
      </w:r>
    </w:p>
    <w:p w:rsidR="006933DA" w:rsidRPr="00651A86" w:rsidRDefault="006933DA" w:rsidP="00FC2B45">
      <w:pPr>
        <w:ind w:left="0"/>
        <w:rPr>
          <w:rFonts w:cs="Times New Roman"/>
        </w:rPr>
      </w:pPr>
    </w:p>
    <w:p w:rsidR="00370E05" w:rsidRPr="005A1408" w:rsidRDefault="00417D31" w:rsidP="00FC2B45">
      <w:pPr>
        <w:ind w:left="0"/>
        <w:rPr>
          <w:rFonts w:cs="Times New Roman"/>
          <w:b/>
        </w:rPr>
      </w:pPr>
      <w:r w:rsidRPr="00651A86">
        <w:rPr>
          <w:rFonts w:cs="Times New Roman"/>
        </w:rPr>
        <w:t>PHI is considered de- identified when the following elements are removed</w:t>
      </w:r>
      <w:r>
        <w:rPr>
          <w:rFonts w:cs="Times New Roman"/>
          <w:b/>
        </w:rPr>
        <w:t>:</w:t>
      </w:r>
    </w:p>
    <w:p w:rsidR="00180BFC" w:rsidRPr="005A1408" w:rsidRDefault="00180BFC" w:rsidP="00180BFC">
      <w:pPr>
        <w:rPr>
          <w:rFonts w:cs="Times New Roman"/>
          <w:b/>
        </w:rPr>
      </w:pPr>
    </w:p>
    <w:p w:rsidR="00180BFC" w:rsidRDefault="00370E05" w:rsidP="00180BFC">
      <w:pPr>
        <w:rPr>
          <w:rFonts w:eastAsia="Times New Roman" w:cs="Times New Roman"/>
          <w:color w:val="000000"/>
          <w:sz w:val="22"/>
        </w:rPr>
      </w:pPr>
      <w:r w:rsidRPr="00180BFC">
        <w:rPr>
          <w:rFonts w:eastAsia="Times New Roman" w:cs="Times New Roman"/>
          <w:color w:val="000000"/>
          <w:sz w:val="22"/>
        </w:rPr>
        <w:t>1. Names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 xml:space="preserve">2. </w:t>
      </w:r>
      <w:r w:rsidR="00180BFC">
        <w:rPr>
          <w:rFonts w:eastAsia="Times New Roman" w:cs="Times New Roman"/>
          <w:color w:val="000000"/>
          <w:sz w:val="22"/>
        </w:rPr>
        <w:t>S</w:t>
      </w:r>
      <w:r w:rsidRPr="00180BFC">
        <w:rPr>
          <w:rFonts w:eastAsia="Times New Roman" w:cs="Times New Roman"/>
          <w:color w:val="000000"/>
          <w:sz w:val="22"/>
        </w:rPr>
        <w:t>treet address, city, county, precinct, zip code</w:t>
      </w:r>
      <w:r w:rsidR="00180BFC">
        <w:rPr>
          <w:rFonts w:eastAsia="Times New Roman" w:cs="Times New Roman"/>
          <w:color w:val="000000"/>
          <w:sz w:val="22"/>
        </w:rPr>
        <w:t xml:space="preserve"> </w:t>
      </w:r>
    </w:p>
    <w:p w:rsidR="00370E05" w:rsidRPr="00180BFC" w:rsidRDefault="00370E05" w:rsidP="00180BFC">
      <w:pPr>
        <w:rPr>
          <w:rFonts w:eastAsia="Times New Roman" w:cs="Times New Roman"/>
          <w:color w:val="000000"/>
          <w:sz w:val="22"/>
        </w:rPr>
      </w:pPr>
      <w:r w:rsidRPr="00180BFC">
        <w:rPr>
          <w:rFonts w:eastAsia="Times New Roman" w:cs="Times New Roman"/>
          <w:color w:val="000000"/>
          <w:sz w:val="22"/>
        </w:rPr>
        <w:t>3. All elements of dates (except year) for dates directly related to an individual, including birth date, admission date, discharge date, date of death; and all ages over 89 and all elements of dates (including year) indicative of such age, except that such ages and elements may be aggregated into a single category of age 90 or older;</w:t>
      </w:r>
      <w:r w:rsidRPr="00180BFC">
        <w:rPr>
          <w:rFonts w:eastAsia="Times New Roman" w:cs="Times New Roman"/>
          <w:color w:val="000000"/>
          <w:sz w:val="22"/>
        </w:rPr>
        <w:br/>
        <w:t>4. Phone numbers</w:t>
      </w:r>
      <w:proofErr w:type="gramStart"/>
      <w:r w:rsidR="00180BFC">
        <w:rPr>
          <w:rFonts w:eastAsia="Times New Roman" w:cs="Times New Roman"/>
          <w:color w:val="000000"/>
          <w:sz w:val="22"/>
        </w:rPr>
        <w:t>;</w:t>
      </w:r>
      <w:proofErr w:type="gramEnd"/>
      <w:r w:rsidR="00180BFC">
        <w:rPr>
          <w:rFonts w:eastAsia="Times New Roman" w:cs="Times New Roman"/>
          <w:color w:val="000000"/>
          <w:sz w:val="22"/>
        </w:rPr>
        <w:br/>
        <w:t>5. Fax numbers</w:t>
      </w:r>
      <w:proofErr w:type="gramStart"/>
      <w:r w:rsidR="00180BFC">
        <w:rPr>
          <w:rFonts w:eastAsia="Times New Roman" w:cs="Times New Roman"/>
          <w:color w:val="000000"/>
          <w:sz w:val="22"/>
        </w:rPr>
        <w:t>;</w:t>
      </w:r>
      <w:proofErr w:type="gramEnd"/>
      <w:r w:rsidR="00180BFC">
        <w:rPr>
          <w:rFonts w:eastAsia="Times New Roman" w:cs="Times New Roman"/>
          <w:color w:val="000000"/>
          <w:sz w:val="22"/>
        </w:rPr>
        <w:br/>
        <w:t>6. E-</w:t>
      </w:r>
      <w:r w:rsidRPr="00180BFC">
        <w:rPr>
          <w:rFonts w:eastAsia="Times New Roman" w:cs="Times New Roman"/>
          <w:color w:val="000000"/>
          <w:sz w:val="22"/>
        </w:rPr>
        <w:t>mail addresses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7. Social Security numbers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8. Medical record numbers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9. Health plan beneficiary numbers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10. Account numbers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11. Certificate/license numbers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12. Vehicle identifiers and serial numbers, including license plate numbers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13. Device identifiers and serial numbers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14. Web Universal Resource Locators (URLs)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15. Internet Protocol (IP) address numbers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16. Biometric identifiers, including finger and voice prints</w:t>
      </w:r>
      <w:proofErr w:type="gramStart"/>
      <w:r w:rsidRPr="00180BFC">
        <w:rPr>
          <w:rFonts w:eastAsia="Times New Roman" w:cs="Times New Roman"/>
          <w:color w:val="000000"/>
          <w:sz w:val="22"/>
        </w:rPr>
        <w:t>;</w:t>
      </w:r>
      <w:proofErr w:type="gramEnd"/>
      <w:r w:rsidRPr="00180BFC">
        <w:rPr>
          <w:rFonts w:eastAsia="Times New Roman" w:cs="Times New Roman"/>
          <w:color w:val="000000"/>
          <w:sz w:val="22"/>
        </w:rPr>
        <w:br/>
        <w:t>17. Full face photographic images and any comparable images; and</w:t>
      </w:r>
      <w:r w:rsidRPr="00180BFC">
        <w:rPr>
          <w:rFonts w:eastAsia="Times New Roman" w:cs="Times New Roman"/>
          <w:color w:val="000000"/>
          <w:sz w:val="22"/>
        </w:rPr>
        <w:br/>
        <w:t>18. Any other unique identifying number, characteristic, or code (note this does not mean the unique code assigned by the investigator to code the data)</w:t>
      </w:r>
    </w:p>
    <w:p w:rsidR="00180BFC" w:rsidRDefault="00180BFC" w:rsidP="000B4EC4">
      <w:pPr>
        <w:rPr>
          <w:rFonts w:cs="Times New Roman"/>
        </w:rPr>
      </w:pPr>
    </w:p>
    <w:p w:rsidR="000B4EC4" w:rsidRPr="00180BFC" w:rsidRDefault="000B4EC4" w:rsidP="00B86B23">
      <w:pPr>
        <w:ind w:left="0"/>
        <w:rPr>
          <w:rFonts w:cs="Times New Roman"/>
        </w:rPr>
      </w:pPr>
      <w:r w:rsidRPr="00651A86">
        <w:rPr>
          <w:rFonts w:cs="Times New Roman"/>
          <w:i/>
        </w:rPr>
        <w:t>If</w:t>
      </w:r>
      <w:r w:rsidR="00C807DB" w:rsidRPr="00651A86">
        <w:rPr>
          <w:rFonts w:cs="Times New Roman"/>
          <w:i/>
        </w:rPr>
        <w:t xml:space="preserve"> </w:t>
      </w:r>
      <w:r w:rsidR="006933DA" w:rsidRPr="00651A86">
        <w:rPr>
          <w:rFonts w:cs="Times New Roman"/>
          <w:i/>
        </w:rPr>
        <w:t>even one</w:t>
      </w:r>
      <w:r w:rsidR="006933DA">
        <w:rPr>
          <w:rFonts w:cs="Times New Roman"/>
        </w:rPr>
        <w:t xml:space="preserve"> </w:t>
      </w:r>
      <w:r w:rsidR="00E64E8D">
        <w:rPr>
          <w:rFonts w:cs="Times New Roman"/>
        </w:rPr>
        <w:t xml:space="preserve">of the above 18 </w:t>
      </w:r>
      <w:r w:rsidR="00180BFC">
        <w:rPr>
          <w:rFonts w:cs="Times New Roman"/>
        </w:rPr>
        <w:t xml:space="preserve">identifiers </w:t>
      </w:r>
      <w:r w:rsidR="00E64E8D">
        <w:rPr>
          <w:rFonts w:cs="Times New Roman"/>
        </w:rPr>
        <w:t>will be included in the PHI to be used, disclosed, transmitted or maintained by the vendor</w:t>
      </w:r>
      <w:r w:rsidR="00417D31">
        <w:rPr>
          <w:rFonts w:cs="Times New Roman"/>
        </w:rPr>
        <w:t xml:space="preserve"> on behalf of DHHS</w:t>
      </w:r>
      <w:r w:rsidR="00E64E8D">
        <w:rPr>
          <w:rFonts w:cs="Times New Roman"/>
        </w:rPr>
        <w:t xml:space="preserve">, </w:t>
      </w:r>
      <w:r w:rsidR="00180BFC">
        <w:rPr>
          <w:rFonts w:cs="Times New Roman"/>
        </w:rPr>
        <w:t xml:space="preserve">then </w:t>
      </w:r>
      <w:r w:rsidR="00890F6A">
        <w:rPr>
          <w:rFonts w:cs="Times New Roman"/>
        </w:rPr>
        <w:t xml:space="preserve">the </w:t>
      </w:r>
      <w:r w:rsidR="00180BFC">
        <w:rPr>
          <w:rFonts w:cs="Times New Roman"/>
        </w:rPr>
        <w:t xml:space="preserve">vendor is </w:t>
      </w:r>
      <w:r w:rsidR="007B2843">
        <w:rPr>
          <w:rFonts w:cs="Times New Roman"/>
        </w:rPr>
        <w:t xml:space="preserve">using </w:t>
      </w:r>
      <w:r w:rsidR="00417D31">
        <w:rPr>
          <w:rFonts w:cs="Times New Roman"/>
        </w:rPr>
        <w:t xml:space="preserve">identifiable </w:t>
      </w:r>
      <w:r w:rsidR="00180BFC">
        <w:rPr>
          <w:rFonts w:cs="Times New Roman"/>
        </w:rPr>
        <w:t>PHI</w:t>
      </w:r>
      <w:r w:rsidR="00D75E27">
        <w:rPr>
          <w:rFonts w:cs="Times New Roman"/>
        </w:rPr>
        <w:t xml:space="preserve"> that requires HIPAA protection</w:t>
      </w:r>
      <w:r w:rsidR="007B2843">
        <w:rPr>
          <w:rFonts w:cs="Times New Roman"/>
        </w:rPr>
        <w:t xml:space="preserve">. </w:t>
      </w:r>
      <w:r w:rsidR="00E64E8D">
        <w:rPr>
          <w:rFonts w:cs="Times New Roman"/>
        </w:rPr>
        <w:t xml:space="preserve"> C</w:t>
      </w:r>
      <w:r w:rsidRPr="00180BFC">
        <w:rPr>
          <w:rFonts w:cs="Times New Roman"/>
        </w:rPr>
        <w:t>ontinue</w:t>
      </w:r>
      <w:r w:rsidR="00E64E8D">
        <w:rPr>
          <w:rFonts w:cs="Times New Roman"/>
        </w:rPr>
        <w:t xml:space="preserve"> to </w:t>
      </w:r>
      <w:r w:rsidR="00E64E8D" w:rsidRPr="00FC2B45">
        <w:rPr>
          <w:rFonts w:cs="Times New Roman"/>
        </w:rPr>
        <w:t>Question 2</w:t>
      </w:r>
      <w:r w:rsidRPr="00180BFC">
        <w:rPr>
          <w:rFonts w:cs="Times New Roman"/>
        </w:rPr>
        <w:t>.</w:t>
      </w:r>
      <w:r w:rsidR="007B2843">
        <w:rPr>
          <w:rFonts w:cs="Times New Roman"/>
        </w:rPr>
        <w:t xml:space="preserve"> If none of the 18 identifiers are to be shared with </w:t>
      </w:r>
      <w:r w:rsidR="00890F6A">
        <w:rPr>
          <w:rFonts w:cs="Times New Roman"/>
        </w:rPr>
        <w:t xml:space="preserve">the </w:t>
      </w:r>
      <w:r w:rsidR="007B2843">
        <w:rPr>
          <w:rFonts w:cs="Times New Roman"/>
        </w:rPr>
        <w:t>vendor, S</w:t>
      </w:r>
      <w:r w:rsidR="00890F6A">
        <w:rPr>
          <w:rFonts w:cs="Times New Roman"/>
        </w:rPr>
        <w:t>TOP</w:t>
      </w:r>
      <w:r w:rsidR="007B2843">
        <w:rPr>
          <w:rFonts w:cs="Times New Roman"/>
        </w:rPr>
        <w:t>. No BAA is required.</w:t>
      </w:r>
    </w:p>
    <w:p w:rsidR="000B4EC4" w:rsidRPr="00180BFC" w:rsidRDefault="000B4EC4" w:rsidP="009868B7">
      <w:pPr>
        <w:rPr>
          <w:rFonts w:cs="Times New Roman"/>
        </w:rPr>
      </w:pPr>
    </w:p>
    <w:p w:rsidR="00B86B23" w:rsidRDefault="007B2843" w:rsidP="00FC2B45">
      <w:pPr>
        <w:ind w:left="0"/>
        <w:rPr>
          <w:rFonts w:cs="Times New Roman"/>
          <w:b/>
          <w:szCs w:val="24"/>
        </w:rPr>
      </w:pPr>
      <w:r>
        <w:rPr>
          <w:rFonts w:cs="Times New Roman"/>
          <w:b/>
        </w:rPr>
        <w:t xml:space="preserve">Question 2: </w:t>
      </w:r>
      <w:r w:rsidR="009868B7" w:rsidRPr="005A1408">
        <w:rPr>
          <w:rFonts w:cs="Times New Roman"/>
          <w:b/>
        </w:rPr>
        <w:t xml:space="preserve">Is the </w:t>
      </w:r>
      <w:r w:rsidR="00FF2C9E" w:rsidRPr="005A1408">
        <w:rPr>
          <w:rFonts w:cs="Times New Roman"/>
          <w:b/>
        </w:rPr>
        <w:t>vendor</w:t>
      </w:r>
      <w:r w:rsidR="009868B7" w:rsidRPr="005A1408">
        <w:rPr>
          <w:rFonts w:cs="Times New Roman"/>
          <w:b/>
        </w:rPr>
        <w:t xml:space="preserve"> a provider of treatment</w:t>
      </w:r>
      <w:r w:rsidR="00FF2C9E" w:rsidRPr="005A1408">
        <w:rPr>
          <w:rFonts w:cs="Times New Roman"/>
          <w:b/>
        </w:rPr>
        <w:t xml:space="preserve"> or healthcare services</w:t>
      </w:r>
      <w:r w:rsidR="009868B7" w:rsidRPr="00FC2B45">
        <w:rPr>
          <w:rFonts w:cs="Times New Roman"/>
          <w:b/>
        </w:rPr>
        <w:t xml:space="preserve">? </w:t>
      </w:r>
      <w:r w:rsidR="00C807DB" w:rsidRPr="00FC2B45">
        <w:rPr>
          <w:rFonts w:cs="Times New Roman"/>
        </w:rPr>
        <w:t xml:space="preserve"> If yes, no </w:t>
      </w:r>
      <w:r w:rsidR="009868B7" w:rsidRPr="00FC2B45">
        <w:rPr>
          <w:rFonts w:cs="Times New Roman"/>
        </w:rPr>
        <w:t xml:space="preserve">BAA </w:t>
      </w:r>
      <w:r w:rsidRPr="00FC2B45">
        <w:rPr>
          <w:rFonts w:cs="Times New Roman"/>
        </w:rPr>
        <w:t xml:space="preserve">is required </w:t>
      </w:r>
      <w:r w:rsidR="009868B7" w:rsidRPr="00FC2B45">
        <w:rPr>
          <w:rFonts w:cs="Times New Roman"/>
        </w:rPr>
        <w:t>unless additional administrative services like practice supervision, medical director</w:t>
      </w:r>
      <w:r w:rsidRPr="00FC2B45">
        <w:rPr>
          <w:rFonts w:cs="Times New Roman"/>
        </w:rPr>
        <w:t>ship supervision or admi</w:t>
      </w:r>
      <w:r w:rsidR="00FC2B45">
        <w:rPr>
          <w:rFonts w:cs="Times New Roman"/>
        </w:rPr>
        <w:t>ni</w:t>
      </w:r>
      <w:r w:rsidRPr="00FC2B45">
        <w:rPr>
          <w:rFonts w:cs="Times New Roman"/>
        </w:rPr>
        <w:t>strative activities</w:t>
      </w:r>
      <w:r w:rsidR="009868B7" w:rsidRPr="00FC2B45">
        <w:rPr>
          <w:rFonts w:cs="Times New Roman"/>
        </w:rPr>
        <w:t xml:space="preserve">, </w:t>
      </w:r>
      <w:r w:rsidRPr="00FC2B45">
        <w:rPr>
          <w:rFonts w:cs="Times New Roman"/>
        </w:rPr>
        <w:t xml:space="preserve">education and training services, </w:t>
      </w:r>
      <w:r w:rsidR="009868B7" w:rsidRPr="00FC2B45">
        <w:rPr>
          <w:rFonts w:cs="Times New Roman"/>
        </w:rPr>
        <w:t>etc.</w:t>
      </w:r>
      <w:r w:rsidRPr="00FC2B45">
        <w:rPr>
          <w:rFonts w:cs="Times New Roman"/>
        </w:rPr>
        <w:t xml:space="preserve"> will be provide.</w:t>
      </w:r>
      <w:r w:rsidR="00180BFC" w:rsidRPr="00FC2B45">
        <w:rPr>
          <w:rFonts w:cs="Times New Roman"/>
        </w:rPr>
        <w:t xml:space="preserve"> If </w:t>
      </w:r>
      <w:r w:rsidRPr="00FC2B45">
        <w:rPr>
          <w:rFonts w:cs="Times New Roman"/>
        </w:rPr>
        <w:t xml:space="preserve">operational or administrative </w:t>
      </w:r>
      <w:r w:rsidR="00736F6A" w:rsidRPr="00FC2B45">
        <w:rPr>
          <w:rFonts w:cs="Times New Roman"/>
        </w:rPr>
        <w:t xml:space="preserve">services </w:t>
      </w:r>
      <w:r w:rsidRPr="00FC2B45">
        <w:rPr>
          <w:rFonts w:cs="Times New Roman"/>
        </w:rPr>
        <w:t xml:space="preserve">are to be provided in addition to treatment services, </w:t>
      </w:r>
      <w:r w:rsidR="00736F6A" w:rsidRPr="00FC2B45">
        <w:rPr>
          <w:rFonts w:cs="Times New Roman"/>
        </w:rPr>
        <w:t>then</w:t>
      </w:r>
      <w:r w:rsidR="000B4EC4" w:rsidRPr="00FC2B45">
        <w:rPr>
          <w:rFonts w:cs="Times New Roman"/>
        </w:rPr>
        <w:t xml:space="preserve"> continue</w:t>
      </w:r>
      <w:r w:rsidRPr="00FC2B45">
        <w:rPr>
          <w:rFonts w:cs="Times New Roman"/>
        </w:rPr>
        <w:t xml:space="preserve"> to Question 3</w:t>
      </w:r>
      <w:r w:rsidR="000B4EC4" w:rsidRPr="00FC2B45">
        <w:rPr>
          <w:rFonts w:cs="Times New Roman"/>
        </w:rPr>
        <w:t>.</w:t>
      </w:r>
    </w:p>
    <w:p w:rsidR="00370E05" w:rsidRPr="005A1408" w:rsidRDefault="007B2843" w:rsidP="00FC2B45">
      <w:pPr>
        <w:ind w:left="0"/>
        <w:rPr>
          <w:b/>
          <w:szCs w:val="24"/>
        </w:rPr>
      </w:pPr>
      <w:r w:rsidRPr="007B2843">
        <w:rPr>
          <w:rFonts w:cs="Times New Roman"/>
          <w:b/>
          <w:szCs w:val="24"/>
        </w:rPr>
        <w:lastRenderedPageBreak/>
        <w:t xml:space="preserve">Question 3: </w:t>
      </w:r>
      <w:r w:rsidR="00FF2C9E" w:rsidRPr="007B2843">
        <w:rPr>
          <w:rFonts w:cs="Times New Roman"/>
          <w:b/>
          <w:szCs w:val="24"/>
        </w:rPr>
        <w:t>Does</w:t>
      </w:r>
      <w:r w:rsidR="00FF2C9E" w:rsidRPr="005A1408">
        <w:rPr>
          <w:rFonts w:cs="Times New Roman"/>
          <w:b/>
          <w:szCs w:val="24"/>
        </w:rPr>
        <w:t xml:space="preserve"> the</w:t>
      </w:r>
      <w:r w:rsidR="000B4EC4" w:rsidRPr="005A1408">
        <w:rPr>
          <w:b/>
          <w:szCs w:val="24"/>
        </w:rPr>
        <w:t xml:space="preserve"> </w:t>
      </w:r>
      <w:r w:rsidR="00FF2C9E" w:rsidRPr="005A1408">
        <w:rPr>
          <w:b/>
          <w:szCs w:val="24"/>
        </w:rPr>
        <w:t xml:space="preserve">vendor </w:t>
      </w:r>
      <w:r w:rsidR="000B4EC4" w:rsidRPr="005A1408">
        <w:rPr>
          <w:b/>
          <w:szCs w:val="24"/>
        </w:rPr>
        <w:t xml:space="preserve">perform </w:t>
      </w:r>
      <w:r w:rsidR="00736F6A">
        <w:rPr>
          <w:b/>
          <w:szCs w:val="24"/>
        </w:rPr>
        <w:t xml:space="preserve">any of the following </w:t>
      </w:r>
      <w:r w:rsidR="000B4EC4" w:rsidRPr="005A1408">
        <w:rPr>
          <w:b/>
          <w:szCs w:val="24"/>
        </w:rPr>
        <w:t xml:space="preserve">services </w:t>
      </w:r>
      <w:r w:rsidR="00180BFC" w:rsidRPr="005A1408">
        <w:rPr>
          <w:b/>
          <w:szCs w:val="24"/>
        </w:rPr>
        <w:t xml:space="preserve">on </w:t>
      </w:r>
      <w:r w:rsidR="000B4EC4" w:rsidRPr="005A1408">
        <w:rPr>
          <w:b/>
          <w:szCs w:val="24"/>
        </w:rPr>
        <w:t xml:space="preserve">behalf of </w:t>
      </w:r>
      <w:r w:rsidR="00FF2C9E" w:rsidRPr="005A1408">
        <w:rPr>
          <w:b/>
          <w:szCs w:val="24"/>
        </w:rPr>
        <w:t>the Department</w:t>
      </w:r>
      <w:r w:rsidR="000B4EC4" w:rsidRPr="005A1408">
        <w:rPr>
          <w:b/>
          <w:szCs w:val="24"/>
        </w:rPr>
        <w:t xml:space="preserve">? </w:t>
      </w:r>
    </w:p>
    <w:p w:rsidR="00370E05" w:rsidRDefault="00370E05" w:rsidP="00370E05">
      <w:pPr>
        <w:ind w:right="900"/>
        <w:rPr>
          <w:rFonts w:cs="Times New Roman"/>
          <w:szCs w:val="24"/>
        </w:rPr>
      </w:pP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 xml:space="preserve">accounting 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collections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claims processing or administration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data analysis</w:t>
      </w:r>
      <w:r>
        <w:rPr>
          <w:rFonts w:cs="Times New Roman"/>
          <w:szCs w:val="24"/>
        </w:rPr>
        <w:t>, processing or administration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billing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benefit management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practice management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medical director (administrative role)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legal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actuarial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consulting</w:t>
      </w:r>
      <w:r w:rsidR="007B2843">
        <w:rPr>
          <w:rFonts w:cs="Times New Roman"/>
          <w:szCs w:val="24"/>
        </w:rPr>
        <w:t xml:space="preserve"> on operational </w:t>
      </w:r>
      <w:r w:rsidR="004E7557">
        <w:rPr>
          <w:rFonts w:cs="Times New Roman"/>
          <w:szCs w:val="24"/>
        </w:rPr>
        <w:t xml:space="preserve">or business </w:t>
      </w:r>
      <w:r w:rsidR="007B2843">
        <w:rPr>
          <w:rFonts w:cs="Times New Roman"/>
          <w:szCs w:val="24"/>
        </w:rPr>
        <w:t xml:space="preserve">functions </w:t>
      </w:r>
      <w:r w:rsidR="004E7557">
        <w:rPr>
          <w:rFonts w:cs="Times New Roman"/>
          <w:szCs w:val="24"/>
        </w:rPr>
        <w:t>including</w:t>
      </w:r>
      <w:r w:rsidR="007B2843">
        <w:rPr>
          <w:rFonts w:cs="Times New Roman"/>
          <w:szCs w:val="24"/>
        </w:rPr>
        <w:t xml:space="preserve"> audit</w:t>
      </w:r>
      <w:r w:rsidR="004E7557">
        <w:rPr>
          <w:rFonts w:cs="Times New Roman"/>
          <w:szCs w:val="24"/>
        </w:rPr>
        <w:t xml:space="preserve"> and</w:t>
      </w:r>
      <w:r w:rsidR="007B2843">
        <w:rPr>
          <w:rFonts w:cs="Times New Roman"/>
          <w:szCs w:val="24"/>
        </w:rPr>
        <w:t xml:space="preserve"> health information technology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data aggregation as defined by HIPAA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software hosting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management of data or clinical services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utilization review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quality assurance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patient safety activities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accreditation bodies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HealthInfoNet or other regional IT exchange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E-prescribing gateways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other entity that provides data transmission services requiring routine access to PHI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personal health record service provider,</w:t>
      </w:r>
    </w:p>
    <w:p w:rsidR="00370E05" w:rsidRDefault="00370E05" w:rsidP="00370E05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370E05">
        <w:rPr>
          <w:rFonts w:cs="Times New Roman"/>
          <w:szCs w:val="24"/>
        </w:rPr>
        <w:t>financial services</w:t>
      </w:r>
    </w:p>
    <w:p w:rsidR="004E7557" w:rsidRDefault="00370E05" w:rsidP="004E7557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4E7557">
        <w:rPr>
          <w:rFonts w:cs="Times New Roman"/>
          <w:szCs w:val="24"/>
        </w:rPr>
        <w:t>transcription services</w:t>
      </w:r>
    </w:p>
    <w:p w:rsidR="005A1408" w:rsidRDefault="005A1408" w:rsidP="004E7557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 w:rsidRPr="004E7557">
        <w:rPr>
          <w:rFonts w:cs="Times New Roman"/>
          <w:szCs w:val="24"/>
        </w:rPr>
        <w:t>Medicaid transportation broker</w:t>
      </w:r>
    </w:p>
    <w:p w:rsidR="00F74780" w:rsidRPr="004E7557" w:rsidRDefault="00F74780" w:rsidP="004E7557">
      <w:pPr>
        <w:pStyle w:val="ListParagraph"/>
        <w:numPr>
          <w:ilvl w:val="0"/>
          <w:numId w:val="2"/>
        </w:numPr>
        <w:ind w:right="900"/>
        <w:rPr>
          <w:rFonts w:cs="Times New Roman"/>
          <w:szCs w:val="24"/>
        </w:rPr>
      </w:pPr>
      <w:r>
        <w:rPr>
          <w:rFonts w:cs="Times New Roman"/>
          <w:szCs w:val="24"/>
        </w:rPr>
        <w:t>Private vendors that provide eligibility or pre-authorization services</w:t>
      </w:r>
    </w:p>
    <w:p w:rsidR="00370E05" w:rsidRDefault="00370E05" w:rsidP="000B4EC4">
      <w:pPr>
        <w:rPr>
          <w:szCs w:val="24"/>
        </w:rPr>
      </w:pPr>
    </w:p>
    <w:p w:rsidR="000B4EC4" w:rsidRDefault="00C94BAD" w:rsidP="00B86B23">
      <w:pPr>
        <w:ind w:left="0"/>
        <w:rPr>
          <w:szCs w:val="24"/>
        </w:rPr>
      </w:pPr>
      <w:r>
        <w:rPr>
          <w:szCs w:val="24"/>
        </w:rPr>
        <w:t xml:space="preserve">If </w:t>
      </w:r>
      <w:r w:rsidR="00417D31">
        <w:rPr>
          <w:szCs w:val="24"/>
        </w:rPr>
        <w:t xml:space="preserve">the </w:t>
      </w:r>
      <w:r>
        <w:rPr>
          <w:szCs w:val="24"/>
        </w:rPr>
        <w:t xml:space="preserve">vendor is not providing these </w:t>
      </w:r>
      <w:r w:rsidR="00736F6A">
        <w:rPr>
          <w:szCs w:val="24"/>
        </w:rPr>
        <w:t xml:space="preserve">or similar </w:t>
      </w:r>
      <w:r>
        <w:rPr>
          <w:szCs w:val="24"/>
        </w:rPr>
        <w:t xml:space="preserve">types of services, </w:t>
      </w:r>
      <w:r w:rsidR="00C807DB">
        <w:rPr>
          <w:szCs w:val="24"/>
        </w:rPr>
        <w:t>end. No BAA</w:t>
      </w:r>
      <w:r w:rsidR="00417D31">
        <w:rPr>
          <w:szCs w:val="24"/>
        </w:rPr>
        <w:t xml:space="preserve"> is required</w:t>
      </w:r>
      <w:r w:rsidR="00C807DB">
        <w:rPr>
          <w:szCs w:val="24"/>
        </w:rPr>
        <w:t xml:space="preserve">. </w:t>
      </w:r>
      <w:r w:rsidR="00FF2C9E">
        <w:rPr>
          <w:szCs w:val="24"/>
        </w:rPr>
        <w:t xml:space="preserve">If </w:t>
      </w:r>
      <w:r w:rsidR="00C807DB">
        <w:rPr>
          <w:szCs w:val="24"/>
        </w:rPr>
        <w:t>y</w:t>
      </w:r>
      <w:r w:rsidR="00FF2C9E">
        <w:rPr>
          <w:szCs w:val="24"/>
        </w:rPr>
        <w:t>es, c</w:t>
      </w:r>
      <w:r w:rsidR="00C807DB">
        <w:rPr>
          <w:szCs w:val="24"/>
        </w:rPr>
        <w:t>ontinue, BAA required.</w:t>
      </w:r>
      <w:r>
        <w:rPr>
          <w:szCs w:val="24"/>
        </w:rPr>
        <w:t xml:space="preserve"> If uncertain</w:t>
      </w:r>
      <w:r w:rsidR="00F74780">
        <w:rPr>
          <w:szCs w:val="24"/>
        </w:rPr>
        <w:t xml:space="preserve"> about whether the vendor services require a BAA</w:t>
      </w:r>
      <w:r>
        <w:rPr>
          <w:szCs w:val="24"/>
        </w:rPr>
        <w:t>, check with your supervisor or the Director of Healthcare Privacy.</w:t>
      </w:r>
    </w:p>
    <w:p w:rsidR="00D21294" w:rsidRDefault="00D21294" w:rsidP="000B4EC4">
      <w:pPr>
        <w:rPr>
          <w:szCs w:val="24"/>
        </w:rPr>
      </w:pPr>
    </w:p>
    <w:p w:rsidR="00D21294" w:rsidRPr="00FC2B45" w:rsidRDefault="00D21294" w:rsidP="00B86B23">
      <w:pPr>
        <w:ind w:left="0"/>
        <w:rPr>
          <w:b/>
          <w:szCs w:val="24"/>
        </w:rPr>
      </w:pPr>
      <w:r w:rsidRPr="00FC2B45">
        <w:rPr>
          <w:b/>
          <w:szCs w:val="24"/>
          <w:u w:val="single"/>
        </w:rPr>
        <w:t>Health plan/Gov</w:t>
      </w:r>
      <w:r w:rsidR="00E305E6" w:rsidRPr="00FC2B45">
        <w:rPr>
          <w:b/>
          <w:szCs w:val="24"/>
          <w:u w:val="single"/>
        </w:rPr>
        <w:t>ernmen</w:t>
      </w:r>
      <w:r w:rsidRPr="00FC2B45">
        <w:rPr>
          <w:b/>
          <w:szCs w:val="24"/>
          <w:u w:val="single"/>
        </w:rPr>
        <w:t xml:space="preserve">t Plan </w:t>
      </w:r>
      <w:r w:rsidR="00FC2B45">
        <w:rPr>
          <w:b/>
          <w:szCs w:val="24"/>
          <w:u w:val="single"/>
        </w:rPr>
        <w:t>E</w:t>
      </w:r>
      <w:r w:rsidRPr="00FC2B45">
        <w:rPr>
          <w:b/>
          <w:szCs w:val="24"/>
          <w:u w:val="single"/>
        </w:rPr>
        <w:t>xceptions</w:t>
      </w:r>
      <w:r w:rsidR="00E305E6" w:rsidRPr="00FC2B45">
        <w:rPr>
          <w:b/>
          <w:szCs w:val="24"/>
        </w:rPr>
        <w:t>:</w:t>
      </w:r>
    </w:p>
    <w:p w:rsidR="00E305E6" w:rsidRDefault="00E305E6" w:rsidP="000B4EC4">
      <w:pPr>
        <w:rPr>
          <w:szCs w:val="24"/>
        </w:rPr>
      </w:pPr>
    </w:p>
    <w:p w:rsidR="00E305E6" w:rsidRDefault="00E305E6" w:rsidP="00B86B23">
      <w:pPr>
        <w:ind w:left="0"/>
        <w:rPr>
          <w:szCs w:val="24"/>
        </w:rPr>
      </w:pPr>
      <w:r>
        <w:rPr>
          <w:szCs w:val="24"/>
        </w:rPr>
        <w:t xml:space="preserve">No BAA </w:t>
      </w:r>
      <w:r w:rsidR="00F20F72">
        <w:rPr>
          <w:szCs w:val="24"/>
        </w:rPr>
        <w:t xml:space="preserve">necessarily </w:t>
      </w:r>
      <w:r>
        <w:rPr>
          <w:szCs w:val="24"/>
        </w:rPr>
        <w:t>required for agreement</w:t>
      </w:r>
      <w:r w:rsidR="003D4C51">
        <w:rPr>
          <w:szCs w:val="24"/>
        </w:rPr>
        <w:t>s between government entities. A Memorandum of Understanding between government entities that contain</w:t>
      </w:r>
      <w:r w:rsidR="00F20F72">
        <w:rPr>
          <w:szCs w:val="24"/>
        </w:rPr>
        <w:t>s</w:t>
      </w:r>
      <w:r w:rsidR="003D4C51">
        <w:rPr>
          <w:szCs w:val="24"/>
        </w:rPr>
        <w:t xml:space="preserve"> the appropriate safeguards may suffice. Please speak with your Privacy Officer</w:t>
      </w:r>
      <w:r w:rsidR="00890F6A">
        <w:rPr>
          <w:szCs w:val="24"/>
        </w:rPr>
        <w:t xml:space="preserve">, </w:t>
      </w:r>
      <w:r w:rsidR="003D4C51">
        <w:rPr>
          <w:szCs w:val="24"/>
        </w:rPr>
        <w:t xml:space="preserve">supervisor or the Director of Healthcare Privacy. </w:t>
      </w:r>
    </w:p>
    <w:p w:rsidR="00E305E6" w:rsidRDefault="00E305E6" w:rsidP="000B4EC4">
      <w:pPr>
        <w:rPr>
          <w:szCs w:val="24"/>
        </w:rPr>
      </w:pPr>
    </w:p>
    <w:p w:rsidR="000B4EC4" w:rsidRDefault="00E305E6" w:rsidP="00F74780">
      <w:pPr>
        <w:ind w:left="0"/>
        <w:rPr>
          <w:rFonts w:cs="Times New Roman"/>
        </w:rPr>
      </w:pPr>
      <w:r>
        <w:rPr>
          <w:szCs w:val="24"/>
        </w:rPr>
        <w:t>No BAA required where provider sends in a claim to MaineCare, and MaineCare</w:t>
      </w:r>
      <w:r w:rsidR="00F16ACD">
        <w:rPr>
          <w:szCs w:val="24"/>
        </w:rPr>
        <w:t xml:space="preserve"> processes such claim for provider services. (Provider and health plan do not become business associates of each other.) </w:t>
      </w:r>
    </w:p>
    <w:sectPr w:rsidR="000B4E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C6" w:rsidRDefault="00D606C6" w:rsidP="005A1408">
      <w:r>
        <w:separator/>
      </w:r>
    </w:p>
  </w:endnote>
  <w:endnote w:type="continuationSeparator" w:id="0">
    <w:p w:rsidR="00D606C6" w:rsidRDefault="00D606C6" w:rsidP="005A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7114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2B45" w:rsidRDefault="00FC2B45">
            <w:pPr>
              <w:pStyle w:val="Footer"/>
              <w:jc w:val="right"/>
            </w:pPr>
            <w:r w:rsidRPr="00FC2B45">
              <w:rPr>
                <w:sz w:val="20"/>
                <w:szCs w:val="20"/>
              </w:rPr>
              <w:t xml:space="preserve">Page </w:t>
            </w:r>
            <w:r w:rsidRPr="00FC2B45">
              <w:rPr>
                <w:b/>
                <w:bCs/>
                <w:sz w:val="20"/>
                <w:szCs w:val="20"/>
              </w:rPr>
              <w:fldChar w:fldCharType="begin"/>
            </w:r>
            <w:r w:rsidRPr="00FC2B4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C2B45">
              <w:rPr>
                <w:b/>
                <w:bCs/>
                <w:sz w:val="20"/>
                <w:szCs w:val="20"/>
              </w:rPr>
              <w:fldChar w:fldCharType="separate"/>
            </w:r>
            <w:r w:rsidR="00460D22">
              <w:rPr>
                <w:b/>
                <w:bCs/>
                <w:noProof/>
                <w:sz w:val="20"/>
                <w:szCs w:val="20"/>
              </w:rPr>
              <w:t>1</w:t>
            </w:r>
            <w:r w:rsidRPr="00FC2B45">
              <w:rPr>
                <w:b/>
                <w:bCs/>
                <w:sz w:val="20"/>
                <w:szCs w:val="20"/>
              </w:rPr>
              <w:fldChar w:fldCharType="end"/>
            </w:r>
            <w:r w:rsidRPr="00FC2B45">
              <w:rPr>
                <w:sz w:val="20"/>
                <w:szCs w:val="20"/>
              </w:rPr>
              <w:t xml:space="preserve"> of </w:t>
            </w:r>
            <w:r w:rsidRPr="00FC2B45">
              <w:rPr>
                <w:b/>
                <w:bCs/>
                <w:sz w:val="20"/>
                <w:szCs w:val="20"/>
              </w:rPr>
              <w:fldChar w:fldCharType="begin"/>
            </w:r>
            <w:r w:rsidRPr="00FC2B4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C2B45">
              <w:rPr>
                <w:b/>
                <w:bCs/>
                <w:sz w:val="20"/>
                <w:szCs w:val="20"/>
              </w:rPr>
              <w:fldChar w:fldCharType="separate"/>
            </w:r>
            <w:r w:rsidR="00460D22">
              <w:rPr>
                <w:b/>
                <w:bCs/>
                <w:noProof/>
                <w:sz w:val="20"/>
                <w:szCs w:val="20"/>
              </w:rPr>
              <w:t>2</w:t>
            </w:r>
            <w:r w:rsidRPr="00FC2B4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C2B45" w:rsidRDefault="00FC2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C6" w:rsidRDefault="00D606C6" w:rsidP="005A1408">
      <w:r>
        <w:separator/>
      </w:r>
    </w:p>
  </w:footnote>
  <w:footnote w:type="continuationSeparator" w:id="0">
    <w:p w:rsidR="00D606C6" w:rsidRDefault="00D606C6" w:rsidP="005A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08" w:rsidRPr="005A1408" w:rsidRDefault="005A1408" w:rsidP="005A1408">
    <w:pPr>
      <w:pStyle w:val="Header"/>
      <w:ind w:left="0"/>
      <w:rPr>
        <w:i/>
        <w:sz w:val="16"/>
      </w:rPr>
    </w:pPr>
    <w:r w:rsidRPr="005A1408">
      <w:rPr>
        <w:i/>
        <w:sz w:val="16"/>
      </w:rPr>
      <w:t xml:space="preserve"> BAA decision checklist</w:t>
    </w:r>
    <w:r>
      <w:rPr>
        <w:i/>
        <w:sz w:val="16"/>
      </w:rPr>
      <w:t xml:space="preserve"> </w:t>
    </w:r>
    <w:r w:rsidR="006933DA">
      <w:rPr>
        <w:i/>
        <w:sz w:val="16"/>
      </w:rPr>
      <w:t>8-30-13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F4B"/>
    <w:multiLevelType w:val="hybridMultilevel"/>
    <w:tmpl w:val="776C0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79622B"/>
    <w:multiLevelType w:val="multilevel"/>
    <w:tmpl w:val="8834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B7"/>
    <w:rsid w:val="000A447F"/>
    <w:rsid w:val="000B4EC4"/>
    <w:rsid w:val="000F373F"/>
    <w:rsid w:val="00180BFC"/>
    <w:rsid w:val="0029129B"/>
    <w:rsid w:val="00353187"/>
    <w:rsid w:val="00370E05"/>
    <w:rsid w:val="003D4C51"/>
    <w:rsid w:val="00400144"/>
    <w:rsid w:val="00417D31"/>
    <w:rsid w:val="00460D22"/>
    <w:rsid w:val="004E7557"/>
    <w:rsid w:val="005A1408"/>
    <w:rsid w:val="00651A86"/>
    <w:rsid w:val="00671FA5"/>
    <w:rsid w:val="00686D22"/>
    <w:rsid w:val="006933DA"/>
    <w:rsid w:val="00736F6A"/>
    <w:rsid w:val="007B2843"/>
    <w:rsid w:val="00830BA2"/>
    <w:rsid w:val="008351B8"/>
    <w:rsid w:val="00890F6A"/>
    <w:rsid w:val="0090172C"/>
    <w:rsid w:val="00913012"/>
    <w:rsid w:val="009868B7"/>
    <w:rsid w:val="00996B60"/>
    <w:rsid w:val="0099730D"/>
    <w:rsid w:val="00B4047A"/>
    <w:rsid w:val="00B86B23"/>
    <w:rsid w:val="00C807DB"/>
    <w:rsid w:val="00C94BAD"/>
    <w:rsid w:val="00D21294"/>
    <w:rsid w:val="00D606C6"/>
    <w:rsid w:val="00D75E27"/>
    <w:rsid w:val="00E305E6"/>
    <w:rsid w:val="00E64E8D"/>
    <w:rsid w:val="00F16ACD"/>
    <w:rsid w:val="00F20F72"/>
    <w:rsid w:val="00F74780"/>
    <w:rsid w:val="00FC2B45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EC4"/>
    <w:pPr>
      <w:autoSpaceDE w:val="0"/>
      <w:autoSpaceDN w:val="0"/>
      <w:adjustRightInd w:val="0"/>
      <w:ind w:left="0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70E05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08"/>
  </w:style>
  <w:style w:type="paragraph" w:styleId="Footer">
    <w:name w:val="footer"/>
    <w:basedOn w:val="Normal"/>
    <w:link w:val="FooterChar"/>
    <w:uiPriority w:val="99"/>
    <w:unhideWhenUsed/>
    <w:rsid w:val="005A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08"/>
  </w:style>
  <w:style w:type="character" w:styleId="CommentReference">
    <w:name w:val="annotation reference"/>
    <w:basedOn w:val="DefaultParagraphFont"/>
    <w:uiPriority w:val="99"/>
    <w:semiHidden/>
    <w:unhideWhenUsed/>
    <w:rsid w:val="00736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EC4"/>
    <w:pPr>
      <w:autoSpaceDE w:val="0"/>
      <w:autoSpaceDN w:val="0"/>
      <w:adjustRightInd w:val="0"/>
      <w:ind w:left="0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70E05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08"/>
  </w:style>
  <w:style w:type="paragraph" w:styleId="Footer">
    <w:name w:val="footer"/>
    <w:basedOn w:val="Normal"/>
    <w:link w:val="FooterChar"/>
    <w:uiPriority w:val="99"/>
    <w:unhideWhenUsed/>
    <w:rsid w:val="005A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08"/>
  </w:style>
  <w:style w:type="character" w:styleId="CommentReference">
    <w:name w:val="annotation reference"/>
    <w:basedOn w:val="DefaultParagraphFont"/>
    <w:uiPriority w:val="99"/>
    <w:semiHidden/>
    <w:unhideWhenUsed/>
    <w:rsid w:val="00736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070">
              <w:marLeft w:val="-5775"/>
              <w:marRight w:val="-5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76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059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5355">
                                  <w:marLeft w:val="150"/>
                                  <w:marRight w:val="150"/>
                                  <w:marTop w:val="10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786">
              <w:marLeft w:val="-5775"/>
              <w:marRight w:val="-5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7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904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7168">
                                  <w:marLeft w:val="150"/>
                                  <w:marRight w:val="150"/>
                                  <w:marTop w:val="10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0E0A-56E3-44D2-8B95-554AB66B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Mondschein-Katz, Stacey</dc:creator>
  <cp:keywords/>
  <dc:description/>
  <cp:lastModifiedBy>michael.morin</cp:lastModifiedBy>
  <cp:revision>2</cp:revision>
  <dcterms:created xsi:type="dcterms:W3CDTF">2013-09-03T12:42:00Z</dcterms:created>
  <dcterms:modified xsi:type="dcterms:W3CDTF">2013-09-03T12:42:00Z</dcterms:modified>
</cp:coreProperties>
</file>