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sz w:val="24"/>
          <w:szCs w:val="24"/>
        </w:rPr>
        <w:id w:val="1521746746"/>
        <w:docPartObj>
          <w:docPartGallery w:val="Cover Pages"/>
          <w:docPartUnique/>
        </w:docPartObj>
      </w:sdtPr>
      <w:sdtEndPr/>
      <w:sdtContent>
        <w:p w:rsidR="00020160" w:rsidRPr="00155A80" w:rsidRDefault="00155A80" w:rsidP="00020160">
          <w:pPr>
            <w:suppressLineNumbers/>
            <w:spacing w:line="252" w:lineRule="auto"/>
            <w:rPr>
              <w:rFonts w:ascii="Times New Roman" w:eastAsiaTheme="majorEastAsia" w:hAnsi="Times New Roman" w:cs="Times New Roman"/>
              <w:sz w:val="24"/>
              <w:szCs w:val="24"/>
            </w:rPr>
          </w:pPr>
          <w:r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59264" behindDoc="0" locked="0" layoutInCell="1" allowOverlap="1" wp14:anchorId="3D4C2205" wp14:editId="2CC1DD07">
                    <wp:simplePos x="0" y="0"/>
                    <mc:AlternateContent>
                      <mc:Choice Requires="wp14">
                        <wp:positionH relativeFrom="page">
                          <wp14:pctPosHOffset>44000</wp14:pctPosHOffset>
                        </wp:positionH>
                      </mc:Choice>
                      <mc:Fallback>
                        <wp:positionH relativeFrom="page">
                          <wp:posOffset>3419475</wp:posOffset>
                        </wp:positionH>
                      </mc:Fallback>
                    </mc:AlternateContent>
                    <wp:positionV relativeFrom="page">
                      <wp:posOffset>293991</wp:posOffset>
                    </wp:positionV>
                    <wp:extent cx="3827145" cy="9314121"/>
                    <wp:effectExtent l="0" t="0" r="20955" b="20955"/>
                    <wp:wrapNone/>
                    <wp:docPr id="36" name="Rectangle 36"/>
                    <wp:cNvGraphicFramePr/>
                    <a:graphic xmlns:a="http://schemas.openxmlformats.org/drawingml/2006/main">
                      <a:graphicData uri="http://schemas.microsoft.com/office/word/2010/wordprocessingShape">
                        <wps:wsp>
                          <wps:cNvSpPr/>
                          <wps:spPr>
                            <a:xfrm>
                              <a:off x="0" y="0"/>
                              <a:ext cx="3827145" cy="9314121"/>
                            </a:xfrm>
                            <a:prstGeom prst="rect">
                              <a:avLst/>
                            </a:prstGeom>
                            <a:solidFill>
                              <a:sysClr val="window" lastClr="FFFFFF"/>
                            </a:solidFill>
                            <a:ln w="15875"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23.15pt;width:301.35pt;height:733.4pt;z-index:251659264;visibility:visible;mso-wrap-style:square;mso-width-percent:0;mso-height-percent:0;mso-left-percent:440;mso-wrap-distance-left:9pt;mso-wrap-distance-top:0;mso-wrap-distance-right:9pt;mso-wrap-distance-bottom:0;mso-position-horizontal-relative:page;mso-position-vertical:absolute;mso-position-vertical-relative:page;mso-width-percent:0;mso-height-percent:0;mso-left-percent:4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" fillcolor="window" strokecolor="#948a54" strokeweight="1.25pt">
                    <w10:wrap anchorx="page" anchory="page"/>
                  </v:rect>
                </w:pict>
              </mc:Fallback>
            </mc:AlternateContent>
          </w:r>
          <w:r w:rsidR="00975D70"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24492CC3" wp14:editId="2646F8CD">
                    <wp:simplePos x="0" y="0"/>
                    <wp:positionH relativeFrom="page">
                      <wp:posOffset>3752850</wp:posOffset>
                    </wp:positionH>
                    <wp:positionV relativeFrom="page">
                      <wp:posOffset>297180</wp:posOffset>
                    </wp:positionV>
                    <wp:extent cx="3136265" cy="3017520"/>
                    <wp:effectExtent l="0" t="0" r="6985" b="0"/>
                    <wp:wrapNone/>
                    <wp:docPr id="35" name="Rectangle 35"/>
                    <wp:cNvGraphicFramePr/>
                    <a:graphic xmlns:a="http://schemas.openxmlformats.org/drawingml/2006/main">
                      <a:graphicData uri="http://schemas.microsoft.com/office/word/2010/wordprocessingShape">
                        <wps:wsp>
                          <wps:cNvSpPr/>
                          <wps:spPr>
                            <a:xfrm>
                              <a:off x="0" y="0"/>
                              <a:ext cx="3136265" cy="3017520"/>
                            </a:xfrm>
                            <a:prstGeom prst="rect">
                              <a:avLst/>
                            </a:prstGeom>
                            <a:solidFill>
                              <a:srgbClr val="1F497D"/>
                            </a:solidFill>
                            <a:ln w="25400" cap="flat" cmpd="sng" algn="ctr">
                              <a:noFill/>
                              <a:prstDash val="solid"/>
                            </a:ln>
                            <a:effectLst/>
                          </wps:spPr>
                          <wps:txbx>
                            <w:txbxContent>
                              <w:p w:rsidR="0003739D" w:rsidRDefault="0003739D" w:rsidP="00020160">
                                <w:pPr>
                                  <w:spacing w:before="240"/>
                                  <w:jc w:val="center"/>
                                  <w:rPr>
                                    <w:color w:val="FFFFFF" w:themeColor="background1"/>
                                  </w:rPr>
                                </w:pPr>
                                <w:r>
                                  <w:rPr>
                                    <w:noProof/>
                                    <w:color w:val="FFFFFF" w:themeColor="background1"/>
                                  </w:rPr>
                                  <w:drawing>
                                    <wp:inline distT="0" distB="0" distL="0" distR="0" wp14:anchorId="1D43AD25" wp14:editId="485634D7">
                                      <wp:extent cx="1992630" cy="2443480"/>
                                      <wp:effectExtent l="0" t="0" r="7620" b="0"/>
                                      <wp:docPr id="1" name="Picture 1"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id="Rectangle 35" o:spid="_x0000_s1026" style="position:absolute;margin-left:295.5pt;margin-top:23.4pt;width:246.95pt;height:237.6pt;z-index:25166028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" fillcolor="#1f497d" stroked="f" strokeweight="2pt">
                    <v:textbox inset="14.4pt,14.4pt,14.4pt,28.8pt">
                      <w:txbxContent>
                        <w:p w:rsidR="0003739D" w:rsidRDefault="0003739D" w:rsidP="00020160">
                          <w:pPr>
                            <w:spacing w:before="240"/>
                            <w:jc w:val="center"/>
                            <w:rPr>
                              <w:color w:val="FFFFFF" w:themeColor="background1"/>
                            </w:rPr>
                          </w:pPr>
                          <w:r>
                            <w:rPr>
                              <w:noProof/>
                              <w:color w:val="FFFFFF" w:themeColor="background1"/>
                            </w:rPr>
                            <w:drawing>
                              <wp:inline distT="0" distB="0" distL="0" distR="0" wp14:anchorId="1D43AD25" wp14:editId="485634D7">
                                <wp:extent cx="1992630" cy="2443480"/>
                                <wp:effectExtent l="0" t="0" r="7620" b="0"/>
                                <wp:docPr id="1" name="Picture 1"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020160"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63360" behindDoc="1" locked="0" layoutInCell="1" allowOverlap="1" wp14:anchorId="0BC3A0A6" wp14:editId="6AF6C16A">
                    <wp:simplePos x="0" y="0"/>
                    <wp:positionH relativeFrom="page">
                      <wp:align>center</wp:align>
                    </wp:positionH>
                    <wp:positionV relativeFrom="page">
                      <wp:align>center</wp:align>
                    </wp:positionV>
                    <wp:extent cx="7383780" cy="9555480"/>
                    <wp:effectExtent l="57150" t="38100" r="83820" b="1028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03739D" w:rsidRDefault="0003739D" w:rsidP="00020160">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" fillcolor="#fbcaa2 [1625]" strokecolor="#f68c36 [3049]">
                    <v:fill color2="#fdefe3 [505]" rotate="t" angle="180" colors="0 #ffbe86;22938f #ffd0aa;1 #ffebdb" focus="100%" type="gradient"/>
                    <v:shadow on="t" color="black" opacity="24903f" origin=",.5" offset="0,.55556mm"/>
                    <v:path arrowok="t"/>
                    <v:textbox inset="21.6pt,,21.6pt">
                      <w:txbxContent>
                        <w:p w:rsidR="0003739D" w:rsidRDefault="0003739D" w:rsidP="00020160">
                          <w:pPr>
                            <w:jc w:val="center"/>
                          </w:pPr>
                        </w:p>
                      </w:txbxContent>
                    </v:textbox>
                    <w10:wrap anchorx="page" anchory="page"/>
                  </v:rect>
                </w:pict>
              </mc:Fallback>
            </mc:AlternateContent>
          </w:r>
        </w:p>
        <w:p w:rsidR="00020160" w:rsidRPr="00155A80" w:rsidRDefault="00A536B1" w:rsidP="00020160">
          <w:pPr>
            <w:suppressLineNumbers/>
            <w:spacing w:line="252" w:lineRule="auto"/>
            <w:rPr>
              <w:rFonts w:ascii="Times New Roman" w:eastAsiaTheme="majorEastAsia" w:hAnsi="Times New Roman" w:cs="Times New Roman"/>
              <w:sz w:val="24"/>
              <w:szCs w:val="24"/>
            </w:rPr>
          </w:pPr>
          <w:r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0759DD9A" wp14:editId="1D97064F">
                    <wp:simplePos x="0" y="0"/>
                    <wp:positionH relativeFrom="page">
                      <wp:posOffset>3529965</wp:posOffset>
                    </wp:positionH>
                    <wp:positionV relativeFrom="page">
                      <wp:posOffset>6017895</wp:posOffset>
                    </wp:positionV>
                    <wp:extent cx="3709670" cy="229616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709670" cy="2296160"/>
                            </a:xfrm>
                            <a:prstGeom prst="rect">
                              <a:avLst/>
                            </a:prstGeom>
                            <a:noFill/>
                            <a:ln w="6350">
                              <a:noFill/>
                            </a:ln>
                            <a:effectLst/>
                          </wps:spPr>
                          <wps:txbx>
                            <w:txbxContent>
                              <w:sdt>
                                <w:sdtPr>
                                  <w:rPr>
                                    <w:rFonts w:asciiTheme="majorHAnsi" w:hAnsiTheme="majorHAnsi"/>
                                    <w:noProof/>
                                    <w:color w:val="4F81BD" w:themeColor="accent1"/>
                                    <w:sz w:val="52"/>
                                    <w:szCs w:val="52"/>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03739D" w:rsidRPr="00A536B1" w:rsidRDefault="0003739D" w:rsidP="00020160">
                                    <w:pPr>
                                      <w:jc w:val="center"/>
                                      <w:rPr>
                                        <w:rFonts w:asciiTheme="majorHAnsi" w:hAnsiTheme="majorHAnsi"/>
                                        <w:noProof/>
                                        <w:color w:val="4F81BD" w:themeColor="accent1"/>
                                        <w:sz w:val="52"/>
                                        <w:szCs w:val="52"/>
                                      </w:rPr>
                                    </w:pPr>
                                    <w:r w:rsidRPr="00A536B1">
                                      <w:rPr>
                                        <w:rFonts w:asciiTheme="majorHAnsi" w:hAnsiTheme="majorHAnsi"/>
                                        <w:noProof/>
                                        <w:color w:val="4F81BD" w:themeColor="accent1"/>
                                        <w:sz w:val="52"/>
                                        <w:szCs w:val="52"/>
                                      </w:rPr>
                                      <w:t>State of Maine</w:t>
                                    </w:r>
                                  </w:p>
                                </w:sdtContent>
                              </w:sdt>
                              <w:p w:rsidR="0003739D" w:rsidRPr="00020160" w:rsidRDefault="00554BA0" w:rsidP="00020160">
                                <w:pPr>
                                  <w:jc w:val="center"/>
                                  <w:rPr>
                                    <w:rFonts w:asciiTheme="majorHAnsi" w:hAnsiTheme="majorHAnsi"/>
                                    <w:noProof/>
                                    <w:color w:val="1F497D" w:themeColor="text2"/>
                                    <w:sz w:val="40"/>
                                    <w:szCs w:val="40"/>
                                  </w:rPr>
                                </w:pPr>
                                <w:sdt>
                                  <w:sdtPr>
                                    <w:rPr>
                                      <w:rFonts w:asciiTheme="majorHAnsi" w:hAnsiTheme="majorHAnsi"/>
                                      <w:noProof/>
                                      <w:color w:val="1F497D" w:themeColor="text2"/>
                                      <w:sz w:val="40"/>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r w:rsidR="0003739D">
                                      <w:rPr>
                                        <w:rFonts w:asciiTheme="majorHAnsi" w:hAnsiTheme="majorHAnsi"/>
                                        <w:noProof/>
                                        <w:color w:val="1F497D" w:themeColor="text2"/>
                                        <w:sz w:val="40"/>
                                        <w:szCs w:val="40"/>
                                      </w:rPr>
                                      <w:t>State Plan</w:t>
                                    </w:r>
                                  </w:sdtContent>
                                </w:sdt>
                              </w:p>
                              <w:p w:rsidR="0003739D" w:rsidRPr="00020160" w:rsidRDefault="0003739D" w:rsidP="00020160">
                                <w:pPr>
                                  <w:jc w:val="center"/>
                                  <w:rPr>
                                    <w:rFonts w:asciiTheme="majorHAnsi" w:hAnsiTheme="majorHAnsi"/>
                                    <w:noProof/>
                                    <w:color w:val="1F497D" w:themeColor="text2"/>
                                    <w:sz w:val="32"/>
                                    <w:szCs w:val="40"/>
                                  </w:rPr>
                                </w:pPr>
                                <w:r w:rsidRPr="00020160">
                                  <w:rPr>
                                    <w:rFonts w:asciiTheme="majorHAnsi" w:hAnsiTheme="majorHAnsi"/>
                                    <w:noProof/>
                                    <w:color w:val="1F497D" w:themeColor="text2"/>
                                    <w:sz w:val="32"/>
                                    <w:szCs w:val="40"/>
                                  </w:rPr>
                                  <w:t xml:space="preserve">2016 –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277.95pt;margin-top:473.85pt;width:292.1pt;height:1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" filled="f" stroked="f" strokeweight=".5pt">
                    <v:textbox>
                      <w:txbxContent>
                        <w:sdt>
                          <w:sdtPr>
                            <w:rPr>
                              <w:rFonts w:asciiTheme="majorHAnsi" w:hAnsiTheme="majorHAnsi"/>
                              <w:noProof/>
                              <w:color w:val="4F81BD" w:themeColor="accent1"/>
                              <w:sz w:val="52"/>
                              <w:szCs w:val="52"/>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03739D" w:rsidRPr="00A536B1" w:rsidRDefault="0003739D" w:rsidP="00020160">
                              <w:pPr>
                                <w:jc w:val="center"/>
                                <w:rPr>
                                  <w:rFonts w:asciiTheme="majorHAnsi" w:hAnsiTheme="majorHAnsi"/>
                                  <w:noProof/>
                                  <w:color w:val="4F81BD" w:themeColor="accent1"/>
                                  <w:sz w:val="52"/>
                                  <w:szCs w:val="52"/>
                                </w:rPr>
                              </w:pPr>
                              <w:r w:rsidRPr="00A536B1">
                                <w:rPr>
                                  <w:rFonts w:asciiTheme="majorHAnsi" w:hAnsiTheme="majorHAnsi"/>
                                  <w:noProof/>
                                  <w:color w:val="4F81BD" w:themeColor="accent1"/>
                                  <w:sz w:val="52"/>
                                  <w:szCs w:val="52"/>
                                </w:rPr>
                                <w:t>State of Maine</w:t>
                              </w:r>
                            </w:p>
                          </w:sdtContent>
                        </w:sdt>
                        <w:p w:rsidR="0003739D" w:rsidRPr="00020160" w:rsidRDefault="0003739D" w:rsidP="00020160">
                          <w:pPr>
                            <w:jc w:val="center"/>
                            <w:rPr>
                              <w:rFonts w:asciiTheme="majorHAnsi" w:hAnsiTheme="majorHAnsi"/>
                              <w:noProof/>
                              <w:color w:val="1F497D" w:themeColor="text2"/>
                              <w:sz w:val="40"/>
                              <w:szCs w:val="40"/>
                            </w:rPr>
                          </w:pPr>
                          <w:sdt>
                            <w:sdtPr>
                              <w:rPr>
                                <w:rFonts w:asciiTheme="majorHAnsi" w:hAnsiTheme="majorHAnsi"/>
                                <w:noProof/>
                                <w:color w:val="1F497D" w:themeColor="text2"/>
                                <w:sz w:val="40"/>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noProof/>
                                  <w:color w:val="1F497D" w:themeColor="text2"/>
                                  <w:sz w:val="40"/>
                                  <w:szCs w:val="40"/>
                                </w:rPr>
                                <w:t>State Plan</w:t>
                              </w:r>
                            </w:sdtContent>
                          </w:sdt>
                        </w:p>
                        <w:p w:rsidR="0003739D" w:rsidRPr="00020160" w:rsidRDefault="0003739D" w:rsidP="00020160">
                          <w:pPr>
                            <w:jc w:val="center"/>
                            <w:rPr>
                              <w:rFonts w:asciiTheme="majorHAnsi" w:hAnsiTheme="majorHAnsi"/>
                              <w:noProof/>
                              <w:color w:val="1F497D" w:themeColor="text2"/>
                              <w:sz w:val="32"/>
                              <w:szCs w:val="40"/>
                            </w:rPr>
                          </w:pPr>
                          <w:r w:rsidRPr="00020160">
                            <w:rPr>
                              <w:rFonts w:asciiTheme="majorHAnsi" w:hAnsiTheme="majorHAnsi"/>
                              <w:noProof/>
                              <w:color w:val="1F497D" w:themeColor="text2"/>
                              <w:sz w:val="32"/>
                              <w:szCs w:val="40"/>
                            </w:rPr>
                            <w:t xml:space="preserve">2016 – 2020 </w:t>
                          </w:r>
                        </w:p>
                      </w:txbxContent>
                    </v:textbox>
                    <w10:wrap type="square" anchorx="page" anchory="page"/>
                  </v:shape>
                </w:pict>
              </mc:Fallback>
            </mc:AlternateContent>
          </w:r>
          <w:r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64384" behindDoc="0" locked="0" layoutInCell="1" allowOverlap="1" wp14:anchorId="37FEC0AE" wp14:editId="43329A65">
                    <wp:simplePos x="0" y="0"/>
                    <wp:positionH relativeFrom="page">
                      <wp:posOffset>3423285</wp:posOffset>
                    </wp:positionH>
                    <wp:positionV relativeFrom="page">
                      <wp:posOffset>3593465</wp:posOffset>
                    </wp:positionV>
                    <wp:extent cx="3826510" cy="1668780"/>
                    <wp:effectExtent l="0" t="0" r="0" b="7620"/>
                    <wp:wrapSquare wrapText="bothSides"/>
                    <wp:docPr id="33" name="Text Box 33"/>
                    <wp:cNvGraphicFramePr/>
                    <a:graphic xmlns:a="http://schemas.openxmlformats.org/drawingml/2006/main">
                      <a:graphicData uri="http://schemas.microsoft.com/office/word/2010/wordprocessingShape">
                        <wps:wsp>
                          <wps:cNvSpPr txBox="1"/>
                          <wps:spPr>
                            <a:xfrm>
                              <a:off x="0" y="0"/>
                              <a:ext cx="3826510" cy="1668780"/>
                            </a:xfrm>
                            <a:prstGeom prst="rect">
                              <a:avLst/>
                            </a:prstGeom>
                            <a:noFill/>
                            <a:ln w="6350">
                              <a:noFill/>
                            </a:ln>
                            <a:effectLst/>
                          </wps:spPr>
                          <wps:txbx>
                            <w:txbxContent>
                              <w:p w:rsidR="0003739D" w:rsidRPr="00A536B1" w:rsidRDefault="0003739D" w:rsidP="00975D70">
                                <w:pPr>
                                  <w:pStyle w:val="NoSpacing"/>
                                  <w:jc w:val="center"/>
                                  <w:rPr>
                                    <w:noProof/>
                                    <w:color w:val="1F497D" w:themeColor="text2"/>
                                    <w:sz w:val="52"/>
                                    <w:szCs w:val="26"/>
                                  </w:rPr>
                                </w:pPr>
                                <w:r w:rsidRPr="00A536B1">
                                  <w:rPr>
                                    <w:noProof/>
                                    <w:color w:val="1F497D" w:themeColor="text2"/>
                                    <w:sz w:val="52"/>
                                    <w:szCs w:val="26"/>
                                  </w:rPr>
                                  <w:t>Senior Community Service Employment Program</w:t>
                                </w:r>
                              </w:p>
                              <w:p w:rsidR="0003739D" w:rsidRPr="00A536B1" w:rsidRDefault="0003739D" w:rsidP="00975D70">
                                <w:pPr>
                                  <w:pStyle w:val="NoSpacing"/>
                                  <w:jc w:val="center"/>
                                  <w:rPr>
                                    <w:noProof/>
                                    <w:color w:val="1F497D" w:themeColor="text2"/>
                                    <w:sz w:val="52"/>
                                    <w:szCs w:val="26"/>
                                  </w:rPr>
                                </w:pPr>
                                <w:r w:rsidRPr="00A536B1">
                                  <w:rPr>
                                    <w:noProof/>
                                    <w:color w:val="1F497D" w:themeColor="text2"/>
                                    <w:sz w:val="52"/>
                                    <w:szCs w:val="26"/>
                                  </w:rPr>
                                  <w:t>(SCSEP)</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29" type="#_x0000_t202" style="position:absolute;margin-left:269.55pt;margin-top:282.95pt;width:301.3pt;height:13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" filled="f" stroked="f" strokeweight=".5pt">
                    <v:textbox>
                      <w:txbxContent>
                        <w:p w:rsidR="0003739D" w:rsidRPr="00A536B1" w:rsidRDefault="0003739D" w:rsidP="00975D70">
                          <w:pPr>
                            <w:pStyle w:val="NoSpacing"/>
                            <w:jc w:val="center"/>
                            <w:rPr>
                              <w:noProof/>
                              <w:color w:val="1F497D" w:themeColor="text2"/>
                              <w:sz w:val="52"/>
                              <w:szCs w:val="26"/>
                            </w:rPr>
                          </w:pPr>
                          <w:r w:rsidRPr="00A536B1">
                            <w:rPr>
                              <w:noProof/>
                              <w:color w:val="1F497D" w:themeColor="text2"/>
                              <w:sz w:val="52"/>
                              <w:szCs w:val="26"/>
                            </w:rPr>
                            <w:t>Senior Community Service Employment Program</w:t>
                          </w:r>
                        </w:p>
                        <w:p w:rsidR="0003739D" w:rsidRPr="00A536B1" w:rsidRDefault="0003739D" w:rsidP="00975D70">
                          <w:pPr>
                            <w:pStyle w:val="NoSpacing"/>
                            <w:jc w:val="center"/>
                            <w:rPr>
                              <w:noProof/>
                              <w:color w:val="1F497D" w:themeColor="text2"/>
                              <w:sz w:val="52"/>
                              <w:szCs w:val="26"/>
                            </w:rPr>
                          </w:pPr>
                          <w:r w:rsidRPr="00A536B1">
                            <w:rPr>
                              <w:noProof/>
                              <w:color w:val="1F497D" w:themeColor="text2"/>
                              <w:sz w:val="52"/>
                              <w:szCs w:val="26"/>
                            </w:rPr>
                            <w:t>(SCSEP)</w:t>
                          </w:r>
                        </w:p>
                      </w:txbxContent>
                    </v:textbox>
                    <w10:wrap type="square" anchorx="page" anchory="page"/>
                  </v:shape>
                </w:pict>
              </mc:Fallback>
            </mc:AlternateContent>
          </w:r>
          <w:r w:rsidR="00155A80" w:rsidRPr="00155A80">
            <w:rPr>
              <w:rFonts w:ascii="Times New Roman" w:eastAsiaTheme="majorEastAsia" w:hAnsi="Times New Roman" w:cs="Times New Roman"/>
              <w:noProof/>
              <w:sz w:val="24"/>
              <w:szCs w:val="24"/>
            </w:rPr>
            <mc:AlternateContent>
              <mc:Choice Requires="wps">
                <w:drawing>
                  <wp:anchor distT="0" distB="0" distL="114300" distR="114300" simplePos="0" relativeHeight="251662336" behindDoc="0" locked="0" layoutInCell="1" allowOverlap="1" wp14:anchorId="026AD623" wp14:editId="57A5B2E3">
                    <wp:simplePos x="0" y="0"/>
                    <wp:positionH relativeFrom="page">
                      <wp:posOffset>3529965</wp:posOffset>
                    </wp:positionH>
                    <wp:positionV relativeFrom="page">
                      <wp:posOffset>8888095</wp:posOffset>
                    </wp:positionV>
                    <wp:extent cx="3636010" cy="118745"/>
                    <wp:effectExtent l="0" t="0" r="2540" b="0"/>
                    <wp:wrapNone/>
                    <wp:docPr id="37" name="Rectangle 37"/>
                    <wp:cNvGraphicFramePr/>
                    <a:graphic xmlns:a="http://schemas.openxmlformats.org/drawingml/2006/main">
                      <a:graphicData uri="http://schemas.microsoft.com/office/word/2010/wordprocessingShape">
                        <wps:wsp>
                          <wps:cNvSpPr/>
                          <wps:spPr>
                            <a:xfrm>
                              <a:off x="0" y="0"/>
                              <a:ext cx="3636010" cy="11874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 o:spid="_x0000_s1026" style="position:absolute;margin-left:277.95pt;margin-top:699.85pt;width:286.3pt;height: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" fillcolor="#4f81bd" stroked="f" strokeweight="2pt">
                    <w10:wrap anchorx="page" anchory="page"/>
                  </v:rect>
                </w:pict>
              </mc:Fallback>
            </mc:AlternateContent>
          </w:r>
          <w:r w:rsidR="00020160" w:rsidRPr="00155A80">
            <w:rPr>
              <w:rFonts w:ascii="Times New Roman" w:eastAsiaTheme="majorEastAsia" w:hAnsi="Times New Roman" w:cs="Times New Roman"/>
              <w:sz w:val="24"/>
              <w:szCs w:val="24"/>
            </w:rPr>
            <w:br w:type="page"/>
          </w:r>
        </w:p>
      </w:sdtContent>
    </w:sdt>
    <w:p w:rsidR="00970A74" w:rsidRDefault="00970A74" w:rsidP="00BD5979">
      <w:pPr>
        <w:tabs>
          <w:tab w:val="left" w:pos="6966"/>
        </w:tabs>
        <w:rPr>
          <w:rFonts w:ascii="Times New Roman" w:eastAsia="Times New Roman" w:hAnsi="Times New Roman" w:cs="Times New Roman"/>
          <w:sz w:val="24"/>
          <w:szCs w:val="24"/>
        </w:rPr>
      </w:pPr>
    </w:p>
    <w:p w:rsidR="00970A74" w:rsidRDefault="00970A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0160" w:rsidRPr="00970A74" w:rsidRDefault="00970A74" w:rsidP="00BD5979">
      <w:pPr>
        <w:tabs>
          <w:tab w:val="left" w:pos="6966"/>
        </w:tabs>
        <w:rPr>
          <w:rFonts w:ascii="Times New Roman" w:eastAsia="Times New Roman" w:hAnsi="Times New Roman" w:cs="Times New Roman"/>
          <w:b/>
          <w:sz w:val="24"/>
          <w:szCs w:val="24"/>
        </w:rPr>
      </w:pPr>
      <w:r w:rsidRPr="00970A74">
        <w:rPr>
          <w:rFonts w:ascii="Times New Roman" w:eastAsia="Times New Roman" w:hAnsi="Times New Roman" w:cs="Times New Roman"/>
          <w:b/>
          <w:sz w:val="24"/>
          <w:szCs w:val="24"/>
        </w:rPr>
        <w:lastRenderedPageBreak/>
        <w:t>T</w:t>
      </w:r>
      <w:r w:rsidR="00BD5979" w:rsidRPr="00970A74">
        <w:rPr>
          <w:rFonts w:ascii="Times New Roman" w:eastAsia="Times New Roman" w:hAnsi="Times New Roman" w:cs="Times New Roman"/>
          <w:b/>
          <w:sz w:val="24"/>
          <w:szCs w:val="24"/>
        </w:rPr>
        <w:t>able of Contents:</w:t>
      </w:r>
    </w:p>
    <w:p w:rsidR="00BD5979" w:rsidRPr="00155A80" w:rsidRDefault="00BD5979" w:rsidP="00BD5979">
      <w:pPr>
        <w:tabs>
          <w:tab w:val="left" w:pos="6966"/>
        </w:tabs>
        <w:rPr>
          <w:rFonts w:ascii="Times New Roman" w:eastAsia="Times New Roman" w:hAnsi="Times New Roman" w:cs="Times New Roman"/>
          <w:sz w:val="24"/>
          <w:szCs w:val="24"/>
        </w:rPr>
      </w:pPr>
    </w:p>
    <w:p w:rsidR="00BD5979" w:rsidRPr="00155A80" w:rsidRDefault="00155A80" w:rsidP="00155A80">
      <w:pPr>
        <w:tabs>
          <w:tab w:val="left" w:pos="6966"/>
        </w:tabs>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Introduction</w:t>
      </w:r>
      <w:r>
        <w:rPr>
          <w:rFonts w:ascii="Times New Roman" w:eastAsia="Times New Roman" w:hAnsi="Times New Roman" w:cs="Times New Roman"/>
          <w:sz w:val="24"/>
          <w:szCs w:val="24"/>
        </w:rPr>
        <w:t>:</w:t>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sidRPr="00155A80">
        <w:rPr>
          <w:rFonts w:ascii="Times New Roman" w:eastAsia="Times New Roman" w:hAnsi="Times New Roman" w:cs="Times New Roman"/>
          <w:sz w:val="24"/>
          <w:szCs w:val="24"/>
        </w:rPr>
        <w:t xml:space="preserve"> </w:t>
      </w:r>
    </w:p>
    <w:p w:rsidR="00155A80" w:rsidRDefault="00155A80" w:rsidP="00155A80">
      <w:pPr>
        <w:tabs>
          <w:tab w:val="left" w:pos="6966"/>
        </w:tabs>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I. Economic Projections and Impact:</w:t>
      </w:r>
      <w:r>
        <w:rPr>
          <w:rFonts w:ascii="Times New Roman" w:eastAsia="Times New Roman" w:hAnsi="Times New Roman" w:cs="Times New Roman"/>
          <w:sz w:val="24"/>
          <w:szCs w:val="24"/>
        </w:rPr>
        <w:tab/>
        <w:t xml:space="preserve"> </w:t>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t>6</w:t>
      </w:r>
    </w:p>
    <w:p w:rsidR="00155A80" w:rsidRDefault="00155A80" w:rsidP="00155A80">
      <w:pPr>
        <w:tabs>
          <w:tab w:val="left" w:pos="6966"/>
        </w:tabs>
        <w:rPr>
          <w:rFonts w:ascii="Times New Roman" w:eastAsia="Times New Roman" w:hAnsi="Times New Roman" w:cs="Times New Roman"/>
          <w:sz w:val="24"/>
          <w:szCs w:val="24"/>
        </w:rPr>
      </w:pPr>
      <w:r>
        <w:rPr>
          <w:rFonts w:ascii="Times New Roman" w:eastAsia="Times New Roman" w:hAnsi="Times New Roman" w:cs="Times New Roman"/>
          <w:sz w:val="24"/>
          <w:szCs w:val="24"/>
        </w:rPr>
        <w:t>II. Service Delivery and Coordination</w:t>
      </w:r>
      <w:r w:rsidR="00970A74">
        <w:rPr>
          <w:rFonts w:ascii="Times New Roman" w:eastAsia="Times New Roman" w:hAnsi="Times New Roman" w:cs="Times New Roman"/>
          <w:sz w:val="24"/>
          <w:szCs w:val="24"/>
        </w:rPr>
        <w:t>:</w:t>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t>10</w:t>
      </w:r>
    </w:p>
    <w:p w:rsidR="00155A80" w:rsidRDefault="00155A80" w:rsidP="00155A80">
      <w:pPr>
        <w:tabs>
          <w:tab w:val="left" w:pos="6966"/>
        </w:tabs>
        <w:rPr>
          <w:rFonts w:ascii="Times New Roman" w:eastAsia="Times New Roman" w:hAnsi="Times New Roman" w:cs="Times New Roman"/>
          <w:sz w:val="24"/>
          <w:szCs w:val="24"/>
        </w:rPr>
      </w:pPr>
      <w:r>
        <w:rPr>
          <w:rFonts w:ascii="Times New Roman" w:eastAsia="Times New Roman" w:hAnsi="Times New Roman" w:cs="Times New Roman"/>
          <w:sz w:val="24"/>
          <w:szCs w:val="24"/>
        </w:rPr>
        <w:t>III. Location and Population Served, including Equitable Distribution</w:t>
      </w:r>
      <w:r w:rsidR="00970A74">
        <w:rPr>
          <w:rFonts w:ascii="Times New Roman" w:eastAsia="Times New Roman" w:hAnsi="Times New Roman" w:cs="Times New Roman"/>
          <w:sz w:val="24"/>
          <w:szCs w:val="24"/>
        </w:rPr>
        <w:t>:</w:t>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t>14</w:t>
      </w:r>
    </w:p>
    <w:p w:rsidR="00B07231" w:rsidRPr="00155A80" w:rsidRDefault="00155A80" w:rsidP="00155A80">
      <w:pPr>
        <w:tabs>
          <w:tab w:val="left" w:pos="6966"/>
        </w:tabs>
        <w:rPr>
          <w:rFonts w:ascii="Times New Roman" w:eastAsia="Times New Roman" w:hAnsi="Times New Roman" w:cs="Times New Roman"/>
          <w:sz w:val="24"/>
          <w:szCs w:val="24"/>
        </w:rPr>
      </w:pPr>
      <w:r>
        <w:rPr>
          <w:rFonts w:ascii="Times New Roman" w:eastAsia="Times New Roman" w:hAnsi="Times New Roman" w:cs="Times New Roman"/>
          <w:sz w:val="24"/>
          <w:szCs w:val="24"/>
        </w:rPr>
        <w:t>IV. Assurances and Public Comments/Questions</w:t>
      </w:r>
      <w:r w:rsidR="00970A74">
        <w:rPr>
          <w:rFonts w:ascii="Times New Roman" w:eastAsia="Times New Roman" w:hAnsi="Times New Roman" w:cs="Times New Roman"/>
          <w:sz w:val="24"/>
          <w:szCs w:val="24"/>
        </w:rPr>
        <w:t>:</w:t>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970A74">
        <w:rPr>
          <w:rFonts w:ascii="Times New Roman" w:eastAsia="Times New Roman" w:hAnsi="Times New Roman" w:cs="Times New Roman"/>
          <w:sz w:val="24"/>
          <w:szCs w:val="24"/>
        </w:rPr>
        <w:tab/>
      </w:r>
      <w:r w:rsidR="007C4692">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r>
      <w:r w:rsidR="00B07231" w:rsidRPr="00155A80">
        <w:rPr>
          <w:rFonts w:ascii="Times New Roman" w:eastAsia="Times New Roman" w:hAnsi="Times New Roman" w:cs="Times New Roman"/>
          <w:sz w:val="24"/>
          <w:szCs w:val="24"/>
        </w:rPr>
        <w:br w:type="page"/>
      </w:r>
    </w:p>
    <w:p w:rsidR="00B07231" w:rsidRPr="00155A80" w:rsidRDefault="00B07231" w:rsidP="00B07231">
      <w:pPr>
        <w:tabs>
          <w:tab w:val="left" w:pos="6966"/>
        </w:tabs>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lastRenderedPageBreak/>
        <w:t>Under Title V of the Older Americans Act</w:t>
      </w:r>
    </w:p>
    <w:p w:rsidR="00B07231" w:rsidRPr="00155A80" w:rsidRDefault="00B07231" w:rsidP="00B07231">
      <w:pPr>
        <w:tabs>
          <w:tab w:val="left" w:pos="6966"/>
        </w:tabs>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SCSEP STATE PLAN</w:t>
      </w:r>
    </w:p>
    <w:p w:rsidR="00B07231" w:rsidRPr="00155A80" w:rsidRDefault="00B07231" w:rsidP="00B07231">
      <w:pPr>
        <w:tabs>
          <w:tab w:val="left" w:pos="6966"/>
        </w:tabs>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2016-2020</w:t>
      </w:r>
    </w:p>
    <w:p w:rsidR="00B07231" w:rsidRPr="00155A80" w:rsidRDefault="00B07231" w:rsidP="00B07231">
      <w:pPr>
        <w:tabs>
          <w:tab w:val="left" w:pos="6966"/>
        </w:tabs>
        <w:rPr>
          <w:rFonts w:ascii="Times New Roman" w:eastAsia="Times New Roman" w:hAnsi="Times New Roman" w:cs="Times New Roman"/>
          <w:sz w:val="24"/>
          <w:szCs w:val="24"/>
        </w:rPr>
      </w:pPr>
    </w:p>
    <w:p w:rsidR="00BD5979" w:rsidRPr="00155A80" w:rsidRDefault="00B07231" w:rsidP="00B07231">
      <w:pPr>
        <w:tabs>
          <w:tab w:val="left" w:pos="6966"/>
        </w:tabs>
        <w:rPr>
          <w:rFonts w:ascii="Times New Roman" w:eastAsia="Times New Roman" w:hAnsi="Times New Roman" w:cs="Times New Roman"/>
          <w:sz w:val="24"/>
          <w:szCs w:val="24"/>
          <w:u w:val="single"/>
        </w:rPr>
      </w:pPr>
      <w:r w:rsidRPr="00155A80">
        <w:rPr>
          <w:rFonts w:ascii="Times New Roman" w:eastAsia="Times New Roman" w:hAnsi="Times New Roman" w:cs="Times New Roman"/>
          <w:sz w:val="24"/>
          <w:szCs w:val="24"/>
          <w:u w:val="single"/>
        </w:rPr>
        <w:t>Introduction</w:t>
      </w:r>
    </w:p>
    <w:p w:rsidR="00B07231" w:rsidRPr="00155A80" w:rsidRDefault="00B07231" w:rsidP="00B07231">
      <w:pPr>
        <w:tabs>
          <w:tab w:val="left" w:pos="6966"/>
        </w:tabs>
        <w:jc w:val="center"/>
        <w:rPr>
          <w:rFonts w:ascii="Times New Roman" w:eastAsia="Times New Roman" w:hAnsi="Times New Roman" w:cs="Times New Roman"/>
          <w:b/>
          <w:sz w:val="24"/>
          <w:szCs w:val="24"/>
        </w:rPr>
      </w:pPr>
      <w:r w:rsidRPr="00155A80">
        <w:rPr>
          <w:rFonts w:ascii="Times New Roman" w:eastAsia="Times New Roman" w:hAnsi="Times New Roman" w:cs="Times New Roman"/>
          <w:b/>
          <w:sz w:val="24"/>
          <w:szCs w:val="24"/>
        </w:rPr>
        <w:t>Overview of the Senior Community Service Employment Program (SCSEP)</w:t>
      </w:r>
    </w:p>
    <w:p w:rsidR="00155A80" w:rsidRDefault="00B0723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This State Plan focuses on Title V of the Older Americans Act, which </w:t>
      </w:r>
      <w:r w:rsidR="00FE564B">
        <w:rPr>
          <w:rFonts w:ascii="Times New Roman" w:hAnsi="Times New Roman" w:cs="Times New Roman"/>
          <w:sz w:val="24"/>
          <w:szCs w:val="24"/>
        </w:rPr>
        <w:t xml:space="preserve">is </w:t>
      </w:r>
      <w:r w:rsidRPr="00155A80">
        <w:rPr>
          <w:rFonts w:ascii="Times New Roman" w:hAnsi="Times New Roman" w:cs="Times New Roman"/>
          <w:sz w:val="24"/>
          <w:szCs w:val="24"/>
        </w:rPr>
        <w:t xml:space="preserve">the Senior Community Service Employment Program (SCSEP).  The Plan is written in accordance with </w:t>
      </w:r>
      <w:r w:rsidR="00D977B6" w:rsidRPr="00155A80">
        <w:rPr>
          <w:rFonts w:ascii="Times New Roman" w:hAnsi="Times New Roman" w:cs="Times New Roman"/>
          <w:sz w:val="24"/>
          <w:szCs w:val="24"/>
        </w:rPr>
        <w:t xml:space="preserve">the </w:t>
      </w:r>
      <w:r w:rsidRPr="00155A80">
        <w:rPr>
          <w:rFonts w:ascii="Times New Roman" w:hAnsi="Times New Roman" w:cs="Times New Roman"/>
          <w:sz w:val="24"/>
          <w:szCs w:val="24"/>
        </w:rPr>
        <w:t>U</w:t>
      </w:r>
      <w:r w:rsidR="004514E4">
        <w:rPr>
          <w:rFonts w:ascii="Times New Roman" w:hAnsi="Times New Roman" w:cs="Times New Roman"/>
          <w:sz w:val="24"/>
          <w:szCs w:val="24"/>
        </w:rPr>
        <w:t xml:space="preserve">nited </w:t>
      </w:r>
      <w:r w:rsidRPr="00155A80">
        <w:rPr>
          <w:rFonts w:ascii="Times New Roman" w:hAnsi="Times New Roman" w:cs="Times New Roman"/>
          <w:sz w:val="24"/>
          <w:szCs w:val="24"/>
        </w:rPr>
        <w:t>S</w:t>
      </w:r>
      <w:r w:rsidR="004514E4">
        <w:rPr>
          <w:rFonts w:ascii="Times New Roman" w:hAnsi="Times New Roman" w:cs="Times New Roman"/>
          <w:sz w:val="24"/>
          <w:szCs w:val="24"/>
        </w:rPr>
        <w:t xml:space="preserve">tates </w:t>
      </w:r>
      <w:r w:rsidRPr="00155A80">
        <w:rPr>
          <w:rFonts w:ascii="Times New Roman" w:hAnsi="Times New Roman" w:cs="Times New Roman"/>
          <w:sz w:val="24"/>
          <w:szCs w:val="24"/>
        </w:rPr>
        <w:t>D</w:t>
      </w:r>
      <w:r w:rsidR="004514E4">
        <w:rPr>
          <w:rFonts w:ascii="Times New Roman" w:hAnsi="Times New Roman" w:cs="Times New Roman"/>
          <w:sz w:val="24"/>
          <w:szCs w:val="24"/>
        </w:rPr>
        <w:t>epartment of Labor (US DOL)</w:t>
      </w:r>
      <w:r w:rsidRPr="00155A80">
        <w:rPr>
          <w:rFonts w:ascii="Times New Roman" w:hAnsi="Times New Roman" w:cs="Times New Roman"/>
          <w:sz w:val="24"/>
          <w:szCs w:val="24"/>
        </w:rPr>
        <w:t xml:space="preserve"> Training and Employment State Plan Guidance (insert Guidance #).  </w:t>
      </w:r>
    </w:p>
    <w:p w:rsidR="00155A80" w:rsidRDefault="00155A80" w:rsidP="00155A80">
      <w:pPr>
        <w:pStyle w:val="ListParagraph"/>
        <w:spacing w:line="480" w:lineRule="auto"/>
        <w:outlineLvl w:val="0"/>
        <w:rPr>
          <w:rFonts w:ascii="Times New Roman" w:hAnsi="Times New Roman" w:cs="Times New Roman"/>
          <w:sz w:val="24"/>
          <w:szCs w:val="24"/>
        </w:rPr>
      </w:pPr>
    </w:p>
    <w:p w:rsidR="00B07231" w:rsidRDefault="00B0723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The State Plan’s purpose is to d</w:t>
      </w:r>
      <w:r w:rsidR="00FE564B">
        <w:rPr>
          <w:rFonts w:ascii="Times New Roman" w:hAnsi="Times New Roman" w:cs="Times New Roman"/>
          <w:sz w:val="24"/>
          <w:szCs w:val="24"/>
        </w:rPr>
        <w:t>escribe the statewide provision</w:t>
      </w:r>
      <w:r w:rsidRPr="00155A80">
        <w:rPr>
          <w:rFonts w:ascii="Times New Roman" w:hAnsi="Times New Roman" w:cs="Times New Roman"/>
          <w:sz w:val="24"/>
          <w:szCs w:val="24"/>
        </w:rPr>
        <w:t xml:space="preserve"> of authorized activities for eligible individuals under SCSEP.  In applicable sections, the Plan describes current operations and longer term strategies which will be implemented during the 4-year span.  The goal is to ensure constant improvement in overall services but more specifically ensure the target population is securing unsubsidized employment.  This Plan is a document that will be reviewed at least quarterly over the next four years in order to guide the ongoing operations and strategies of SCSEP within Maine.</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9037A6" w:rsidRDefault="00B0723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The Senior Community Service Employment Program creates subsidized work opportunities and provides job skills training with supportive services for Maine’s older workers.  U</w:t>
      </w:r>
      <w:r w:rsidR="004514E4">
        <w:rPr>
          <w:rFonts w:ascii="Times New Roman" w:hAnsi="Times New Roman" w:cs="Times New Roman"/>
          <w:sz w:val="24"/>
          <w:szCs w:val="24"/>
        </w:rPr>
        <w:t xml:space="preserve">nited </w:t>
      </w:r>
      <w:r w:rsidRPr="00155A80">
        <w:rPr>
          <w:rFonts w:ascii="Times New Roman" w:hAnsi="Times New Roman" w:cs="Times New Roman"/>
          <w:sz w:val="24"/>
          <w:szCs w:val="24"/>
        </w:rPr>
        <w:t>S</w:t>
      </w:r>
      <w:r w:rsidR="004514E4">
        <w:rPr>
          <w:rFonts w:ascii="Times New Roman" w:hAnsi="Times New Roman" w:cs="Times New Roman"/>
          <w:sz w:val="24"/>
          <w:szCs w:val="24"/>
        </w:rPr>
        <w:t>tates</w:t>
      </w:r>
      <w:r w:rsidRPr="00155A80">
        <w:rPr>
          <w:rFonts w:ascii="Times New Roman" w:hAnsi="Times New Roman" w:cs="Times New Roman"/>
          <w:sz w:val="24"/>
          <w:szCs w:val="24"/>
        </w:rPr>
        <w:t xml:space="preserve"> Department of Labor, Employment and Training Administration (DOLETA) distributes SCSEP funds to national and state grantees, the national SCSEP grantees operate across multiple state jurisdictions and receive 78% of SCSEP funds.  </w:t>
      </w:r>
      <w:r w:rsidRPr="00155A80">
        <w:rPr>
          <w:rFonts w:ascii="Times New Roman" w:hAnsi="Times New Roman" w:cs="Times New Roman"/>
          <w:sz w:val="24"/>
          <w:szCs w:val="24"/>
        </w:rPr>
        <w:lastRenderedPageBreak/>
        <w:t>Maine’s Department of Health and Human Services</w:t>
      </w:r>
      <w:r w:rsidR="00FE564B">
        <w:rPr>
          <w:rFonts w:ascii="Times New Roman" w:hAnsi="Times New Roman" w:cs="Times New Roman"/>
          <w:sz w:val="24"/>
          <w:szCs w:val="24"/>
        </w:rPr>
        <w:t>,</w:t>
      </w:r>
      <w:r w:rsidRPr="00155A80">
        <w:rPr>
          <w:rFonts w:ascii="Times New Roman" w:hAnsi="Times New Roman" w:cs="Times New Roman"/>
          <w:sz w:val="24"/>
          <w:szCs w:val="24"/>
        </w:rPr>
        <w:t xml:space="preserve"> Office of Aging and Disability Services manages the State Grantee funds, currently </w:t>
      </w:r>
      <w:r w:rsidR="00FE564B">
        <w:rPr>
          <w:rFonts w:ascii="Times New Roman" w:hAnsi="Times New Roman" w:cs="Times New Roman"/>
          <w:sz w:val="24"/>
          <w:szCs w:val="24"/>
        </w:rPr>
        <w:t>with</w:t>
      </w:r>
      <w:r w:rsidRPr="00155A80">
        <w:rPr>
          <w:rFonts w:ascii="Times New Roman" w:hAnsi="Times New Roman" w:cs="Times New Roman"/>
          <w:sz w:val="24"/>
          <w:szCs w:val="24"/>
        </w:rPr>
        <w:t xml:space="preserve"> a sub-contract with Goodwill Industries of Northern New England.  The current National Grantee is The National Able Network.  The National Grantee and the State Grantee su</w:t>
      </w:r>
      <w:r w:rsidR="00FE564B">
        <w:rPr>
          <w:rFonts w:ascii="Times New Roman" w:hAnsi="Times New Roman" w:cs="Times New Roman"/>
          <w:sz w:val="24"/>
          <w:szCs w:val="24"/>
        </w:rPr>
        <w:t>b-contract</w:t>
      </w:r>
      <w:r w:rsidR="00D977B6" w:rsidRPr="00155A80">
        <w:rPr>
          <w:rFonts w:ascii="Times New Roman" w:hAnsi="Times New Roman" w:cs="Times New Roman"/>
          <w:sz w:val="24"/>
          <w:szCs w:val="24"/>
        </w:rPr>
        <w:t xml:space="preserve"> </w:t>
      </w:r>
      <w:r w:rsidR="0026494B" w:rsidRPr="00155A80">
        <w:rPr>
          <w:rFonts w:ascii="Times New Roman" w:hAnsi="Times New Roman" w:cs="Times New Roman"/>
          <w:sz w:val="24"/>
          <w:szCs w:val="24"/>
        </w:rPr>
        <w:t>are</w:t>
      </w:r>
      <w:r w:rsidR="00D977B6" w:rsidRPr="00155A80">
        <w:rPr>
          <w:rFonts w:ascii="Times New Roman" w:hAnsi="Times New Roman" w:cs="Times New Roman"/>
          <w:sz w:val="24"/>
          <w:szCs w:val="24"/>
        </w:rPr>
        <w:t xml:space="preserve"> awarded using </w:t>
      </w:r>
      <w:r w:rsidRPr="00155A80">
        <w:rPr>
          <w:rFonts w:ascii="Times New Roman" w:hAnsi="Times New Roman" w:cs="Times New Roman"/>
          <w:sz w:val="24"/>
          <w:szCs w:val="24"/>
        </w:rPr>
        <w:t>R</w:t>
      </w:r>
      <w:r w:rsidR="00D977B6" w:rsidRPr="00155A80">
        <w:rPr>
          <w:rFonts w:ascii="Times New Roman" w:hAnsi="Times New Roman" w:cs="Times New Roman"/>
          <w:sz w:val="24"/>
          <w:szCs w:val="24"/>
        </w:rPr>
        <w:t xml:space="preserve">equests </w:t>
      </w:r>
      <w:r w:rsidR="0026494B" w:rsidRPr="00155A80">
        <w:rPr>
          <w:rFonts w:ascii="Times New Roman" w:hAnsi="Times New Roman" w:cs="Times New Roman"/>
          <w:sz w:val="24"/>
          <w:szCs w:val="24"/>
        </w:rPr>
        <w:t>for</w:t>
      </w:r>
      <w:r w:rsidR="00D977B6" w:rsidRPr="00155A80">
        <w:rPr>
          <w:rFonts w:ascii="Times New Roman" w:hAnsi="Times New Roman" w:cs="Times New Roman"/>
          <w:sz w:val="24"/>
          <w:szCs w:val="24"/>
        </w:rPr>
        <w:t xml:space="preserve"> </w:t>
      </w:r>
      <w:r w:rsidRPr="00155A80">
        <w:rPr>
          <w:rFonts w:ascii="Times New Roman" w:hAnsi="Times New Roman" w:cs="Times New Roman"/>
          <w:sz w:val="24"/>
          <w:szCs w:val="24"/>
        </w:rPr>
        <w:t>P</w:t>
      </w:r>
      <w:r w:rsidR="00D977B6" w:rsidRPr="00155A80">
        <w:rPr>
          <w:rFonts w:ascii="Times New Roman" w:hAnsi="Times New Roman" w:cs="Times New Roman"/>
          <w:sz w:val="24"/>
          <w:szCs w:val="24"/>
        </w:rPr>
        <w:t>roposals</w:t>
      </w:r>
      <w:r w:rsidRPr="00155A80">
        <w:rPr>
          <w:rFonts w:ascii="Times New Roman" w:hAnsi="Times New Roman" w:cs="Times New Roman"/>
          <w:sz w:val="24"/>
          <w:szCs w:val="24"/>
        </w:rPr>
        <w:t xml:space="preserve"> on a regular basis</w:t>
      </w:r>
      <w:r w:rsidR="00D977B6" w:rsidRPr="00155A80">
        <w:rPr>
          <w:rFonts w:ascii="Times New Roman" w:hAnsi="Times New Roman" w:cs="Times New Roman"/>
          <w:sz w:val="24"/>
          <w:szCs w:val="24"/>
        </w:rPr>
        <w:t xml:space="preserve"> (typically, every four years)</w:t>
      </w:r>
      <w:r w:rsidRPr="00155A80">
        <w:rPr>
          <w:rFonts w:ascii="Times New Roman" w:hAnsi="Times New Roman" w:cs="Times New Roman"/>
          <w:sz w:val="24"/>
          <w:szCs w:val="24"/>
        </w:rPr>
        <w:t xml:space="preserve">. </w:t>
      </w:r>
      <w:r w:rsidR="009037A6" w:rsidRPr="00155A80">
        <w:rPr>
          <w:rFonts w:ascii="Times New Roman" w:hAnsi="Times New Roman" w:cs="Times New Roman"/>
          <w:sz w:val="24"/>
          <w:szCs w:val="24"/>
        </w:rPr>
        <w:t>The State of Maine receives Older Americans Act funding from the US DOL through a</w:t>
      </w:r>
      <w:r w:rsidR="00FE564B">
        <w:rPr>
          <w:rFonts w:ascii="Times New Roman" w:hAnsi="Times New Roman" w:cs="Times New Roman"/>
          <w:sz w:val="24"/>
          <w:szCs w:val="24"/>
        </w:rPr>
        <w:t>n annual</w:t>
      </w:r>
      <w:r w:rsidR="009037A6" w:rsidRPr="00155A80">
        <w:rPr>
          <w:rFonts w:ascii="Times New Roman" w:hAnsi="Times New Roman" w:cs="Times New Roman"/>
          <w:sz w:val="24"/>
          <w:szCs w:val="24"/>
        </w:rPr>
        <w:t xml:space="preserve"> grant process.  </w:t>
      </w:r>
      <w:r w:rsidR="00FE564B">
        <w:rPr>
          <w:rFonts w:ascii="Times New Roman" w:hAnsi="Times New Roman" w:cs="Times New Roman"/>
          <w:sz w:val="24"/>
          <w:szCs w:val="24"/>
        </w:rPr>
        <w:t xml:space="preserve">The program </w:t>
      </w:r>
      <w:r w:rsidR="009037A6" w:rsidRPr="00155A80">
        <w:rPr>
          <w:rFonts w:ascii="Times New Roman" w:hAnsi="Times New Roman" w:cs="Times New Roman"/>
          <w:sz w:val="24"/>
          <w:szCs w:val="24"/>
        </w:rPr>
        <w:t xml:space="preserve">is managed by the Department of Health and Human Services Office of Aging and Disability Services which is </w:t>
      </w:r>
      <w:r w:rsidR="00FE564B">
        <w:rPr>
          <w:rFonts w:ascii="Times New Roman" w:hAnsi="Times New Roman" w:cs="Times New Roman"/>
          <w:sz w:val="24"/>
          <w:szCs w:val="24"/>
        </w:rPr>
        <w:t>Maine’s</w:t>
      </w:r>
      <w:r w:rsidR="009037A6" w:rsidRPr="00155A80">
        <w:rPr>
          <w:rFonts w:ascii="Times New Roman" w:hAnsi="Times New Roman" w:cs="Times New Roman"/>
          <w:sz w:val="24"/>
          <w:szCs w:val="24"/>
        </w:rPr>
        <w:t xml:space="preserve"> State Unit on Aging.</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B07231" w:rsidRPr="00155A80" w:rsidRDefault="00B0723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Program eligible older workers must be residents of Maine, 55 years of age or older, unemployed, with family income at 125% or less of the poverty level (after allowable exclusions), as established by the U</w:t>
      </w:r>
      <w:r w:rsidR="004514E4">
        <w:rPr>
          <w:rFonts w:ascii="Times New Roman" w:hAnsi="Times New Roman" w:cs="Times New Roman"/>
          <w:sz w:val="24"/>
          <w:szCs w:val="24"/>
        </w:rPr>
        <w:t xml:space="preserve">nited </w:t>
      </w:r>
      <w:r w:rsidRPr="00155A80">
        <w:rPr>
          <w:rFonts w:ascii="Times New Roman" w:hAnsi="Times New Roman" w:cs="Times New Roman"/>
          <w:sz w:val="24"/>
          <w:szCs w:val="24"/>
        </w:rPr>
        <w:t>S</w:t>
      </w:r>
      <w:r w:rsidR="004514E4">
        <w:rPr>
          <w:rFonts w:ascii="Times New Roman" w:hAnsi="Times New Roman" w:cs="Times New Roman"/>
          <w:sz w:val="24"/>
          <w:szCs w:val="24"/>
        </w:rPr>
        <w:t>tates</w:t>
      </w:r>
      <w:r w:rsidRPr="00155A80">
        <w:rPr>
          <w:rFonts w:ascii="Times New Roman" w:hAnsi="Times New Roman" w:cs="Times New Roman"/>
          <w:sz w:val="24"/>
          <w:szCs w:val="24"/>
        </w:rPr>
        <w:t xml:space="preserve"> D</w:t>
      </w:r>
      <w:r w:rsidR="004514E4">
        <w:rPr>
          <w:rFonts w:ascii="Times New Roman" w:hAnsi="Times New Roman" w:cs="Times New Roman"/>
          <w:sz w:val="24"/>
          <w:szCs w:val="24"/>
        </w:rPr>
        <w:t xml:space="preserve">epartment of </w:t>
      </w:r>
      <w:r w:rsidRPr="00155A80">
        <w:rPr>
          <w:rFonts w:ascii="Times New Roman" w:hAnsi="Times New Roman" w:cs="Times New Roman"/>
          <w:sz w:val="24"/>
          <w:szCs w:val="24"/>
        </w:rPr>
        <w:t>H</w:t>
      </w:r>
      <w:r w:rsidR="004514E4">
        <w:rPr>
          <w:rFonts w:ascii="Times New Roman" w:hAnsi="Times New Roman" w:cs="Times New Roman"/>
          <w:sz w:val="24"/>
          <w:szCs w:val="24"/>
        </w:rPr>
        <w:t xml:space="preserve">ealth and </w:t>
      </w:r>
      <w:r w:rsidRPr="00155A80">
        <w:rPr>
          <w:rFonts w:ascii="Times New Roman" w:hAnsi="Times New Roman" w:cs="Times New Roman"/>
          <w:sz w:val="24"/>
          <w:szCs w:val="24"/>
        </w:rPr>
        <w:t>H</w:t>
      </w:r>
      <w:r w:rsidR="004514E4">
        <w:rPr>
          <w:rFonts w:ascii="Times New Roman" w:hAnsi="Times New Roman" w:cs="Times New Roman"/>
          <w:sz w:val="24"/>
          <w:szCs w:val="24"/>
        </w:rPr>
        <w:t xml:space="preserve">uman </w:t>
      </w:r>
      <w:r w:rsidRPr="00155A80">
        <w:rPr>
          <w:rFonts w:ascii="Times New Roman" w:hAnsi="Times New Roman" w:cs="Times New Roman"/>
          <w:sz w:val="24"/>
          <w:szCs w:val="24"/>
        </w:rPr>
        <w:t>S</w:t>
      </w:r>
      <w:r w:rsidR="004514E4">
        <w:rPr>
          <w:rFonts w:ascii="Times New Roman" w:hAnsi="Times New Roman" w:cs="Times New Roman"/>
          <w:sz w:val="24"/>
          <w:szCs w:val="24"/>
        </w:rPr>
        <w:t>ervices (US DHHS)</w:t>
      </w:r>
      <w:r w:rsidRPr="00155A80">
        <w:rPr>
          <w:rFonts w:ascii="Times New Roman" w:hAnsi="Times New Roman" w:cs="Times New Roman"/>
          <w:sz w:val="24"/>
          <w:szCs w:val="24"/>
        </w:rPr>
        <w:t>.  Service priority is given to individuals meeting one or more of the barriers to employment:</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Is a veteran or a spouse of veteran</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Is 65 years of age or older</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Has a disability</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Has limited English proficiency</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Has low literacy skills</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Resides in a rural area</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Has low employment prospects</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t>Has failed to find employment after utilizing services provided under Title I of the Workforce Investment Act (WIA) of 1998</w:t>
      </w:r>
    </w:p>
    <w:p w:rsidR="00B07231" w:rsidRPr="00155A80" w:rsidRDefault="00B07231" w:rsidP="00B07231">
      <w:pPr>
        <w:pStyle w:val="ListParagraph"/>
        <w:numPr>
          <w:ilvl w:val="0"/>
          <w:numId w:val="2"/>
        </w:numPr>
        <w:tabs>
          <w:tab w:val="left" w:pos="6966"/>
        </w:tabs>
        <w:spacing w:line="480" w:lineRule="auto"/>
        <w:rPr>
          <w:rFonts w:ascii="Times New Roman" w:eastAsia="Times New Roman" w:hAnsi="Times New Roman" w:cs="Times New Roman"/>
          <w:sz w:val="24"/>
          <w:szCs w:val="24"/>
        </w:rPr>
      </w:pPr>
      <w:r w:rsidRPr="00155A80">
        <w:rPr>
          <w:rFonts w:ascii="Times New Roman" w:eastAsia="Times New Roman" w:hAnsi="Times New Roman" w:cs="Times New Roman"/>
          <w:sz w:val="24"/>
          <w:szCs w:val="24"/>
        </w:rPr>
        <w:lastRenderedPageBreak/>
        <w:t>Is homeless or at risk for homelessness</w:t>
      </w:r>
    </w:p>
    <w:p w:rsidR="009037A6" w:rsidRDefault="00B0723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Unsubsidized employment is the ultimate goal of the Program.  SCSEP provides subsidized work experience predominantly at non-profit businesses and government agencies as Host Sites.</w:t>
      </w:r>
      <w:r w:rsidR="00155A80" w:rsidRPr="00155A80">
        <w:rPr>
          <w:rFonts w:ascii="Times New Roman" w:hAnsi="Times New Roman" w:cs="Times New Roman"/>
          <w:sz w:val="24"/>
          <w:szCs w:val="24"/>
        </w:rPr>
        <w:t xml:space="preserve">  Occasionally, a for-profit Host Site can be used for a direct On the Job Experience (OJE).  In the last four years </w:t>
      </w:r>
      <w:r w:rsidR="004514E4">
        <w:rPr>
          <w:rFonts w:ascii="Times New Roman" w:hAnsi="Times New Roman" w:cs="Times New Roman"/>
          <w:sz w:val="24"/>
          <w:szCs w:val="24"/>
        </w:rPr>
        <w:t xml:space="preserve">Maine </w:t>
      </w:r>
      <w:r w:rsidR="00155A80" w:rsidRPr="00155A80">
        <w:rPr>
          <w:rFonts w:ascii="Times New Roman" w:hAnsi="Times New Roman" w:cs="Times New Roman"/>
          <w:sz w:val="24"/>
          <w:szCs w:val="24"/>
        </w:rPr>
        <w:t xml:space="preserve">SCSEP has helped 177 program participants acquire unsubsidized employment and provided 821,643 hours of work in the community.  That </w:t>
      </w:r>
      <w:r w:rsidR="00FE564B">
        <w:rPr>
          <w:rFonts w:ascii="Times New Roman" w:hAnsi="Times New Roman" w:cs="Times New Roman"/>
          <w:sz w:val="24"/>
          <w:szCs w:val="24"/>
        </w:rPr>
        <w:t xml:space="preserve">equates to $6,162,323 of employment costs </w:t>
      </w:r>
      <w:r w:rsidR="00155A80" w:rsidRPr="00155A80">
        <w:rPr>
          <w:rFonts w:ascii="Times New Roman" w:hAnsi="Times New Roman" w:cs="Times New Roman"/>
          <w:sz w:val="24"/>
          <w:szCs w:val="24"/>
        </w:rPr>
        <w:t xml:space="preserve">that small, local </w:t>
      </w:r>
      <w:r w:rsidR="004514E4">
        <w:rPr>
          <w:rFonts w:ascii="Times New Roman" w:hAnsi="Times New Roman" w:cs="Times New Roman"/>
          <w:sz w:val="24"/>
          <w:szCs w:val="24"/>
        </w:rPr>
        <w:t xml:space="preserve">Maine </w:t>
      </w:r>
      <w:r w:rsidR="00155A80" w:rsidRPr="00155A80">
        <w:rPr>
          <w:rFonts w:ascii="Times New Roman" w:hAnsi="Times New Roman" w:cs="Times New Roman"/>
          <w:sz w:val="24"/>
          <w:szCs w:val="24"/>
        </w:rPr>
        <w:t>non-profits</w:t>
      </w:r>
      <w:r w:rsidR="004514E4">
        <w:rPr>
          <w:rFonts w:ascii="Times New Roman" w:hAnsi="Times New Roman" w:cs="Times New Roman"/>
          <w:sz w:val="24"/>
          <w:szCs w:val="24"/>
        </w:rPr>
        <w:t xml:space="preserve"> have</w:t>
      </w:r>
      <w:r w:rsidR="00155A80" w:rsidRPr="00155A80">
        <w:rPr>
          <w:rFonts w:ascii="Times New Roman" w:hAnsi="Times New Roman" w:cs="Times New Roman"/>
          <w:sz w:val="24"/>
          <w:szCs w:val="24"/>
        </w:rPr>
        <w:t xml:space="preserve"> </w:t>
      </w:r>
      <w:r w:rsidR="004514E4">
        <w:rPr>
          <w:rFonts w:ascii="Times New Roman" w:hAnsi="Times New Roman" w:cs="Times New Roman"/>
          <w:sz w:val="24"/>
          <w:szCs w:val="24"/>
        </w:rPr>
        <w:t xml:space="preserve">benefited from and would otherwise </w:t>
      </w:r>
      <w:r w:rsidR="005B2B1C">
        <w:rPr>
          <w:rFonts w:ascii="Times New Roman" w:hAnsi="Times New Roman" w:cs="Times New Roman"/>
          <w:sz w:val="24"/>
          <w:szCs w:val="24"/>
        </w:rPr>
        <w:t xml:space="preserve">have to </w:t>
      </w:r>
      <w:r w:rsidR="004514E4">
        <w:rPr>
          <w:rFonts w:ascii="Times New Roman" w:hAnsi="Times New Roman" w:cs="Times New Roman"/>
          <w:sz w:val="24"/>
          <w:szCs w:val="24"/>
        </w:rPr>
        <w:t>incur.</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155A80" w:rsidRDefault="009037A6"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SCSEP works in tandem with the Maine “Employment First” Statute which was enacted June 22, 2013.</w:t>
      </w:r>
      <w:r w:rsidRPr="00FE564B">
        <w:rPr>
          <w:vertAlign w:val="superscript"/>
        </w:rPr>
        <w:footnoteReference w:id="1"/>
      </w:r>
      <w:r w:rsidRPr="00155A80">
        <w:rPr>
          <w:rFonts w:ascii="Times New Roman" w:hAnsi="Times New Roman" w:cs="Times New Roman"/>
          <w:sz w:val="24"/>
          <w:szCs w:val="24"/>
        </w:rPr>
        <w:t xml:space="preserve">  The Employment First Maine Act requires </w:t>
      </w:r>
      <w:r w:rsidR="00FE564B">
        <w:rPr>
          <w:rFonts w:ascii="Times New Roman" w:hAnsi="Times New Roman" w:cs="Times New Roman"/>
          <w:sz w:val="24"/>
          <w:szCs w:val="24"/>
        </w:rPr>
        <w:t xml:space="preserve">that </w:t>
      </w:r>
      <w:r w:rsidRPr="00155A80">
        <w:rPr>
          <w:rFonts w:ascii="Times New Roman" w:hAnsi="Times New Roman" w:cs="Times New Roman"/>
          <w:sz w:val="24"/>
          <w:szCs w:val="24"/>
        </w:rPr>
        <w:t>state agencies (D</w:t>
      </w:r>
      <w:r w:rsidR="004514E4">
        <w:rPr>
          <w:rFonts w:ascii="Times New Roman" w:hAnsi="Times New Roman" w:cs="Times New Roman"/>
          <w:sz w:val="24"/>
          <w:szCs w:val="24"/>
        </w:rPr>
        <w:t>epartments of Education, Health and Human Services and Labor)</w:t>
      </w:r>
      <w:r w:rsidRPr="00155A80">
        <w:rPr>
          <w:rFonts w:ascii="Times New Roman" w:hAnsi="Times New Roman" w:cs="Times New Roman"/>
          <w:sz w:val="24"/>
          <w:szCs w:val="24"/>
        </w:rPr>
        <w:t xml:space="preserve"> offer employment as a core component of services and supports</w:t>
      </w:r>
      <w:r w:rsidR="00142712">
        <w:rPr>
          <w:rFonts w:ascii="Times New Roman" w:hAnsi="Times New Roman" w:cs="Times New Roman"/>
          <w:sz w:val="24"/>
          <w:szCs w:val="24"/>
        </w:rPr>
        <w:t>;</w:t>
      </w:r>
      <w:r w:rsidRPr="00155A80">
        <w:rPr>
          <w:rFonts w:ascii="Times New Roman" w:hAnsi="Times New Roman" w:cs="Times New Roman"/>
          <w:sz w:val="24"/>
          <w:szCs w:val="24"/>
        </w:rPr>
        <w:t xml:space="preserve"> provide employment as the first and preferred service or support option and coordinate efforts and information with other State of Maine agencies.  In </w:t>
      </w:r>
      <w:r w:rsidR="00FE564B">
        <w:rPr>
          <w:rFonts w:ascii="Times New Roman" w:hAnsi="Times New Roman" w:cs="Times New Roman"/>
          <w:sz w:val="24"/>
          <w:szCs w:val="24"/>
        </w:rPr>
        <w:t xml:space="preserve">to </w:t>
      </w:r>
      <w:r w:rsidRPr="00155A80">
        <w:rPr>
          <w:rFonts w:ascii="Times New Roman" w:hAnsi="Times New Roman" w:cs="Times New Roman"/>
          <w:sz w:val="24"/>
          <w:szCs w:val="24"/>
        </w:rPr>
        <w:t>order comply with this statute Maine DHHS enacted the “Employment Policy for Individuals Served”</w:t>
      </w:r>
      <w:r w:rsidRPr="00FE564B">
        <w:rPr>
          <w:vertAlign w:val="superscript"/>
        </w:rPr>
        <w:footnoteReference w:id="2"/>
      </w:r>
      <w:r w:rsidRPr="00155A80">
        <w:rPr>
          <w:rFonts w:ascii="Times New Roman" w:hAnsi="Times New Roman" w:cs="Times New Roman"/>
          <w:sz w:val="24"/>
          <w:szCs w:val="24"/>
        </w:rPr>
        <w:t xml:space="preserve"> which states “The Department of Health and Human Services shall support career development and meaningful employment for all working aged individuals receiving services through the Department.  Employment is part of the natural course of adult life and provides opportunities for economic gain, personal growth and contributing to one’s community. </w:t>
      </w:r>
    </w:p>
    <w:p w:rsidR="00155A80" w:rsidRDefault="009037A6"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 </w:t>
      </w:r>
    </w:p>
    <w:p w:rsidR="00B07231" w:rsidRDefault="009037A6"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lastRenderedPageBreak/>
        <w:t xml:space="preserve">The development of a skilled and motivated workforce is essential to meeting the needs of Maine businesses.”  The State of Maine is committed to education, training and job placement for its citizens with significant barriers to employment.  </w:t>
      </w:r>
      <w:r w:rsidR="00B07231" w:rsidRPr="00155A80">
        <w:rPr>
          <w:rFonts w:ascii="Times New Roman" w:hAnsi="Times New Roman" w:cs="Times New Roman"/>
          <w:sz w:val="24"/>
          <w:szCs w:val="24"/>
        </w:rPr>
        <w:t>The</w:t>
      </w:r>
      <w:r w:rsidRPr="00155A80">
        <w:rPr>
          <w:rFonts w:ascii="Times New Roman" w:hAnsi="Times New Roman" w:cs="Times New Roman"/>
          <w:sz w:val="24"/>
          <w:szCs w:val="24"/>
        </w:rPr>
        <w:t>re are a wide range of SCSEP</w:t>
      </w:r>
      <w:r w:rsidR="00B07231" w:rsidRPr="00155A80">
        <w:rPr>
          <w:rFonts w:ascii="Times New Roman" w:hAnsi="Times New Roman" w:cs="Times New Roman"/>
          <w:sz w:val="24"/>
          <w:szCs w:val="24"/>
        </w:rPr>
        <w:t xml:space="preserve"> Host Sites </w:t>
      </w:r>
      <w:r w:rsidRPr="00155A80">
        <w:rPr>
          <w:rFonts w:ascii="Times New Roman" w:hAnsi="Times New Roman" w:cs="Times New Roman"/>
          <w:sz w:val="24"/>
          <w:szCs w:val="24"/>
        </w:rPr>
        <w:t xml:space="preserve">which </w:t>
      </w:r>
      <w:r w:rsidR="00142712">
        <w:rPr>
          <w:rFonts w:ascii="Times New Roman" w:hAnsi="Times New Roman" w:cs="Times New Roman"/>
          <w:sz w:val="24"/>
          <w:szCs w:val="24"/>
        </w:rPr>
        <w:t xml:space="preserve">together with our partners, Goodwill Industries and National Able Network </w:t>
      </w:r>
      <w:r w:rsidRPr="00155A80">
        <w:rPr>
          <w:rFonts w:ascii="Times New Roman" w:hAnsi="Times New Roman" w:cs="Times New Roman"/>
          <w:sz w:val="24"/>
          <w:szCs w:val="24"/>
        </w:rPr>
        <w:t>accomplish this ta</w:t>
      </w:r>
      <w:r w:rsidR="00155A80" w:rsidRPr="00155A80">
        <w:rPr>
          <w:rFonts w:ascii="Times New Roman" w:hAnsi="Times New Roman" w:cs="Times New Roman"/>
          <w:sz w:val="24"/>
          <w:szCs w:val="24"/>
        </w:rPr>
        <w:t>sk.  Host Sites and</w:t>
      </w:r>
      <w:r w:rsidR="00B07231" w:rsidRPr="00155A80">
        <w:rPr>
          <w:rFonts w:ascii="Times New Roman" w:hAnsi="Times New Roman" w:cs="Times New Roman"/>
          <w:sz w:val="24"/>
          <w:szCs w:val="24"/>
        </w:rPr>
        <w:t xml:space="preserve"> other Program contributors and partners are described in this Plan.</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B07231" w:rsidRPr="00155A80" w:rsidRDefault="009502FE"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Several agencies have helped collaborate</w:t>
      </w:r>
      <w:r w:rsidR="0003739D">
        <w:rPr>
          <w:rFonts w:ascii="Times New Roman" w:hAnsi="Times New Roman" w:cs="Times New Roman"/>
          <w:sz w:val="24"/>
          <w:szCs w:val="24"/>
        </w:rPr>
        <w:t xml:space="preserve"> with DHHS</w:t>
      </w:r>
      <w:r w:rsidRPr="00155A80">
        <w:rPr>
          <w:rFonts w:ascii="Times New Roman" w:hAnsi="Times New Roman" w:cs="Times New Roman"/>
          <w:sz w:val="24"/>
          <w:szCs w:val="24"/>
        </w:rPr>
        <w:t xml:space="preserve"> on development of this Plan:  The National Grantee (National Able Network), State Sub-grantee (Goodwill Industries), Maine DOL </w:t>
      </w:r>
      <w:r w:rsidR="00D977B6" w:rsidRPr="00155A80">
        <w:rPr>
          <w:rFonts w:ascii="Times New Roman" w:hAnsi="Times New Roman" w:cs="Times New Roman"/>
          <w:sz w:val="24"/>
          <w:szCs w:val="24"/>
        </w:rPr>
        <w:t xml:space="preserve">(including Vocational Rehabilitation, the State Workforce Investment Board, Center for Workforce Research and Information) </w:t>
      </w:r>
      <w:r w:rsidRPr="00155A80">
        <w:rPr>
          <w:rFonts w:ascii="Times New Roman" w:hAnsi="Times New Roman" w:cs="Times New Roman"/>
          <w:sz w:val="24"/>
          <w:szCs w:val="24"/>
        </w:rPr>
        <w:t xml:space="preserve">and the Area Agencies on Aging.  Additionally, the final draft has been </w:t>
      </w:r>
      <w:r w:rsidR="000F3FCD" w:rsidRPr="00155A80">
        <w:rPr>
          <w:rFonts w:ascii="Times New Roman" w:hAnsi="Times New Roman" w:cs="Times New Roman"/>
          <w:sz w:val="24"/>
          <w:szCs w:val="24"/>
        </w:rPr>
        <w:t xml:space="preserve">disseminated and </w:t>
      </w:r>
      <w:r w:rsidRPr="00155A80">
        <w:rPr>
          <w:rFonts w:ascii="Times New Roman" w:hAnsi="Times New Roman" w:cs="Times New Roman"/>
          <w:sz w:val="24"/>
          <w:szCs w:val="24"/>
        </w:rPr>
        <w:t>posted for public comment and questions</w:t>
      </w:r>
      <w:r w:rsidR="000F3FCD" w:rsidRPr="00155A80">
        <w:rPr>
          <w:rFonts w:ascii="Times New Roman" w:hAnsi="Times New Roman" w:cs="Times New Roman"/>
          <w:sz w:val="24"/>
          <w:szCs w:val="24"/>
        </w:rPr>
        <w:t xml:space="preserve"> for 10 days</w:t>
      </w:r>
      <w:r w:rsidRPr="00155A80">
        <w:rPr>
          <w:rFonts w:ascii="Times New Roman" w:hAnsi="Times New Roman" w:cs="Times New Roman"/>
          <w:sz w:val="24"/>
          <w:szCs w:val="24"/>
        </w:rPr>
        <w:t>.  The S</w:t>
      </w:r>
      <w:r w:rsidR="00D977B6" w:rsidRPr="00155A80">
        <w:rPr>
          <w:rFonts w:ascii="Times New Roman" w:hAnsi="Times New Roman" w:cs="Times New Roman"/>
          <w:sz w:val="24"/>
          <w:szCs w:val="24"/>
        </w:rPr>
        <w:t>tate Plan w</w:t>
      </w:r>
      <w:r w:rsidR="000F3FCD" w:rsidRPr="00155A80">
        <w:rPr>
          <w:rFonts w:ascii="Times New Roman" w:hAnsi="Times New Roman" w:cs="Times New Roman"/>
          <w:sz w:val="24"/>
          <w:szCs w:val="24"/>
        </w:rPr>
        <w:t>as then</w:t>
      </w:r>
      <w:r w:rsidR="00D977B6" w:rsidRPr="00155A80">
        <w:rPr>
          <w:rFonts w:ascii="Times New Roman" w:hAnsi="Times New Roman" w:cs="Times New Roman"/>
          <w:sz w:val="24"/>
          <w:szCs w:val="24"/>
        </w:rPr>
        <w:t xml:space="preserve"> revised </w:t>
      </w:r>
      <w:r w:rsidRPr="00155A80">
        <w:rPr>
          <w:rFonts w:ascii="Times New Roman" w:hAnsi="Times New Roman" w:cs="Times New Roman"/>
          <w:sz w:val="24"/>
          <w:szCs w:val="24"/>
        </w:rPr>
        <w:t xml:space="preserve">in response to the advice and recommendations received during this review process.  </w:t>
      </w:r>
      <w:r w:rsidR="000F3FCD" w:rsidRPr="00155A80">
        <w:rPr>
          <w:rFonts w:ascii="Times New Roman" w:hAnsi="Times New Roman" w:cs="Times New Roman"/>
          <w:sz w:val="24"/>
          <w:szCs w:val="24"/>
        </w:rPr>
        <w:t xml:space="preserve">The four year Maine SCSEP State </w:t>
      </w:r>
      <w:r w:rsidRPr="00155A80">
        <w:rPr>
          <w:rFonts w:ascii="Times New Roman" w:hAnsi="Times New Roman" w:cs="Times New Roman"/>
          <w:sz w:val="24"/>
          <w:szCs w:val="24"/>
        </w:rPr>
        <w:t xml:space="preserve">Plan </w:t>
      </w:r>
      <w:r w:rsidR="000F3FCD" w:rsidRPr="00155A80">
        <w:rPr>
          <w:rFonts w:ascii="Times New Roman" w:hAnsi="Times New Roman" w:cs="Times New Roman"/>
          <w:sz w:val="24"/>
          <w:szCs w:val="24"/>
        </w:rPr>
        <w:t>was reviewed and approved by the Maine Department of Health and Human Services before being submitted</w:t>
      </w:r>
      <w:r w:rsidRPr="00155A80">
        <w:rPr>
          <w:rFonts w:ascii="Times New Roman" w:hAnsi="Times New Roman" w:cs="Times New Roman"/>
          <w:sz w:val="24"/>
          <w:szCs w:val="24"/>
        </w:rPr>
        <w:t xml:space="preserve"> to the US D</w:t>
      </w:r>
      <w:r w:rsidR="000F3FCD" w:rsidRPr="00155A80">
        <w:rPr>
          <w:rFonts w:ascii="Times New Roman" w:hAnsi="Times New Roman" w:cs="Times New Roman"/>
          <w:sz w:val="24"/>
          <w:szCs w:val="24"/>
        </w:rPr>
        <w:t xml:space="preserve">epartment of </w:t>
      </w:r>
      <w:r w:rsidRPr="00155A80">
        <w:rPr>
          <w:rFonts w:ascii="Times New Roman" w:hAnsi="Times New Roman" w:cs="Times New Roman"/>
          <w:sz w:val="24"/>
          <w:szCs w:val="24"/>
        </w:rPr>
        <w:t>L</w:t>
      </w:r>
      <w:r w:rsidR="000F3FCD" w:rsidRPr="00155A80">
        <w:rPr>
          <w:rFonts w:ascii="Times New Roman" w:hAnsi="Times New Roman" w:cs="Times New Roman"/>
          <w:sz w:val="24"/>
          <w:szCs w:val="24"/>
        </w:rPr>
        <w:t>abor</w:t>
      </w:r>
      <w:r w:rsidR="00155A80" w:rsidRPr="00155A80">
        <w:rPr>
          <w:rFonts w:ascii="Times New Roman" w:hAnsi="Times New Roman" w:cs="Times New Roman"/>
          <w:sz w:val="24"/>
          <w:szCs w:val="24"/>
        </w:rPr>
        <w:t>.</w:t>
      </w:r>
    </w:p>
    <w:p w:rsidR="00B07231" w:rsidRPr="00155A80" w:rsidRDefault="00B07231" w:rsidP="00B07231">
      <w:pPr>
        <w:tabs>
          <w:tab w:val="left" w:pos="6966"/>
        </w:tabs>
        <w:spacing w:line="480" w:lineRule="auto"/>
        <w:rPr>
          <w:rFonts w:ascii="Times New Roman" w:eastAsia="Times New Roman" w:hAnsi="Times New Roman" w:cs="Times New Roman"/>
          <w:b/>
          <w:sz w:val="24"/>
          <w:szCs w:val="24"/>
        </w:rPr>
      </w:pPr>
      <w:r w:rsidRPr="00155A80">
        <w:rPr>
          <w:rFonts w:ascii="Times New Roman" w:eastAsia="Times New Roman" w:hAnsi="Times New Roman" w:cs="Times New Roman"/>
          <w:b/>
          <w:sz w:val="24"/>
          <w:szCs w:val="24"/>
        </w:rPr>
        <w:t>Section I.  Economic Projections and Impact</w:t>
      </w:r>
      <w:r w:rsidR="009502FE" w:rsidRPr="00155A80">
        <w:rPr>
          <w:rFonts w:ascii="Times New Roman" w:eastAsia="Times New Roman" w:hAnsi="Times New Roman" w:cs="Times New Roman"/>
          <w:b/>
          <w:sz w:val="24"/>
          <w:szCs w:val="24"/>
        </w:rPr>
        <w:t>:</w:t>
      </w:r>
    </w:p>
    <w:p w:rsidR="009502FE"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Industry sectors in Maine that employ the m</w:t>
      </w:r>
      <w:r w:rsidR="00FE564B">
        <w:rPr>
          <w:rFonts w:ascii="Times New Roman" w:hAnsi="Times New Roman" w:cs="Times New Roman"/>
          <w:sz w:val="24"/>
          <w:szCs w:val="24"/>
        </w:rPr>
        <w:t>ajority of</w:t>
      </w:r>
      <w:r w:rsidRPr="00155A80">
        <w:rPr>
          <w:rFonts w:ascii="Times New Roman" w:hAnsi="Times New Roman" w:cs="Times New Roman"/>
          <w:sz w:val="24"/>
          <w:szCs w:val="24"/>
        </w:rPr>
        <w:t xml:space="preserve"> wage and</w:t>
      </w:r>
      <w:r w:rsidR="0003739D">
        <w:rPr>
          <w:rFonts w:ascii="Times New Roman" w:hAnsi="Times New Roman" w:cs="Times New Roman"/>
          <w:sz w:val="24"/>
          <w:szCs w:val="24"/>
        </w:rPr>
        <w:t xml:space="preserve"> salary workers over age 55 are; healthcare, </w:t>
      </w:r>
      <w:r w:rsidRPr="00155A80">
        <w:rPr>
          <w:rFonts w:ascii="Times New Roman" w:hAnsi="Times New Roman" w:cs="Times New Roman"/>
          <w:sz w:val="24"/>
          <w:szCs w:val="24"/>
        </w:rPr>
        <w:t>social assistance, educational services, and retail trade. Industry concentration varies by gender and age. Among men, the largest share of wage earners ages 55 to 64 is employed by manufacturing firms (9,600 or 18% of male workers, 55 to 64); the largest share of male wage earners ages 65 and older is employed by retailers (3,000 or 16% of the cohort).</w:t>
      </w:r>
    </w:p>
    <w:p w:rsidR="00155A80" w:rsidRPr="00155A80" w:rsidRDefault="00155A80" w:rsidP="009502FE">
      <w:pPr>
        <w:pStyle w:val="ListParagraph"/>
        <w:spacing w:line="480" w:lineRule="auto"/>
        <w:outlineLvl w:val="0"/>
        <w:rPr>
          <w:rFonts w:ascii="Times New Roman" w:hAnsi="Times New Roman" w:cs="Times New Roman"/>
          <w:sz w:val="24"/>
          <w:szCs w:val="24"/>
        </w:rPr>
      </w:pPr>
    </w:p>
    <w:p w:rsidR="009502FE"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Among women, the largest shares of wage earners in both the 55 to 64 age group (17,216 workers or 29% of female workers ages 55 to 64) and the 65 and older age group (4,201 workers or 26% of the cohort) are employed in the health care and social assistance sector.</w:t>
      </w:r>
      <w:r w:rsidRPr="00155A80">
        <w:rPr>
          <w:rStyle w:val="FootnoteReference"/>
          <w:rFonts w:ascii="Times New Roman" w:hAnsi="Times New Roman" w:cs="Times New Roman"/>
          <w:sz w:val="24"/>
          <w:szCs w:val="24"/>
        </w:rPr>
        <w:t xml:space="preserve"> </w:t>
      </w:r>
      <w:r w:rsidRPr="00155A80">
        <w:rPr>
          <w:rStyle w:val="FootnoteReference"/>
          <w:rFonts w:ascii="Times New Roman" w:hAnsi="Times New Roman" w:cs="Times New Roman"/>
          <w:sz w:val="24"/>
          <w:szCs w:val="24"/>
        </w:rPr>
        <w:footnoteReference w:id="3"/>
      </w:r>
      <w:r w:rsidRPr="00155A80">
        <w:rPr>
          <w:rFonts w:ascii="Times New Roman" w:hAnsi="Times New Roman" w:cs="Times New Roman"/>
          <w:sz w:val="24"/>
          <w:szCs w:val="24"/>
        </w:rPr>
        <w:t xml:space="preserve"> </w:t>
      </w:r>
    </w:p>
    <w:p w:rsidR="00155A80" w:rsidRPr="00155A80" w:rsidRDefault="00155A80" w:rsidP="009502FE">
      <w:pPr>
        <w:pStyle w:val="ListParagraph"/>
        <w:spacing w:line="480" w:lineRule="auto"/>
        <w:outlineLvl w:val="0"/>
        <w:rPr>
          <w:rFonts w:ascii="Times New Roman" w:hAnsi="Times New Roman" w:cs="Times New Roman"/>
          <w:sz w:val="24"/>
          <w:szCs w:val="24"/>
        </w:rPr>
      </w:pPr>
    </w:p>
    <w:p w:rsidR="009502FE"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In 2014, the highest average monthly earnings by male and female workers ages 55 and older were from jobs in the finance and insurance sector. On the other end of the earnings spectrum, the lowest average monthly earnings by workers ages 55 to 64 were from jobs in accommodation and food services; among workers ages 65 and older, the lowest average monthly earnings were from jobs in retail trade. </w:t>
      </w:r>
      <w:r w:rsidRPr="00155A80">
        <w:rPr>
          <w:rFonts w:ascii="Times New Roman" w:hAnsi="Times New Roman" w:cs="Times New Roman"/>
          <w:sz w:val="24"/>
          <w:szCs w:val="24"/>
          <w:vertAlign w:val="superscript"/>
        </w:rPr>
        <w:footnoteReference w:id="4"/>
      </w:r>
    </w:p>
    <w:p w:rsidR="00155A80" w:rsidRPr="00155A80" w:rsidRDefault="00155A80" w:rsidP="009502FE">
      <w:pPr>
        <w:pStyle w:val="ListParagraph"/>
        <w:spacing w:line="480" w:lineRule="auto"/>
        <w:outlineLvl w:val="0"/>
        <w:rPr>
          <w:rFonts w:ascii="Times New Roman" w:hAnsi="Times New Roman" w:cs="Times New Roman"/>
          <w:sz w:val="24"/>
          <w:szCs w:val="24"/>
        </w:rPr>
      </w:pPr>
    </w:p>
    <w:p w:rsidR="00155A80" w:rsidRDefault="00155A80"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Maine SCSEP develops job leads and identifies potential employers in the public and private sectors by advertising, attending job fairs, responding to ads in local newspapers, contacting employers (in person, by telephone, and by letter), offering the On-the-Job Experience (OJE) training option, and speaking at local business meetings.  All SCSEP participants will be required to register with Maine’s Job Bank at the Maine Career Centers.  Also, the Program will continue to use the Internet to access various job search sites in an effort to identify job opportunities for SCSEP participants. The SCSEP partnership with the Maine Career Centers will be </w:t>
      </w:r>
      <w:r w:rsidR="00503C56">
        <w:rPr>
          <w:rFonts w:ascii="Times New Roman" w:hAnsi="Times New Roman" w:cs="Times New Roman"/>
          <w:sz w:val="24"/>
          <w:szCs w:val="24"/>
        </w:rPr>
        <w:t xml:space="preserve">strengthened </w:t>
      </w:r>
      <w:r w:rsidRPr="00155A80">
        <w:rPr>
          <w:rFonts w:ascii="Times New Roman" w:hAnsi="Times New Roman" w:cs="Times New Roman"/>
          <w:sz w:val="24"/>
          <w:szCs w:val="24"/>
        </w:rPr>
        <w:t>and improved</w:t>
      </w:r>
      <w:r w:rsidR="00503C56">
        <w:rPr>
          <w:rFonts w:ascii="Times New Roman" w:hAnsi="Times New Roman" w:cs="Times New Roman"/>
          <w:sz w:val="24"/>
          <w:szCs w:val="24"/>
        </w:rPr>
        <w:t xml:space="preserve"> to better serve participants</w:t>
      </w:r>
      <w:r w:rsidRPr="00155A80">
        <w:rPr>
          <w:rFonts w:ascii="Times New Roman" w:hAnsi="Times New Roman" w:cs="Times New Roman"/>
          <w:sz w:val="24"/>
          <w:szCs w:val="24"/>
        </w:rPr>
        <w:t xml:space="preserve">.  For example, Career Centers will act as Host Sites for program </w:t>
      </w:r>
      <w:r w:rsidR="00503C56">
        <w:rPr>
          <w:rFonts w:ascii="Times New Roman" w:hAnsi="Times New Roman" w:cs="Times New Roman"/>
          <w:sz w:val="24"/>
          <w:szCs w:val="24"/>
        </w:rPr>
        <w:t xml:space="preserve">participants across the state and access to the Maine Job Bank for each participant will </w:t>
      </w:r>
      <w:r w:rsidR="00503C56">
        <w:rPr>
          <w:rFonts w:ascii="Times New Roman" w:hAnsi="Times New Roman" w:cs="Times New Roman"/>
          <w:sz w:val="24"/>
          <w:szCs w:val="24"/>
        </w:rPr>
        <w:lastRenderedPageBreak/>
        <w:t>occur.</w:t>
      </w:r>
      <w:r w:rsidRPr="00155A80">
        <w:rPr>
          <w:rFonts w:ascii="Times New Roman" w:hAnsi="Times New Roman" w:cs="Times New Roman"/>
          <w:sz w:val="24"/>
          <w:szCs w:val="24"/>
        </w:rPr>
        <w:t xml:space="preserve">  SCSEP program managers and staff will routinely consult and coordinate with the Career Centers</w:t>
      </w:r>
      <w:r w:rsidR="00365C42">
        <w:rPr>
          <w:rFonts w:ascii="Times New Roman" w:hAnsi="Times New Roman" w:cs="Times New Roman"/>
          <w:sz w:val="24"/>
          <w:szCs w:val="24"/>
        </w:rPr>
        <w:t xml:space="preserve"> statewide</w:t>
      </w:r>
      <w:r w:rsidRPr="00155A80">
        <w:rPr>
          <w:rFonts w:ascii="Times New Roman" w:hAnsi="Times New Roman" w:cs="Times New Roman"/>
          <w:sz w:val="24"/>
          <w:szCs w:val="24"/>
        </w:rPr>
        <w:t xml:space="preserve">. </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155A80" w:rsidRDefault="00155A80"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After each SCSEP participant has been transitioned to his or her unsubsidized job placement, follow ups will be accomplished with the successful person and his or her new workplace.  The Program will maintain contact with the employers who have hired participants to unsubsidized employment ensure continued satisfaction and future job placement prospects.  Regular follow-up activities (required by Program regulations, as well as more informal contacts) increase the probability of retention and of employers being receptive to SCSEP when additional jobs become available.  In order to foster good job retention and employer relations, emphasis will continue to be placed on sending qualified and suitable participants to each particular job interview. The typical SCSEP participant usually accepts onl</w:t>
      </w:r>
      <w:r w:rsidR="00FE564B">
        <w:rPr>
          <w:rFonts w:ascii="Times New Roman" w:hAnsi="Times New Roman" w:cs="Times New Roman"/>
          <w:sz w:val="24"/>
          <w:szCs w:val="24"/>
        </w:rPr>
        <w:t>y part-time employment with day</w:t>
      </w:r>
      <w:r w:rsidRPr="00155A80">
        <w:rPr>
          <w:rFonts w:ascii="Times New Roman" w:hAnsi="Times New Roman" w:cs="Times New Roman"/>
          <w:sz w:val="24"/>
          <w:szCs w:val="24"/>
        </w:rPr>
        <w:t xml:space="preserve">time hours during the normal work week. Therefore, the program predominantly targets community social service organizations and small businesses.  These types of employers have jobs that match SCSEP participant’s skills, interests and abilities making for a successful long-term placement. </w:t>
      </w:r>
    </w:p>
    <w:p w:rsidR="00155A80" w:rsidRDefault="00155A80" w:rsidP="00155A80">
      <w:pPr>
        <w:pStyle w:val="ListParagraph"/>
        <w:spacing w:line="480" w:lineRule="auto"/>
        <w:outlineLvl w:val="0"/>
        <w:rPr>
          <w:rFonts w:ascii="Times New Roman" w:hAnsi="Times New Roman" w:cs="Times New Roman"/>
          <w:sz w:val="24"/>
          <w:szCs w:val="24"/>
        </w:rPr>
      </w:pPr>
    </w:p>
    <w:p w:rsidR="00155A80" w:rsidRPr="00155A80" w:rsidRDefault="00155A80"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Additionally, SCSEP participants do not normally accept rel</w:t>
      </w:r>
      <w:r w:rsidR="00FE564B">
        <w:rPr>
          <w:rFonts w:ascii="Times New Roman" w:hAnsi="Times New Roman" w:cs="Times New Roman"/>
          <w:sz w:val="24"/>
          <w:szCs w:val="24"/>
        </w:rPr>
        <w:t>ocations or extended commutes.  D</w:t>
      </w:r>
      <w:r w:rsidRPr="00155A80">
        <w:rPr>
          <w:rFonts w:ascii="Times New Roman" w:hAnsi="Times New Roman" w:cs="Times New Roman"/>
          <w:sz w:val="24"/>
          <w:szCs w:val="24"/>
        </w:rPr>
        <w:t xml:space="preserve">ue to transportation issues and rurality, Maine SCSEP has primarily focused on the local, community job markets.  SCSEP program managers and participant staff will continue to routinely visit host training sites to encourage them to hire their </w:t>
      </w:r>
      <w:r w:rsidRPr="00155A80">
        <w:rPr>
          <w:rFonts w:ascii="Times New Roman" w:hAnsi="Times New Roman" w:cs="Times New Roman"/>
          <w:sz w:val="24"/>
          <w:szCs w:val="24"/>
        </w:rPr>
        <w:lastRenderedPageBreak/>
        <w:t>assigned SCSEP participants when there are job openings and available funds. The value and benefits of hiring their SCSEP-trained participants will continue to be emphasized.</w:t>
      </w:r>
    </w:p>
    <w:p w:rsidR="009502FE" w:rsidRPr="00155A80"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A report released in November of 2015 by the Maine DOL shows that the job market is already heavily leaning towards healthcare and retail.  Of the top 25 employers in the state, 8 are in the retail industry and 8 are healthcare related.  Below is a chart that shows the current breakdown of employment by industry within those top 25 Maine employers (as of 2</w:t>
      </w:r>
      <w:r w:rsidRPr="00155A80">
        <w:rPr>
          <w:rFonts w:ascii="Times New Roman" w:hAnsi="Times New Roman" w:cs="Times New Roman"/>
          <w:sz w:val="24"/>
          <w:szCs w:val="24"/>
          <w:vertAlign w:val="superscript"/>
        </w:rPr>
        <w:t>nd</w:t>
      </w:r>
      <w:r w:rsidRPr="00155A80">
        <w:rPr>
          <w:rFonts w:ascii="Times New Roman" w:hAnsi="Times New Roman" w:cs="Times New Roman"/>
          <w:sz w:val="24"/>
          <w:szCs w:val="24"/>
        </w:rPr>
        <w:t xml:space="preserve"> Q 2015).  The chart also shows the number of employers within each industry.</w:t>
      </w:r>
      <w:r w:rsidRPr="00155A80">
        <w:rPr>
          <w:rStyle w:val="FootnoteReference"/>
          <w:rFonts w:ascii="Times New Roman" w:hAnsi="Times New Roman" w:cs="Times New Roman"/>
          <w:sz w:val="24"/>
          <w:szCs w:val="24"/>
        </w:rPr>
        <w:footnoteReference w:id="5"/>
      </w:r>
    </w:p>
    <w:p w:rsidR="009502FE" w:rsidRPr="00155A80"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noProof/>
          <w:sz w:val="24"/>
          <w:szCs w:val="24"/>
        </w:rPr>
        <w:drawing>
          <wp:inline distT="0" distB="0" distL="0" distR="0" wp14:anchorId="1AD1BB3A" wp14:editId="7B0862E7">
            <wp:extent cx="5784112" cy="2977116"/>
            <wp:effectExtent l="0" t="0" r="2667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02FE" w:rsidRDefault="009502FE" w:rsidP="009502FE">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A recent Maine DOL report projected that by 2022 the labor market will be 87% service industry and only 13% production based.  The Health Care and Social Assistance industry is expected to employ more than 13,000 Mainers by the year 2022.  Professional &amp; Business Services and the Hospitality Industry will be far behind with 3,500 and 2,400 respectively.  Utilities, Government and manufacturing are all expected to decline for a total of nearly 10,000 positions across the state.</w:t>
      </w:r>
      <w:r w:rsidRPr="00155A80">
        <w:rPr>
          <w:rStyle w:val="FootnoteReference"/>
          <w:rFonts w:ascii="Times New Roman" w:hAnsi="Times New Roman" w:cs="Times New Roman"/>
          <w:sz w:val="24"/>
          <w:szCs w:val="24"/>
        </w:rPr>
        <w:footnoteReference w:id="6"/>
      </w:r>
      <w:r w:rsidRPr="00155A80">
        <w:rPr>
          <w:rFonts w:ascii="Times New Roman" w:hAnsi="Times New Roman" w:cs="Times New Roman"/>
          <w:sz w:val="24"/>
          <w:szCs w:val="24"/>
        </w:rPr>
        <w:t xml:space="preserve">  The expected job opportunities will </w:t>
      </w:r>
      <w:r w:rsidRPr="00155A80">
        <w:rPr>
          <w:rFonts w:ascii="Times New Roman" w:hAnsi="Times New Roman" w:cs="Times New Roman"/>
          <w:sz w:val="24"/>
          <w:szCs w:val="24"/>
        </w:rPr>
        <w:lastRenderedPageBreak/>
        <w:t>need a wide range of skills and education; from the high-skill, highly analytical to the low-skill physical labor.  The training and education opportunities for SCSEP participants will have to be just as diverse.</w:t>
      </w:r>
    </w:p>
    <w:p w:rsidR="00155A80" w:rsidRPr="00155A80" w:rsidRDefault="00155A80" w:rsidP="009502FE">
      <w:pPr>
        <w:pStyle w:val="ListParagraph"/>
        <w:spacing w:line="480" w:lineRule="auto"/>
        <w:outlineLvl w:val="0"/>
        <w:rPr>
          <w:rFonts w:ascii="Times New Roman" w:hAnsi="Times New Roman" w:cs="Times New Roman"/>
          <w:sz w:val="24"/>
          <w:szCs w:val="24"/>
        </w:rPr>
      </w:pPr>
    </w:p>
    <w:p w:rsidR="009502FE" w:rsidRPr="00155A80" w:rsidRDefault="009502FE" w:rsidP="009502FE">
      <w:pPr>
        <w:tabs>
          <w:tab w:val="left" w:pos="6966"/>
        </w:tabs>
        <w:spacing w:line="480" w:lineRule="auto"/>
        <w:rPr>
          <w:rFonts w:ascii="Times New Roman" w:eastAsia="Times New Roman" w:hAnsi="Times New Roman" w:cs="Times New Roman"/>
          <w:b/>
          <w:sz w:val="24"/>
          <w:szCs w:val="24"/>
        </w:rPr>
      </w:pPr>
      <w:r w:rsidRPr="00155A80">
        <w:rPr>
          <w:rFonts w:ascii="Times New Roman" w:eastAsia="Times New Roman" w:hAnsi="Times New Roman" w:cs="Times New Roman"/>
          <w:b/>
          <w:sz w:val="24"/>
          <w:szCs w:val="24"/>
        </w:rPr>
        <w:t>Section II.  Service Delivery and Coordination:</w:t>
      </w:r>
    </w:p>
    <w:p w:rsidR="004C3851" w:rsidRDefault="004C385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The strategic vision of SCSEP in Maine to bring together workforce development boards, educational systems and or resource services in a seamless customer focused service delivery network that enhances access to the programs’ services to assist individuals in obtaining suitable employment. Achievement of this vision will allow Maine to continue building a workforce development system that prepares Older Mainers for high demand, high growth employment in industry sectors that are vital for</w:t>
      </w:r>
      <w:r w:rsidR="00142712">
        <w:rPr>
          <w:rFonts w:ascii="Times New Roman" w:hAnsi="Times New Roman" w:cs="Times New Roman"/>
          <w:sz w:val="24"/>
          <w:szCs w:val="24"/>
        </w:rPr>
        <w:t xml:space="preserve"> the </w:t>
      </w:r>
      <w:r w:rsidRPr="00155A80">
        <w:rPr>
          <w:rFonts w:ascii="Times New Roman" w:hAnsi="Times New Roman" w:cs="Times New Roman"/>
          <w:sz w:val="24"/>
          <w:szCs w:val="24"/>
        </w:rPr>
        <w:t>continued economic growth</w:t>
      </w:r>
      <w:r w:rsidR="00142712">
        <w:rPr>
          <w:rFonts w:ascii="Times New Roman" w:hAnsi="Times New Roman" w:cs="Times New Roman"/>
          <w:sz w:val="24"/>
          <w:szCs w:val="24"/>
        </w:rPr>
        <w:t xml:space="preserve"> of Maine</w:t>
      </w:r>
      <w:r w:rsidR="00C77FA0">
        <w:rPr>
          <w:rFonts w:ascii="Times New Roman" w:hAnsi="Times New Roman" w:cs="Times New Roman"/>
          <w:sz w:val="24"/>
          <w:szCs w:val="24"/>
        </w:rPr>
        <w:t xml:space="preserve">.  </w:t>
      </w:r>
    </w:p>
    <w:p w:rsidR="00155A80" w:rsidRDefault="00155A80" w:rsidP="00155A80">
      <w:pPr>
        <w:pStyle w:val="ListParagraph"/>
        <w:spacing w:line="480" w:lineRule="auto"/>
        <w:outlineLvl w:val="0"/>
        <w:rPr>
          <w:rFonts w:ascii="Times New Roman" w:hAnsi="Times New Roman" w:cs="Times New Roman"/>
          <w:sz w:val="24"/>
          <w:szCs w:val="24"/>
        </w:rPr>
      </w:pPr>
    </w:p>
    <w:p w:rsidR="00C77FA0" w:rsidRDefault="00C77FA0" w:rsidP="00155A80">
      <w:pPr>
        <w:pStyle w:val="ListParagraph"/>
        <w:spacing w:line="480" w:lineRule="auto"/>
        <w:outlineLvl w:val="0"/>
        <w:rPr>
          <w:rFonts w:ascii="Times New Roman" w:hAnsi="Times New Roman" w:cs="Times New Roman"/>
          <w:sz w:val="24"/>
          <w:szCs w:val="24"/>
        </w:rPr>
      </w:pPr>
      <w:r>
        <w:rPr>
          <w:rFonts w:ascii="Times New Roman" w:hAnsi="Times New Roman" w:cs="Times New Roman"/>
          <w:sz w:val="24"/>
          <w:szCs w:val="24"/>
        </w:rPr>
        <w:t>Every spring the US DOL posts the given goals and outcomes for both the National and State Grantees.  There are six core measures that are tracked each year.</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t>Entered Employment</w:t>
      </w:r>
      <w:r>
        <w:rPr>
          <w:rFonts w:ascii="Times New Roman" w:hAnsi="Times New Roman" w:cs="Times New Roman"/>
          <w:sz w:val="24"/>
          <w:szCs w:val="24"/>
        </w:rPr>
        <w:t>:  % of the number of participants employed in the first quarter after exiting the program</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t>Employment Retention</w:t>
      </w:r>
      <w:r>
        <w:rPr>
          <w:rFonts w:ascii="Times New Roman" w:hAnsi="Times New Roman" w:cs="Times New Roman"/>
          <w:sz w:val="24"/>
          <w:szCs w:val="24"/>
        </w:rPr>
        <w:t>:  % of participants who exit to employment that are still employed 6 months after exiting the program</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t>Average Earnings</w:t>
      </w:r>
      <w:r>
        <w:rPr>
          <w:rFonts w:ascii="Times New Roman" w:hAnsi="Times New Roman" w:cs="Times New Roman"/>
          <w:sz w:val="24"/>
          <w:szCs w:val="24"/>
        </w:rPr>
        <w:t>:  Of those participants who are employed in the 1</w:t>
      </w:r>
      <w:r w:rsidRPr="00C77FA0">
        <w:rPr>
          <w:rFonts w:ascii="Times New Roman" w:hAnsi="Times New Roman" w:cs="Times New Roman"/>
          <w:sz w:val="24"/>
          <w:szCs w:val="24"/>
          <w:vertAlign w:val="superscript"/>
        </w:rPr>
        <w:t>st</w:t>
      </w:r>
      <w:r>
        <w:rPr>
          <w:rFonts w:ascii="Times New Roman" w:hAnsi="Times New Roman" w:cs="Times New Roman"/>
          <w:sz w:val="24"/>
          <w:szCs w:val="24"/>
        </w:rPr>
        <w:t>, 2</w:t>
      </w:r>
      <w:r w:rsidRPr="00C77FA0">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C77FA0">
        <w:rPr>
          <w:rFonts w:ascii="Times New Roman" w:hAnsi="Times New Roman" w:cs="Times New Roman"/>
          <w:sz w:val="24"/>
          <w:szCs w:val="24"/>
          <w:vertAlign w:val="superscript"/>
        </w:rPr>
        <w:t>rd</w:t>
      </w:r>
      <w:r>
        <w:rPr>
          <w:rFonts w:ascii="Times New Roman" w:hAnsi="Times New Roman" w:cs="Times New Roman"/>
          <w:sz w:val="24"/>
          <w:szCs w:val="24"/>
        </w:rPr>
        <w:t xml:space="preserve"> quarters after the quarter of program exit, total earnings in the 2</w:t>
      </w:r>
      <w:r w:rsidRPr="00C77FA0">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C77FA0">
        <w:rPr>
          <w:rFonts w:ascii="Times New Roman" w:hAnsi="Times New Roman" w:cs="Times New Roman"/>
          <w:sz w:val="24"/>
          <w:szCs w:val="24"/>
          <w:vertAlign w:val="superscript"/>
        </w:rPr>
        <w:t>rd</w:t>
      </w:r>
      <w:r>
        <w:rPr>
          <w:rFonts w:ascii="Times New Roman" w:hAnsi="Times New Roman" w:cs="Times New Roman"/>
          <w:sz w:val="24"/>
          <w:szCs w:val="24"/>
        </w:rPr>
        <w:t xml:space="preserve"> quarters after exit quarter, divided by the by the number of exiting participants during the period</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lastRenderedPageBreak/>
        <w:t>Service Level</w:t>
      </w:r>
      <w:r>
        <w:rPr>
          <w:rFonts w:ascii="Times New Roman" w:hAnsi="Times New Roman" w:cs="Times New Roman"/>
          <w:sz w:val="24"/>
          <w:szCs w:val="24"/>
        </w:rPr>
        <w:t>:  The number of participants who are active on the last day of the reporting period divided by the number of hours of community service funded by the grant minus the number of paid training hours in the reporting period.</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t>Community Service</w:t>
      </w:r>
      <w:r>
        <w:rPr>
          <w:rFonts w:ascii="Times New Roman" w:hAnsi="Times New Roman" w:cs="Times New Roman"/>
          <w:sz w:val="24"/>
          <w:szCs w:val="24"/>
        </w:rPr>
        <w:t>:  The number of hours of active community service divided by the number of hours of community service hours funded minus the number of paid training hours in the reporting period</w:t>
      </w:r>
    </w:p>
    <w:p w:rsidR="00C77FA0" w:rsidRDefault="00C77FA0" w:rsidP="00C77FA0">
      <w:pPr>
        <w:pStyle w:val="ListParagraph"/>
        <w:numPr>
          <w:ilvl w:val="0"/>
          <w:numId w:val="17"/>
        </w:numPr>
        <w:spacing w:line="480" w:lineRule="auto"/>
        <w:outlineLvl w:val="0"/>
        <w:rPr>
          <w:rFonts w:ascii="Times New Roman" w:hAnsi="Times New Roman" w:cs="Times New Roman"/>
          <w:sz w:val="24"/>
          <w:szCs w:val="24"/>
        </w:rPr>
      </w:pPr>
      <w:r w:rsidRPr="007817B0">
        <w:rPr>
          <w:rFonts w:ascii="Times New Roman" w:hAnsi="Times New Roman" w:cs="Times New Roman"/>
          <w:b/>
          <w:sz w:val="24"/>
          <w:szCs w:val="24"/>
        </w:rPr>
        <w:t>Service to Most in Need</w:t>
      </w:r>
      <w:r>
        <w:rPr>
          <w:rFonts w:ascii="Times New Roman" w:hAnsi="Times New Roman" w:cs="Times New Roman"/>
          <w:sz w:val="24"/>
          <w:szCs w:val="24"/>
        </w:rPr>
        <w:t>:  Average number of barriers to employment divided by the number of participants active on the last day of the reporting period or who exited during the reporting period</w:t>
      </w:r>
    </w:p>
    <w:p w:rsidR="00C77FA0" w:rsidRDefault="00C77FA0" w:rsidP="00C77FA0">
      <w:pPr>
        <w:pStyle w:val="ListParagraph"/>
        <w:spacing w:line="480" w:lineRule="auto"/>
        <w:outlineLvl w:val="0"/>
        <w:rPr>
          <w:rFonts w:ascii="Times New Roman" w:hAnsi="Times New Roman" w:cs="Times New Roman"/>
          <w:sz w:val="24"/>
          <w:szCs w:val="24"/>
        </w:rPr>
      </w:pPr>
      <w:r>
        <w:rPr>
          <w:rFonts w:ascii="Times New Roman" w:hAnsi="Times New Roman" w:cs="Times New Roman"/>
          <w:sz w:val="24"/>
          <w:szCs w:val="24"/>
        </w:rPr>
        <w:t xml:space="preserve">The State and National Grantees are given different goals because the National Grantee works across multiple states.  </w:t>
      </w:r>
    </w:p>
    <w:p w:rsidR="00FE564B" w:rsidRDefault="00FE564B" w:rsidP="00C77FA0">
      <w:pPr>
        <w:pStyle w:val="ListParagraph"/>
        <w:spacing w:line="480" w:lineRule="auto"/>
        <w:outlineLvl w:val="0"/>
        <w:rPr>
          <w:rFonts w:ascii="Times New Roman" w:hAnsi="Times New Roman" w:cs="Times New Roman"/>
          <w:sz w:val="24"/>
          <w:szCs w:val="24"/>
        </w:rPr>
      </w:pPr>
    </w:p>
    <w:p w:rsidR="00FE564B" w:rsidRPr="007817B0" w:rsidRDefault="007817B0" w:rsidP="00C77FA0">
      <w:pPr>
        <w:pStyle w:val="ListParagraph"/>
        <w:spacing w:line="480" w:lineRule="auto"/>
        <w:outlineLvl w:val="0"/>
        <w:rPr>
          <w:rFonts w:ascii="Times New Roman" w:hAnsi="Times New Roman" w:cs="Times New Roman"/>
          <w:b/>
          <w:sz w:val="24"/>
          <w:szCs w:val="24"/>
        </w:rPr>
      </w:pPr>
      <w:r>
        <w:rPr>
          <w:rFonts w:ascii="Times New Roman" w:hAnsi="Times New Roman" w:cs="Times New Roman"/>
          <w:b/>
          <w:sz w:val="24"/>
          <w:szCs w:val="24"/>
        </w:rPr>
        <w:t>C</w:t>
      </w:r>
      <w:r w:rsidR="00FE564B" w:rsidRPr="007817B0">
        <w:rPr>
          <w:rFonts w:ascii="Times New Roman" w:hAnsi="Times New Roman" w:cs="Times New Roman"/>
          <w:b/>
          <w:sz w:val="24"/>
          <w:szCs w:val="24"/>
        </w:rPr>
        <w:t xml:space="preserve">urrent </w:t>
      </w:r>
      <w:r>
        <w:rPr>
          <w:rFonts w:ascii="Times New Roman" w:hAnsi="Times New Roman" w:cs="Times New Roman"/>
          <w:b/>
          <w:sz w:val="24"/>
          <w:szCs w:val="24"/>
        </w:rPr>
        <w:t xml:space="preserve">SCSEP </w:t>
      </w:r>
      <w:r w:rsidR="00FE564B" w:rsidRPr="007817B0">
        <w:rPr>
          <w:rFonts w:ascii="Times New Roman" w:hAnsi="Times New Roman" w:cs="Times New Roman"/>
          <w:b/>
          <w:sz w:val="24"/>
          <w:szCs w:val="24"/>
        </w:rPr>
        <w:t>program year g</w:t>
      </w:r>
      <w:r w:rsidRPr="007817B0">
        <w:rPr>
          <w:rFonts w:ascii="Times New Roman" w:hAnsi="Times New Roman" w:cs="Times New Roman"/>
          <w:b/>
          <w:sz w:val="24"/>
          <w:szCs w:val="24"/>
        </w:rPr>
        <w:t>oals: Jul 1,</w:t>
      </w:r>
      <w:r>
        <w:rPr>
          <w:rFonts w:ascii="Times New Roman" w:hAnsi="Times New Roman" w:cs="Times New Roman"/>
          <w:b/>
          <w:sz w:val="24"/>
          <w:szCs w:val="24"/>
        </w:rPr>
        <w:t xml:space="preserve"> </w:t>
      </w:r>
      <w:r w:rsidRPr="007817B0">
        <w:rPr>
          <w:rFonts w:ascii="Times New Roman" w:hAnsi="Times New Roman" w:cs="Times New Roman"/>
          <w:b/>
          <w:sz w:val="24"/>
          <w:szCs w:val="24"/>
        </w:rPr>
        <w:t>2015 – Jun 30, 2016</w:t>
      </w:r>
    </w:p>
    <w:tbl>
      <w:tblPr>
        <w:tblW w:w="6880" w:type="dxa"/>
        <w:jc w:val="center"/>
        <w:tblInd w:w="93" w:type="dxa"/>
        <w:tblLook w:val="04A0" w:firstRow="1" w:lastRow="0" w:firstColumn="1" w:lastColumn="0" w:noHBand="0" w:noVBand="1"/>
      </w:tblPr>
      <w:tblGrid>
        <w:gridCol w:w="2540"/>
        <w:gridCol w:w="1820"/>
        <w:gridCol w:w="2520"/>
      </w:tblGrid>
      <w:tr w:rsidR="00C77FA0" w:rsidRPr="00C77FA0" w:rsidTr="00C77FA0">
        <w:trPr>
          <w:trHeight w:val="780"/>
          <w:jc w:val="center"/>
        </w:trPr>
        <w:tc>
          <w:tcPr>
            <w:tcW w:w="2540"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C77FA0" w:rsidRPr="00C77FA0" w:rsidRDefault="00C77FA0" w:rsidP="00C77FA0">
            <w:pPr>
              <w:spacing w:after="0" w:line="240" w:lineRule="auto"/>
              <w:jc w:val="center"/>
              <w:rPr>
                <w:rFonts w:ascii="Arial" w:eastAsia="Times New Roman" w:hAnsi="Arial" w:cs="Arial"/>
                <w:b/>
                <w:bCs/>
                <w:sz w:val="20"/>
                <w:szCs w:val="20"/>
              </w:rPr>
            </w:pPr>
            <w:r w:rsidRPr="00C77FA0">
              <w:rPr>
                <w:rFonts w:ascii="Arial" w:eastAsia="Times New Roman" w:hAnsi="Arial" w:cs="Arial"/>
                <w:b/>
                <w:bCs/>
                <w:sz w:val="20"/>
                <w:szCs w:val="20"/>
              </w:rPr>
              <w:t>National Grantee:</w:t>
            </w:r>
            <w:r w:rsidRPr="00C77FA0">
              <w:rPr>
                <w:rFonts w:ascii="Arial" w:eastAsia="Times New Roman" w:hAnsi="Arial" w:cs="Arial"/>
                <w:b/>
                <w:bCs/>
                <w:sz w:val="20"/>
                <w:szCs w:val="20"/>
              </w:rPr>
              <w:br/>
              <w:t>National Able Network</w:t>
            </w:r>
          </w:p>
        </w:tc>
        <w:tc>
          <w:tcPr>
            <w:tcW w:w="1820" w:type="dxa"/>
            <w:tcBorders>
              <w:top w:val="single" w:sz="8" w:space="0" w:color="auto"/>
              <w:left w:val="nil"/>
              <w:bottom w:val="single" w:sz="4" w:space="0" w:color="auto"/>
              <w:right w:val="single" w:sz="4" w:space="0" w:color="auto"/>
            </w:tcBorders>
            <w:shd w:val="clear" w:color="auto" w:fill="auto"/>
            <w:noWrap/>
            <w:vAlign w:val="center"/>
            <w:hideMark/>
          </w:tcPr>
          <w:p w:rsidR="00C77FA0" w:rsidRPr="00C77FA0" w:rsidRDefault="00C77FA0" w:rsidP="00C77FA0">
            <w:pPr>
              <w:spacing w:after="0" w:line="240" w:lineRule="auto"/>
              <w:jc w:val="center"/>
              <w:rPr>
                <w:rFonts w:ascii="Arial" w:eastAsia="Times New Roman" w:hAnsi="Arial" w:cs="Arial"/>
                <w:b/>
                <w:bCs/>
              </w:rPr>
            </w:pPr>
            <w:r w:rsidRPr="00C77FA0">
              <w:rPr>
                <w:rFonts w:ascii="Arial" w:eastAsia="Times New Roman" w:hAnsi="Arial" w:cs="Arial"/>
                <w:b/>
                <w:bCs/>
              </w:rPr>
              <w:t>Measure:</w:t>
            </w:r>
          </w:p>
        </w:tc>
        <w:tc>
          <w:tcPr>
            <w:tcW w:w="2520" w:type="dxa"/>
            <w:tcBorders>
              <w:top w:val="single" w:sz="8" w:space="0" w:color="auto"/>
              <w:left w:val="nil"/>
              <w:bottom w:val="single" w:sz="4" w:space="0" w:color="auto"/>
              <w:right w:val="single" w:sz="8" w:space="0" w:color="auto"/>
            </w:tcBorders>
            <w:shd w:val="clear" w:color="000000" w:fill="FFFFFF"/>
            <w:vAlign w:val="bottom"/>
            <w:hideMark/>
          </w:tcPr>
          <w:p w:rsidR="00C77FA0" w:rsidRPr="00C77FA0" w:rsidRDefault="00C77FA0" w:rsidP="00C77FA0">
            <w:pPr>
              <w:spacing w:after="0" w:line="240" w:lineRule="auto"/>
              <w:jc w:val="center"/>
              <w:rPr>
                <w:rFonts w:ascii="Arial" w:eastAsia="Times New Roman" w:hAnsi="Arial" w:cs="Arial"/>
                <w:b/>
                <w:bCs/>
                <w:sz w:val="20"/>
                <w:szCs w:val="20"/>
              </w:rPr>
            </w:pPr>
            <w:r w:rsidRPr="00C77FA0">
              <w:rPr>
                <w:rFonts w:ascii="Arial" w:eastAsia="Times New Roman" w:hAnsi="Arial" w:cs="Arial"/>
                <w:b/>
                <w:bCs/>
                <w:sz w:val="20"/>
                <w:szCs w:val="20"/>
              </w:rPr>
              <w:t>State Grantee:</w:t>
            </w:r>
            <w:r w:rsidRPr="00C77FA0">
              <w:rPr>
                <w:rFonts w:ascii="Arial" w:eastAsia="Times New Roman" w:hAnsi="Arial" w:cs="Arial"/>
                <w:b/>
                <w:bCs/>
                <w:sz w:val="20"/>
                <w:szCs w:val="20"/>
              </w:rPr>
              <w:br/>
              <w:t>Maine</w:t>
            </w:r>
            <w:r w:rsidR="007817B0">
              <w:rPr>
                <w:rFonts w:ascii="Arial" w:eastAsia="Times New Roman" w:hAnsi="Arial" w:cs="Arial"/>
                <w:b/>
                <w:bCs/>
                <w:sz w:val="20"/>
                <w:szCs w:val="20"/>
              </w:rPr>
              <w:t xml:space="preserve"> -Goodwill</w:t>
            </w:r>
          </w:p>
        </w:tc>
      </w:tr>
      <w:tr w:rsidR="00C77FA0" w:rsidRPr="00C77FA0" w:rsidTr="00C77FA0">
        <w:trPr>
          <w:trHeight w:val="870"/>
          <w:jc w:val="center"/>
        </w:trPr>
        <w:tc>
          <w:tcPr>
            <w:tcW w:w="2540" w:type="dxa"/>
            <w:tcBorders>
              <w:top w:val="nil"/>
              <w:left w:val="single" w:sz="8" w:space="0" w:color="auto"/>
              <w:bottom w:val="single" w:sz="4" w:space="0" w:color="auto"/>
              <w:right w:val="single" w:sz="4"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41.7%</w:t>
            </w:r>
          </w:p>
        </w:tc>
        <w:tc>
          <w:tcPr>
            <w:tcW w:w="1820" w:type="dxa"/>
            <w:tcBorders>
              <w:top w:val="nil"/>
              <w:left w:val="nil"/>
              <w:bottom w:val="single" w:sz="4"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Entered Employment Proposed Goal</w:t>
            </w:r>
          </w:p>
        </w:tc>
        <w:tc>
          <w:tcPr>
            <w:tcW w:w="2520" w:type="dxa"/>
            <w:tcBorders>
              <w:top w:val="nil"/>
              <w:left w:val="nil"/>
              <w:bottom w:val="single" w:sz="4" w:space="0" w:color="auto"/>
              <w:right w:val="single" w:sz="8"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40.5%</w:t>
            </w:r>
          </w:p>
        </w:tc>
      </w:tr>
      <w:tr w:rsidR="00C77FA0" w:rsidRPr="00C77FA0" w:rsidTr="00C77FA0">
        <w:trPr>
          <w:trHeight w:val="585"/>
          <w:jc w:val="center"/>
        </w:trPr>
        <w:tc>
          <w:tcPr>
            <w:tcW w:w="2540" w:type="dxa"/>
            <w:tcBorders>
              <w:top w:val="nil"/>
              <w:left w:val="single" w:sz="8" w:space="0" w:color="auto"/>
              <w:bottom w:val="single" w:sz="4" w:space="0" w:color="auto"/>
              <w:right w:val="single" w:sz="4"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74.8%</w:t>
            </w:r>
          </w:p>
        </w:tc>
        <w:tc>
          <w:tcPr>
            <w:tcW w:w="1820" w:type="dxa"/>
            <w:tcBorders>
              <w:top w:val="nil"/>
              <w:left w:val="nil"/>
              <w:bottom w:val="single" w:sz="4"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Retention Proposed Goal</w:t>
            </w:r>
          </w:p>
        </w:tc>
        <w:tc>
          <w:tcPr>
            <w:tcW w:w="2520" w:type="dxa"/>
            <w:tcBorders>
              <w:top w:val="nil"/>
              <w:left w:val="nil"/>
              <w:bottom w:val="single" w:sz="4" w:space="0" w:color="auto"/>
              <w:right w:val="single" w:sz="8"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71.7%</w:t>
            </w:r>
          </w:p>
        </w:tc>
      </w:tr>
      <w:tr w:rsidR="00C77FA0" w:rsidRPr="00C77FA0" w:rsidTr="00C77FA0">
        <w:trPr>
          <w:trHeight w:val="645"/>
          <w:jc w:val="center"/>
        </w:trPr>
        <w:tc>
          <w:tcPr>
            <w:tcW w:w="2540" w:type="dxa"/>
            <w:tcBorders>
              <w:top w:val="nil"/>
              <w:left w:val="single" w:sz="8" w:space="0" w:color="auto"/>
              <w:bottom w:val="single" w:sz="4" w:space="0" w:color="auto"/>
              <w:right w:val="single" w:sz="4"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$7,497</w:t>
            </w:r>
          </w:p>
        </w:tc>
        <w:tc>
          <w:tcPr>
            <w:tcW w:w="1820" w:type="dxa"/>
            <w:tcBorders>
              <w:top w:val="nil"/>
              <w:left w:val="nil"/>
              <w:bottom w:val="single" w:sz="4"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Average Earnings Proposed Goal</w:t>
            </w:r>
          </w:p>
        </w:tc>
        <w:tc>
          <w:tcPr>
            <w:tcW w:w="2520" w:type="dxa"/>
            <w:tcBorders>
              <w:top w:val="nil"/>
              <w:left w:val="nil"/>
              <w:bottom w:val="single" w:sz="4" w:space="0" w:color="auto"/>
              <w:right w:val="single" w:sz="8"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$7,045</w:t>
            </w:r>
          </w:p>
        </w:tc>
      </w:tr>
      <w:tr w:rsidR="00C77FA0" w:rsidRPr="00C77FA0" w:rsidTr="00C77FA0">
        <w:trPr>
          <w:trHeight w:val="585"/>
          <w:jc w:val="center"/>
        </w:trPr>
        <w:tc>
          <w:tcPr>
            <w:tcW w:w="2540" w:type="dxa"/>
            <w:tcBorders>
              <w:top w:val="nil"/>
              <w:left w:val="single" w:sz="8" w:space="0" w:color="auto"/>
              <w:bottom w:val="single" w:sz="4" w:space="0" w:color="auto"/>
              <w:right w:val="single" w:sz="4"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154.2%</w:t>
            </w:r>
          </w:p>
        </w:tc>
        <w:tc>
          <w:tcPr>
            <w:tcW w:w="1820" w:type="dxa"/>
            <w:tcBorders>
              <w:top w:val="nil"/>
              <w:left w:val="nil"/>
              <w:bottom w:val="single" w:sz="4"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Service Level Proposed Goal</w:t>
            </w:r>
          </w:p>
        </w:tc>
        <w:tc>
          <w:tcPr>
            <w:tcW w:w="2520" w:type="dxa"/>
            <w:tcBorders>
              <w:top w:val="nil"/>
              <w:left w:val="nil"/>
              <w:bottom w:val="single" w:sz="4" w:space="0" w:color="auto"/>
              <w:right w:val="single" w:sz="8" w:space="0" w:color="auto"/>
            </w:tcBorders>
            <w:shd w:val="clear" w:color="000000" w:fill="FFFFFF"/>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153.3%</w:t>
            </w:r>
          </w:p>
        </w:tc>
      </w:tr>
      <w:tr w:rsidR="00C77FA0" w:rsidRPr="00C77FA0" w:rsidTr="00C77FA0">
        <w:trPr>
          <w:trHeight w:val="870"/>
          <w:jc w:val="center"/>
        </w:trPr>
        <w:tc>
          <w:tcPr>
            <w:tcW w:w="2540" w:type="dxa"/>
            <w:tcBorders>
              <w:top w:val="nil"/>
              <w:left w:val="single" w:sz="8" w:space="0" w:color="auto"/>
              <w:bottom w:val="single" w:sz="4" w:space="0" w:color="auto"/>
              <w:right w:val="single" w:sz="4" w:space="0" w:color="auto"/>
            </w:tcBorders>
            <w:shd w:val="clear" w:color="auto" w:fill="auto"/>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75.0%</w:t>
            </w:r>
          </w:p>
        </w:tc>
        <w:tc>
          <w:tcPr>
            <w:tcW w:w="1820" w:type="dxa"/>
            <w:tcBorders>
              <w:top w:val="nil"/>
              <w:left w:val="nil"/>
              <w:bottom w:val="single" w:sz="4"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Community Service Proposed Goal</w:t>
            </w:r>
          </w:p>
        </w:tc>
        <w:tc>
          <w:tcPr>
            <w:tcW w:w="2520" w:type="dxa"/>
            <w:tcBorders>
              <w:top w:val="nil"/>
              <w:left w:val="nil"/>
              <w:bottom w:val="single" w:sz="4" w:space="0" w:color="auto"/>
              <w:right w:val="single" w:sz="8" w:space="0" w:color="auto"/>
            </w:tcBorders>
            <w:shd w:val="clear" w:color="auto" w:fill="auto"/>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77.7%</w:t>
            </w:r>
          </w:p>
        </w:tc>
      </w:tr>
      <w:tr w:rsidR="00C77FA0" w:rsidRPr="00C77FA0" w:rsidTr="00C77FA0">
        <w:trPr>
          <w:trHeight w:val="600"/>
          <w:jc w:val="center"/>
        </w:trPr>
        <w:tc>
          <w:tcPr>
            <w:tcW w:w="2540" w:type="dxa"/>
            <w:tcBorders>
              <w:top w:val="nil"/>
              <w:left w:val="single" w:sz="8" w:space="0" w:color="auto"/>
              <w:bottom w:val="single" w:sz="8" w:space="0" w:color="auto"/>
              <w:right w:val="single" w:sz="4" w:space="0" w:color="auto"/>
            </w:tcBorders>
            <w:shd w:val="clear" w:color="auto" w:fill="auto"/>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2.84</w:t>
            </w:r>
          </w:p>
        </w:tc>
        <w:tc>
          <w:tcPr>
            <w:tcW w:w="1820" w:type="dxa"/>
            <w:tcBorders>
              <w:top w:val="nil"/>
              <w:left w:val="nil"/>
              <w:bottom w:val="single" w:sz="8" w:space="0" w:color="auto"/>
              <w:right w:val="single" w:sz="4" w:space="0" w:color="auto"/>
            </w:tcBorders>
            <w:shd w:val="clear" w:color="auto" w:fill="auto"/>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Most in Need Proposed Goal</w:t>
            </w:r>
          </w:p>
        </w:tc>
        <w:tc>
          <w:tcPr>
            <w:tcW w:w="2520" w:type="dxa"/>
            <w:tcBorders>
              <w:top w:val="nil"/>
              <w:left w:val="nil"/>
              <w:bottom w:val="single" w:sz="8" w:space="0" w:color="auto"/>
              <w:right w:val="single" w:sz="8" w:space="0" w:color="auto"/>
            </w:tcBorders>
            <w:shd w:val="clear" w:color="auto" w:fill="auto"/>
            <w:noWrap/>
            <w:vAlign w:val="bottom"/>
            <w:hideMark/>
          </w:tcPr>
          <w:p w:rsidR="00C77FA0" w:rsidRPr="00C77FA0" w:rsidRDefault="00C77FA0" w:rsidP="00C77FA0">
            <w:pPr>
              <w:spacing w:after="0" w:line="240" w:lineRule="auto"/>
              <w:jc w:val="center"/>
              <w:rPr>
                <w:rFonts w:ascii="Arial" w:eastAsia="Times New Roman" w:hAnsi="Arial" w:cs="Arial"/>
              </w:rPr>
            </w:pPr>
            <w:r w:rsidRPr="00C77FA0">
              <w:rPr>
                <w:rFonts w:ascii="Arial" w:eastAsia="Times New Roman" w:hAnsi="Arial" w:cs="Arial"/>
              </w:rPr>
              <w:t>2.50</w:t>
            </w:r>
          </w:p>
        </w:tc>
      </w:tr>
    </w:tbl>
    <w:p w:rsidR="00C77FA0" w:rsidRPr="00C77FA0" w:rsidRDefault="00C77FA0" w:rsidP="00C77FA0">
      <w:pPr>
        <w:spacing w:line="480" w:lineRule="auto"/>
        <w:outlineLvl w:val="0"/>
        <w:rPr>
          <w:rFonts w:ascii="Times New Roman" w:hAnsi="Times New Roman" w:cs="Times New Roman"/>
          <w:sz w:val="24"/>
          <w:szCs w:val="24"/>
        </w:rPr>
      </w:pPr>
    </w:p>
    <w:p w:rsidR="00C77FA0" w:rsidRPr="00155A80" w:rsidRDefault="00C77FA0" w:rsidP="00155A80">
      <w:pPr>
        <w:pStyle w:val="ListParagraph"/>
        <w:spacing w:line="480" w:lineRule="auto"/>
        <w:outlineLvl w:val="0"/>
        <w:rPr>
          <w:rFonts w:ascii="Times New Roman" w:hAnsi="Times New Roman" w:cs="Times New Roman"/>
          <w:sz w:val="24"/>
          <w:szCs w:val="24"/>
        </w:rPr>
      </w:pPr>
    </w:p>
    <w:p w:rsidR="004C3851" w:rsidRDefault="00C77FA0" w:rsidP="00155A80">
      <w:pPr>
        <w:pStyle w:val="ListParagraph"/>
        <w:spacing w:line="480" w:lineRule="auto"/>
        <w:outlineLvl w:val="0"/>
        <w:rPr>
          <w:rFonts w:ascii="Times New Roman" w:hAnsi="Times New Roman" w:cs="Times New Roman"/>
          <w:sz w:val="24"/>
          <w:szCs w:val="24"/>
        </w:rPr>
      </w:pPr>
      <w:r>
        <w:rPr>
          <w:rFonts w:ascii="Times New Roman" w:hAnsi="Times New Roman" w:cs="Times New Roman"/>
          <w:sz w:val="24"/>
          <w:szCs w:val="24"/>
        </w:rPr>
        <w:t>In order to meet these annual goals</w:t>
      </w:r>
      <w:r w:rsidR="00FE564B">
        <w:rPr>
          <w:rFonts w:ascii="Times New Roman" w:hAnsi="Times New Roman" w:cs="Times New Roman"/>
          <w:sz w:val="24"/>
          <w:szCs w:val="24"/>
        </w:rPr>
        <w:t xml:space="preserve"> Maine’s</w:t>
      </w:r>
      <w:r>
        <w:rPr>
          <w:rFonts w:ascii="Times New Roman" w:hAnsi="Times New Roman" w:cs="Times New Roman"/>
          <w:sz w:val="24"/>
          <w:szCs w:val="24"/>
        </w:rPr>
        <w:t xml:space="preserve"> </w:t>
      </w:r>
      <w:r w:rsidR="004C3851" w:rsidRPr="00155A80">
        <w:rPr>
          <w:rFonts w:ascii="Times New Roman" w:hAnsi="Times New Roman" w:cs="Times New Roman"/>
          <w:sz w:val="24"/>
          <w:szCs w:val="24"/>
        </w:rPr>
        <w:t xml:space="preserve">SCSEP will continue to </w:t>
      </w:r>
      <w:r w:rsidR="000F3FCD" w:rsidRPr="00155A80">
        <w:rPr>
          <w:rFonts w:ascii="Times New Roman" w:hAnsi="Times New Roman" w:cs="Times New Roman"/>
          <w:sz w:val="24"/>
          <w:szCs w:val="24"/>
        </w:rPr>
        <w:t xml:space="preserve">coordinate </w:t>
      </w:r>
      <w:r w:rsidR="004C3851" w:rsidRPr="00155A80">
        <w:rPr>
          <w:rFonts w:ascii="Times New Roman" w:hAnsi="Times New Roman" w:cs="Times New Roman"/>
          <w:sz w:val="24"/>
          <w:szCs w:val="24"/>
        </w:rPr>
        <w:t>with the M</w:t>
      </w:r>
      <w:r w:rsidR="00142712">
        <w:rPr>
          <w:rFonts w:ascii="Times New Roman" w:hAnsi="Times New Roman" w:cs="Times New Roman"/>
          <w:sz w:val="24"/>
          <w:szCs w:val="24"/>
        </w:rPr>
        <w:t>aine</w:t>
      </w:r>
      <w:r w:rsidR="004C3851" w:rsidRPr="00155A80">
        <w:rPr>
          <w:rFonts w:ascii="Times New Roman" w:hAnsi="Times New Roman" w:cs="Times New Roman"/>
          <w:sz w:val="24"/>
          <w:szCs w:val="24"/>
        </w:rPr>
        <w:t xml:space="preserve"> D</w:t>
      </w:r>
      <w:r w:rsidR="00142712">
        <w:rPr>
          <w:rFonts w:ascii="Times New Roman" w:hAnsi="Times New Roman" w:cs="Times New Roman"/>
          <w:sz w:val="24"/>
          <w:szCs w:val="24"/>
        </w:rPr>
        <w:t xml:space="preserve">epartment of Labor </w:t>
      </w:r>
      <w:r w:rsidR="004C3851" w:rsidRPr="00155A80">
        <w:rPr>
          <w:rFonts w:ascii="Times New Roman" w:hAnsi="Times New Roman" w:cs="Times New Roman"/>
          <w:sz w:val="24"/>
          <w:szCs w:val="24"/>
        </w:rPr>
        <w:t xml:space="preserve">Career Centers and One-Stops as well as the State Workforce </w:t>
      </w:r>
      <w:r w:rsidR="009037A6" w:rsidRPr="00155A80">
        <w:rPr>
          <w:rFonts w:ascii="Times New Roman" w:hAnsi="Times New Roman" w:cs="Times New Roman"/>
          <w:sz w:val="24"/>
          <w:szCs w:val="24"/>
        </w:rPr>
        <w:t xml:space="preserve">Investment </w:t>
      </w:r>
      <w:r w:rsidR="004C3851" w:rsidRPr="00155A80">
        <w:rPr>
          <w:rFonts w:ascii="Times New Roman" w:hAnsi="Times New Roman" w:cs="Times New Roman"/>
          <w:sz w:val="24"/>
          <w:szCs w:val="24"/>
        </w:rPr>
        <w:t>Board</w:t>
      </w:r>
      <w:r w:rsidR="009037A6" w:rsidRPr="00155A80">
        <w:rPr>
          <w:rFonts w:ascii="Times New Roman" w:hAnsi="Times New Roman" w:cs="Times New Roman"/>
          <w:sz w:val="24"/>
          <w:szCs w:val="24"/>
        </w:rPr>
        <w:t xml:space="preserve"> (SWIB)</w:t>
      </w:r>
      <w:r w:rsidR="004C3851" w:rsidRPr="00155A80">
        <w:rPr>
          <w:rFonts w:ascii="Times New Roman" w:hAnsi="Times New Roman" w:cs="Times New Roman"/>
          <w:sz w:val="24"/>
          <w:szCs w:val="24"/>
        </w:rPr>
        <w:t xml:space="preserve"> and the</w:t>
      </w:r>
      <w:r w:rsidR="00142712">
        <w:rPr>
          <w:rFonts w:ascii="Times New Roman" w:hAnsi="Times New Roman" w:cs="Times New Roman"/>
          <w:sz w:val="24"/>
          <w:szCs w:val="24"/>
        </w:rPr>
        <w:t xml:space="preserve"> four </w:t>
      </w:r>
      <w:r w:rsidR="004C3851" w:rsidRPr="00155A80">
        <w:rPr>
          <w:rFonts w:ascii="Times New Roman" w:hAnsi="Times New Roman" w:cs="Times New Roman"/>
          <w:sz w:val="24"/>
          <w:szCs w:val="24"/>
        </w:rPr>
        <w:t xml:space="preserve">Local Workforce Boards.  </w:t>
      </w:r>
      <w:r w:rsidR="009037A6" w:rsidRPr="00155A80">
        <w:rPr>
          <w:rFonts w:ascii="Times New Roman" w:hAnsi="Times New Roman" w:cs="Times New Roman"/>
          <w:sz w:val="24"/>
          <w:szCs w:val="24"/>
        </w:rPr>
        <w:t>SCSEP will</w:t>
      </w:r>
      <w:r w:rsidR="00142712">
        <w:rPr>
          <w:rFonts w:ascii="Times New Roman" w:hAnsi="Times New Roman" w:cs="Times New Roman"/>
          <w:sz w:val="24"/>
          <w:szCs w:val="24"/>
        </w:rPr>
        <w:t xml:space="preserve"> work together</w:t>
      </w:r>
      <w:r w:rsidR="0061214E">
        <w:rPr>
          <w:rFonts w:ascii="Times New Roman" w:hAnsi="Times New Roman" w:cs="Times New Roman"/>
          <w:sz w:val="24"/>
          <w:szCs w:val="24"/>
        </w:rPr>
        <w:t xml:space="preserve"> with the SWIB to re-energ</w:t>
      </w:r>
      <w:r w:rsidR="009037A6" w:rsidRPr="00155A80">
        <w:rPr>
          <w:rFonts w:ascii="Times New Roman" w:hAnsi="Times New Roman" w:cs="Times New Roman"/>
          <w:sz w:val="24"/>
          <w:szCs w:val="24"/>
        </w:rPr>
        <w:t>ize</w:t>
      </w:r>
      <w:r>
        <w:rPr>
          <w:rFonts w:ascii="Times New Roman" w:hAnsi="Times New Roman" w:cs="Times New Roman"/>
          <w:sz w:val="24"/>
          <w:szCs w:val="24"/>
        </w:rPr>
        <w:t xml:space="preserve"> </w:t>
      </w:r>
      <w:r w:rsidR="009037A6" w:rsidRPr="00155A80">
        <w:rPr>
          <w:rFonts w:ascii="Times New Roman" w:hAnsi="Times New Roman" w:cs="Times New Roman"/>
          <w:sz w:val="24"/>
          <w:szCs w:val="24"/>
        </w:rPr>
        <w:t>the Older Worker’s Committee to focus on Maine’s aging workforce</w:t>
      </w:r>
      <w:r w:rsidR="00142712">
        <w:rPr>
          <w:rFonts w:ascii="Times New Roman" w:hAnsi="Times New Roman" w:cs="Times New Roman"/>
          <w:sz w:val="24"/>
          <w:szCs w:val="24"/>
        </w:rPr>
        <w:t xml:space="preserve"> and ensure ongoing coordination and dialogue to engage Maine</w:t>
      </w:r>
      <w:r w:rsidR="005B2B1C">
        <w:rPr>
          <w:rFonts w:ascii="Times New Roman" w:hAnsi="Times New Roman" w:cs="Times New Roman"/>
          <w:sz w:val="24"/>
          <w:szCs w:val="24"/>
        </w:rPr>
        <w:t>’</w:t>
      </w:r>
      <w:r w:rsidR="00142712">
        <w:rPr>
          <w:rFonts w:ascii="Times New Roman" w:hAnsi="Times New Roman" w:cs="Times New Roman"/>
          <w:sz w:val="24"/>
          <w:szCs w:val="24"/>
        </w:rPr>
        <w:t>s older workers</w:t>
      </w:r>
      <w:r w:rsidR="009037A6" w:rsidRPr="00155A80">
        <w:rPr>
          <w:rFonts w:ascii="Times New Roman" w:hAnsi="Times New Roman" w:cs="Times New Roman"/>
          <w:sz w:val="24"/>
          <w:szCs w:val="24"/>
        </w:rPr>
        <w:t xml:space="preserve">.  </w:t>
      </w:r>
      <w:r w:rsidR="004C3851" w:rsidRPr="00155A80">
        <w:rPr>
          <w:rFonts w:ascii="Times New Roman" w:hAnsi="Times New Roman" w:cs="Times New Roman"/>
          <w:sz w:val="24"/>
          <w:szCs w:val="24"/>
        </w:rPr>
        <w:t>SCSEP is regularly marketed at Job Fairs</w:t>
      </w:r>
      <w:r w:rsidR="00142712">
        <w:rPr>
          <w:rFonts w:ascii="Times New Roman" w:hAnsi="Times New Roman" w:cs="Times New Roman"/>
          <w:sz w:val="24"/>
          <w:szCs w:val="24"/>
        </w:rPr>
        <w:t xml:space="preserve"> throughout the state </w:t>
      </w:r>
      <w:r w:rsidR="004C3851" w:rsidRPr="00155A80">
        <w:rPr>
          <w:rFonts w:ascii="Times New Roman" w:hAnsi="Times New Roman" w:cs="Times New Roman"/>
          <w:sz w:val="24"/>
          <w:szCs w:val="24"/>
        </w:rPr>
        <w:t>and information about the program is also shared with entities like the Maine</w:t>
      </w:r>
      <w:r w:rsidR="00142712">
        <w:rPr>
          <w:rFonts w:ascii="Times New Roman" w:hAnsi="Times New Roman" w:cs="Times New Roman"/>
          <w:sz w:val="24"/>
          <w:szCs w:val="24"/>
        </w:rPr>
        <w:t xml:space="preserve"> State</w:t>
      </w:r>
      <w:r w:rsidR="004C3851" w:rsidRPr="00155A80">
        <w:rPr>
          <w:rFonts w:ascii="Times New Roman" w:hAnsi="Times New Roman" w:cs="Times New Roman"/>
          <w:sz w:val="24"/>
          <w:szCs w:val="24"/>
        </w:rPr>
        <w:t xml:space="preserve"> Chamber of Commerce</w:t>
      </w:r>
      <w:r w:rsidR="00A37839">
        <w:rPr>
          <w:rFonts w:ascii="Times New Roman" w:hAnsi="Times New Roman" w:cs="Times New Roman"/>
          <w:sz w:val="24"/>
          <w:szCs w:val="24"/>
        </w:rPr>
        <w:t xml:space="preserve"> and local Chambers</w:t>
      </w:r>
      <w:r w:rsidR="004C3851" w:rsidRPr="00155A80">
        <w:rPr>
          <w:rFonts w:ascii="Times New Roman" w:hAnsi="Times New Roman" w:cs="Times New Roman"/>
          <w:sz w:val="24"/>
          <w:szCs w:val="24"/>
        </w:rPr>
        <w:t xml:space="preserve">. </w:t>
      </w:r>
      <w:r w:rsidR="00142712">
        <w:rPr>
          <w:rFonts w:ascii="Times New Roman" w:hAnsi="Times New Roman" w:cs="Times New Roman"/>
          <w:sz w:val="24"/>
          <w:szCs w:val="24"/>
        </w:rPr>
        <w:t xml:space="preserve"> The Office of Aging and Disability Services in coordination with the State Chamber also coordinates the Maine Business Leadership Network (Me-BLN)</w:t>
      </w:r>
      <w:r w:rsidR="004C3851" w:rsidRPr="00155A80">
        <w:rPr>
          <w:rFonts w:ascii="Times New Roman" w:hAnsi="Times New Roman" w:cs="Times New Roman"/>
          <w:sz w:val="24"/>
          <w:szCs w:val="24"/>
        </w:rPr>
        <w:t xml:space="preserve"> </w:t>
      </w:r>
      <w:r w:rsidR="00142712">
        <w:rPr>
          <w:rFonts w:ascii="Times New Roman" w:hAnsi="Times New Roman" w:cs="Times New Roman"/>
          <w:sz w:val="24"/>
          <w:szCs w:val="24"/>
        </w:rPr>
        <w:t xml:space="preserve">which is a business to business entity to </w:t>
      </w:r>
      <w:r w:rsidR="00BF0E7C">
        <w:rPr>
          <w:rFonts w:ascii="Times New Roman" w:hAnsi="Times New Roman" w:cs="Times New Roman"/>
          <w:sz w:val="24"/>
          <w:szCs w:val="24"/>
        </w:rPr>
        <w:t xml:space="preserve">promote the benefits of hiring a diverse work force including older Mainers with barriers to employment. </w:t>
      </w:r>
      <w:r w:rsidR="004C3851" w:rsidRPr="00155A80">
        <w:rPr>
          <w:rFonts w:ascii="Times New Roman" w:hAnsi="Times New Roman" w:cs="Times New Roman"/>
          <w:sz w:val="24"/>
          <w:szCs w:val="24"/>
        </w:rPr>
        <w:t xml:space="preserve">SCSEP participant Job Developers will </w:t>
      </w:r>
      <w:r w:rsidR="00BF0E7C">
        <w:rPr>
          <w:rFonts w:ascii="Times New Roman" w:hAnsi="Times New Roman" w:cs="Times New Roman"/>
          <w:sz w:val="24"/>
          <w:szCs w:val="24"/>
        </w:rPr>
        <w:t xml:space="preserve">be onsite at their local </w:t>
      </w:r>
      <w:r w:rsidR="004C3851" w:rsidRPr="00155A80">
        <w:rPr>
          <w:rFonts w:ascii="Times New Roman" w:hAnsi="Times New Roman" w:cs="Times New Roman"/>
          <w:sz w:val="24"/>
          <w:szCs w:val="24"/>
        </w:rPr>
        <w:t>Career Centers at least once a week</w:t>
      </w:r>
      <w:r w:rsidR="00BF0E7C">
        <w:rPr>
          <w:rFonts w:ascii="Times New Roman" w:hAnsi="Times New Roman" w:cs="Times New Roman"/>
          <w:sz w:val="24"/>
          <w:szCs w:val="24"/>
        </w:rPr>
        <w:t xml:space="preserve"> in order to provide access to the program and recruit eligible seniors.</w:t>
      </w:r>
      <w:r w:rsidR="004A5DC8">
        <w:rPr>
          <w:rFonts w:ascii="Times New Roman" w:hAnsi="Times New Roman" w:cs="Times New Roman"/>
          <w:sz w:val="24"/>
          <w:szCs w:val="24"/>
        </w:rPr>
        <w:t xml:space="preserve"> All of these entities will assist the State of Maine in the implementation of the Senior Community Services Employment Program.</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4C3851" w:rsidRDefault="004C385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The State Grantee SCSEP Program Administrator is housed in the Maine DHHS Office of Aging and Disability Services.  ME DHHS-OADS is the State Unit on Aging and </w:t>
      </w:r>
      <w:r w:rsidR="0026494B" w:rsidRPr="00155A80">
        <w:rPr>
          <w:rFonts w:ascii="Times New Roman" w:hAnsi="Times New Roman" w:cs="Times New Roman"/>
          <w:sz w:val="24"/>
          <w:szCs w:val="24"/>
        </w:rPr>
        <w:t>manage</w:t>
      </w:r>
      <w:r w:rsidRPr="00155A80">
        <w:rPr>
          <w:rFonts w:ascii="Times New Roman" w:hAnsi="Times New Roman" w:cs="Times New Roman"/>
          <w:sz w:val="24"/>
          <w:szCs w:val="24"/>
        </w:rPr>
        <w:t xml:space="preserve"> the other Older Americans Act funds and programs.  The SCSEP Administrator is part of the Aging Services Unit which meets bi-weekly</w:t>
      </w:r>
      <w:r w:rsidR="00B91816">
        <w:rPr>
          <w:rFonts w:ascii="Times New Roman" w:hAnsi="Times New Roman" w:cs="Times New Roman"/>
          <w:sz w:val="24"/>
          <w:szCs w:val="24"/>
        </w:rPr>
        <w:t xml:space="preserve"> to coordinate all OAA programs and is connected to the Employment Services Program which is charged with increasing the employment of people served by OADS.</w:t>
      </w:r>
      <w:r w:rsidR="009037A6" w:rsidRPr="00155A80">
        <w:rPr>
          <w:rFonts w:ascii="Times New Roman" w:hAnsi="Times New Roman" w:cs="Times New Roman"/>
          <w:sz w:val="24"/>
          <w:szCs w:val="24"/>
        </w:rPr>
        <w:t xml:space="preserve">  Additionally, DHHS-OADS has </w:t>
      </w:r>
      <w:r w:rsidR="009037A6" w:rsidRPr="00155A80">
        <w:rPr>
          <w:rFonts w:ascii="Times New Roman" w:hAnsi="Times New Roman" w:cs="Times New Roman"/>
          <w:sz w:val="24"/>
          <w:szCs w:val="24"/>
        </w:rPr>
        <w:lastRenderedPageBreak/>
        <w:t>a memorandum of understanding with Vocational Rehabilitation</w:t>
      </w:r>
      <w:r w:rsidR="00BF0E7C">
        <w:rPr>
          <w:rFonts w:ascii="Times New Roman" w:hAnsi="Times New Roman" w:cs="Times New Roman"/>
          <w:sz w:val="24"/>
          <w:szCs w:val="24"/>
        </w:rPr>
        <w:t xml:space="preserve"> Services</w:t>
      </w:r>
      <w:r w:rsidR="009037A6" w:rsidRPr="00155A80">
        <w:rPr>
          <w:rFonts w:ascii="Times New Roman" w:hAnsi="Times New Roman" w:cs="Times New Roman"/>
          <w:sz w:val="24"/>
          <w:szCs w:val="24"/>
        </w:rPr>
        <w:t xml:space="preserve"> to coordinate access to services and supports for individuals with disabilities. </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4C3851" w:rsidRPr="00155A80" w:rsidRDefault="004C385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Maine SCSEP coordinates with the State Workforce Investment Board as </w:t>
      </w:r>
      <w:r w:rsidR="000F3FCD" w:rsidRPr="00155A80">
        <w:rPr>
          <w:rFonts w:ascii="Times New Roman" w:hAnsi="Times New Roman" w:cs="Times New Roman"/>
          <w:sz w:val="24"/>
          <w:szCs w:val="24"/>
        </w:rPr>
        <w:t xml:space="preserve">active </w:t>
      </w:r>
      <w:r w:rsidRPr="00155A80">
        <w:rPr>
          <w:rFonts w:ascii="Times New Roman" w:hAnsi="Times New Roman" w:cs="Times New Roman"/>
          <w:sz w:val="24"/>
          <w:szCs w:val="24"/>
        </w:rPr>
        <w:t>part</w:t>
      </w:r>
      <w:r w:rsidR="000F3FCD" w:rsidRPr="00155A80">
        <w:rPr>
          <w:rFonts w:ascii="Times New Roman" w:hAnsi="Times New Roman" w:cs="Times New Roman"/>
          <w:sz w:val="24"/>
          <w:szCs w:val="24"/>
        </w:rPr>
        <w:t>ners</w:t>
      </w:r>
      <w:r w:rsidRPr="00155A80">
        <w:rPr>
          <w:rFonts w:ascii="Times New Roman" w:hAnsi="Times New Roman" w:cs="Times New Roman"/>
          <w:sz w:val="24"/>
          <w:szCs w:val="24"/>
        </w:rPr>
        <w:t xml:space="preserve"> of the Older Worker’s Committee.  Maine SCSEP </w:t>
      </w:r>
      <w:r w:rsidR="000F3FCD" w:rsidRPr="00155A80">
        <w:rPr>
          <w:rFonts w:ascii="Times New Roman" w:hAnsi="Times New Roman" w:cs="Times New Roman"/>
          <w:sz w:val="24"/>
          <w:szCs w:val="24"/>
        </w:rPr>
        <w:t>assists program participants to access local Adult Education classes and other training opportunities.</w:t>
      </w:r>
      <w:r w:rsidRPr="00155A80">
        <w:rPr>
          <w:rFonts w:ascii="Times New Roman" w:hAnsi="Times New Roman" w:cs="Times New Roman"/>
          <w:sz w:val="24"/>
          <w:szCs w:val="24"/>
        </w:rPr>
        <w:t xml:space="preserve">  </w:t>
      </w:r>
    </w:p>
    <w:p w:rsidR="004C3851" w:rsidRPr="00155A80" w:rsidRDefault="004C385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Maine SCSEP (both the National Grantee and State Grantee) is an active partner with the One-Stop delivery system.  The State Grant sub-grantee’s main office in Portland is the designated One-Stop for Cumberland County.  </w:t>
      </w:r>
      <w:r w:rsidR="000F3FCD" w:rsidRPr="00155A80">
        <w:rPr>
          <w:rFonts w:ascii="Times New Roman" w:hAnsi="Times New Roman" w:cs="Times New Roman"/>
          <w:sz w:val="24"/>
          <w:szCs w:val="24"/>
        </w:rPr>
        <w:t>Other Career Centers in Maine house One-Stops and access for program participants to classes occurs regularly.</w:t>
      </w:r>
      <w:r w:rsidR="009037A6" w:rsidRPr="00155A80">
        <w:rPr>
          <w:rFonts w:ascii="Times New Roman" w:hAnsi="Times New Roman" w:cs="Times New Roman"/>
          <w:sz w:val="24"/>
          <w:szCs w:val="24"/>
        </w:rPr>
        <w:t xml:space="preserve">  </w:t>
      </w:r>
      <w:r w:rsidR="000F3FCD" w:rsidRPr="00155A80">
        <w:rPr>
          <w:rFonts w:ascii="Times New Roman" w:hAnsi="Times New Roman" w:cs="Times New Roman"/>
          <w:sz w:val="24"/>
          <w:szCs w:val="24"/>
        </w:rPr>
        <w:t xml:space="preserve"> </w:t>
      </w:r>
    </w:p>
    <w:p w:rsidR="004C3851" w:rsidRDefault="004C3851" w:rsidP="00155A80">
      <w:pPr>
        <w:pStyle w:val="ListParagraph"/>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Maine has very few zip codes that are not designated as rural.  The State Grantee and National Grantee use the equitable distribution across all counties and have a regular working relationship with local economic development offices, town governments, county governments and state offices.</w:t>
      </w:r>
    </w:p>
    <w:p w:rsidR="00155A80" w:rsidRPr="00155A80" w:rsidRDefault="00155A80" w:rsidP="00155A80">
      <w:pPr>
        <w:pStyle w:val="ListParagraph"/>
        <w:spacing w:line="480" w:lineRule="auto"/>
        <w:outlineLvl w:val="0"/>
        <w:rPr>
          <w:rFonts w:ascii="Times New Roman" w:hAnsi="Times New Roman" w:cs="Times New Roman"/>
          <w:sz w:val="24"/>
          <w:szCs w:val="24"/>
        </w:rPr>
      </w:pPr>
    </w:p>
    <w:p w:rsidR="009037A6" w:rsidRDefault="004C3851" w:rsidP="004C3851">
      <w:pPr>
        <w:spacing w:line="480" w:lineRule="auto"/>
        <w:ind w:left="720"/>
        <w:outlineLvl w:val="0"/>
        <w:rPr>
          <w:rFonts w:ascii="Times New Roman" w:hAnsi="Times New Roman" w:cs="Times New Roman"/>
          <w:sz w:val="24"/>
          <w:szCs w:val="24"/>
        </w:rPr>
      </w:pPr>
      <w:r w:rsidRPr="00155A80">
        <w:rPr>
          <w:rFonts w:ascii="Times New Roman" w:hAnsi="Times New Roman" w:cs="Times New Roman"/>
          <w:sz w:val="24"/>
          <w:szCs w:val="24"/>
        </w:rPr>
        <w:t xml:space="preserve">Both the National Grantee and the State Grantee sub-grantee have a collaborative relationship with Catholic Charities Maine Refugee and Immigration Services, Maine’s only refugee resettlement program, which is dedicated to helping those seeking a new life in America become independent, productive members of the community. There has been significant work with the Somali refugee population but, they also recruit participants through relationships with other organizations serving individuals with disabilities, homeless, veterans, and other minorities. Maine SCSEP continues to </w:t>
      </w:r>
      <w:r w:rsidR="009037A6" w:rsidRPr="00155A80">
        <w:rPr>
          <w:rFonts w:ascii="Times New Roman" w:hAnsi="Times New Roman" w:cs="Times New Roman"/>
          <w:sz w:val="24"/>
          <w:szCs w:val="24"/>
        </w:rPr>
        <w:t xml:space="preserve">have a </w:t>
      </w:r>
      <w:r w:rsidRPr="00155A80">
        <w:rPr>
          <w:rFonts w:ascii="Times New Roman" w:hAnsi="Times New Roman" w:cs="Times New Roman"/>
          <w:sz w:val="24"/>
          <w:szCs w:val="24"/>
        </w:rPr>
        <w:t>minority participant ratio higher than the total State minority ratio.</w:t>
      </w:r>
    </w:p>
    <w:p w:rsidR="00970A74" w:rsidRDefault="00970A74" w:rsidP="004C3851">
      <w:pPr>
        <w:spacing w:line="480" w:lineRule="auto"/>
        <w:ind w:left="720"/>
        <w:outlineLvl w:val="0"/>
        <w:rPr>
          <w:rFonts w:ascii="Times New Roman" w:hAnsi="Times New Roman" w:cs="Times New Roman"/>
          <w:sz w:val="24"/>
          <w:szCs w:val="24"/>
        </w:rPr>
      </w:pPr>
    </w:p>
    <w:p w:rsidR="00970A74" w:rsidRDefault="00970A74" w:rsidP="004C3851">
      <w:pPr>
        <w:spacing w:line="480" w:lineRule="auto"/>
        <w:ind w:left="720"/>
        <w:outlineLvl w:val="0"/>
        <w:rPr>
          <w:rFonts w:ascii="Times New Roman" w:hAnsi="Times New Roman" w:cs="Times New Roman"/>
          <w:sz w:val="24"/>
          <w:szCs w:val="24"/>
        </w:rPr>
      </w:pPr>
    </w:p>
    <w:p w:rsidR="00970A74" w:rsidRPr="00970A74" w:rsidRDefault="00970A74" w:rsidP="004C3851">
      <w:pPr>
        <w:spacing w:line="480" w:lineRule="auto"/>
        <w:ind w:left="720"/>
        <w:outlineLvl w:val="0"/>
        <w:rPr>
          <w:rFonts w:ascii="Times New Roman" w:hAnsi="Times New Roman" w:cs="Times New Roman"/>
          <w:b/>
          <w:sz w:val="24"/>
          <w:szCs w:val="24"/>
        </w:rPr>
      </w:pPr>
      <w:r w:rsidRPr="00970A74">
        <w:rPr>
          <w:rFonts w:ascii="Times New Roman" w:hAnsi="Times New Roman" w:cs="Times New Roman"/>
          <w:b/>
          <w:sz w:val="24"/>
          <w:szCs w:val="24"/>
        </w:rPr>
        <w:t>III. Location &amp; Population Served, including Equitable Distribution:</w:t>
      </w:r>
    </w:p>
    <w:p w:rsidR="009037A6" w:rsidRPr="00155A80" w:rsidRDefault="004C3851" w:rsidP="004C3851">
      <w:pPr>
        <w:spacing w:line="480" w:lineRule="auto"/>
        <w:ind w:left="720"/>
        <w:outlineLvl w:val="0"/>
        <w:rPr>
          <w:rFonts w:ascii="Times New Roman" w:hAnsi="Times New Roman" w:cs="Times New Roman"/>
          <w:sz w:val="24"/>
          <w:szCs w:val="24"/>
        </w:rPr>
      </w:pPr>
      <w:r w:rsidRPr="00155A80">
        <w:rPr>
          <w:rFonts w:ascii="Times New Roman" w:hAnsi="Times New Roman" w:cs="Times New Roman"/>
          <w:sz w:val="24"/>
          <w:szCs w:val="24"/>
        </w:rPr>
        <w:t xml:space="preserve">  </w:t>
      </w:r>
      <w:r w:rsidR="009037A6" w:rsidRPr="00155A80">
        <w:rPr>
          <w:rFonts w:ascii="Times New Roman" w:hAnsi="Times New Roman" w:cs="Times New Roman"/>
          <w:noProof/>
          <w:sz w:val="24"/>
          <w:szCs w:val="24"/>
        </w:rPr>
        <w:drawing>
          <wp:inline distT="0" distB="0" distL="0" distR="0" wp14:anchorId="00808E54" wp14:editId="5EE0E6F5">
            <wp:extent cx="5018568" cy="2987749"/>
            <wp:effectExtent l="38100" t="0" r="10795" b="222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7A6" w:rsidRPr="00155A80" w:rsidRDefault="009037A6" w:rsidP="004C3851">
      <w:pPr>
        <w:spacing w:line="480" w:lineRule="auto"/>
        <w:ind w:left="720"/>
        <w:outlineLvl w:val="0"/>
        <w:rPr>
          <w:rFonts w:ascii="Times New Roman" w:hAnsi="Times New Roman" w:cs="Times New Roman"/>
          <w:sz w:val="24"/>
          <w:szCs w:val="24"/>
        </w:rPr>
      </w:pPr>
    </w:p>
    <w:p w:rsidR="004C3851" w:rsidRDefault="004C3851" w:rsidP="004C3851">
      <w:pPr>
        <w:spacing w:line="480" w:lineRule="auto"/>
        <w:ind w:left="720"/>
        <w:outlineLvl w:val="0"/>
        <w:rPr>
          <w:rFonts w:ascii="Times New Roman" w:hAnsi="Times New Roman" w:cs="Times New Roman"/>
          <w:sz w:val="24"/>
          <w:szCs w:val="24"/>
        </w:rPr>
      </w:pPr>
      <w:r w:rsidRPr="00155A80">
        <w:rPr>
          <w:rFonts w:ascii="Times New Roman" w:hAnsi="Times New Roman" w:cs="Times New Roman"/>
          <w:sz w:val="24"/>
          <w:szCs w:val="24"/>
        </w:rPr>
        <w:t xml:space="preserve">Maine is a small rural state that was hit hard by the </w:t>
      </w:r>
      <w:r w:rsidR="009037A6" w:rsidRPr="00155A80">
        <w:rPr>
          <w:rFonts w:ascii="Times New Roman" w:hAnsi="Times New Roman" w:cs="Times New Roman"/>
          <w:sz w:val="24"/>
          <w:szCs w:val="24"/>
        </w:rPr>
        <w:t xml:space="preserve">recent </w:t>
      </w:r>
      <w:r w:rsidRPr="00155A80">
        <w:rPr>
          <w:rFonts w:ascii="Times New Roman" w:hAnsi="Times New Roman" w:cs="Times New Roman"/>
          <w:sz w:val="24"/>
          <w:szCs w:val="24"/>
        </w:rPr>
        <w:t xml:space="preserve">recession and previously by the overall </w:t>
      </w:r>
      <w:r w:rsidR="009037A6" w:rsidRPr="00155A80">
        <w:rPr>
          <w:rFonts w:ascii="Times New Roman" w:hAnsi="Times New Roman" w:cs="Times New Roman"/>
          <w:sz w:val="24"/>
          <w:szCs w:val="24"/>
        </w:rPr>
        <w:t>decline of</w:t>
      </w:r>
      <w:r w:rsidRPr="00155A80">
        <w:rPr>
          <w:rFonts w:ascii="Times New Roman" w:hAnsi="Times New Roman" w:cs="Times New Roman"/>
          <w:sz w:val="24"/>
          <w:szCs w:val="24"/>
        </w:rPr>
        <w:t xml:space="preserve"> </w:t>
      </w:r>
      <w:r w:rsidR="009037A6" w:rsidRPr="00155A80">
        <w:rPr>
          <w:rFonts w:ascii="Times New Roman" w:hAnsi="Times New Roman" w:cs="Times New Roman"/>
          <w:sz w:val="24"/>
          <w:szCs w:val="24"/>
        </w:rPr>
        <w:t xml:space="preserve">the </w:t>
      </w:r>
      <w:r w:rsidRPr="00155A80">
        <w:rPr>
          <w:rFonts w:ascii="Times New Roman" w:hAnsi="Times New Roman" w:cs="Times New Roman"/>
          <w:sz w:val="24"/>
          <w:szCs w:val="24"/>
        </w:rPr>
        <w:t xml:space="preserve">manufacturing </w:t>
      </w:r>
      <w:r w:rsidR="009037A6" w:rsidRPr="00155A80">
        <w:rPr>
          <w:rFonts w:ascii="Times New Roman" w:hAnsi="Times New Roman" w:cs="Times New Roman"/>
          <w:sz w:val="24"/>
          <w:szCs w:val="24"/>
        </w:rPr>
        <w:t>industries</w:t>
      </w:r>
      <w:r w:rsidRPr="00155A80">
        <w:rPr>
          <w:rFonts w:ascii="Times New Roman" w:hAnsi="Times New Roman" w:cs="Times New Roman"/>
          <w:sz w:val="24"/>
          <w:szCs w:val="24"/>
        </w:rPr>
        <w:t>.  The central and northern counties were hit especially hard and continue to struggle with the loss of large amounts of paper mill jobs.  Employment training</w:t>
      </w:r>
      <w:r w:rsidR="009037A6" w:rsidRPr="00155A80">
        <w:rPr>
          <w:rFonts w:ascii="Times New Roman" w:hAnsi="Times New Roman" w:cs="Times New Roman"/>
          <w:sz w:val="24"/>
          <w:szCs w:val="24"/>
        </w:rPr>
        <w:t xml:space="preserve"> and re-training has been</w:t>
      </w:r>
      <w:r w:rsidRPr="00155A80">
        <w:rPr>
          <w:rFonts w:ascii="Times New Roman" w:hAnsi="Times New Roman" w:cs="Times New Roman"/>
          <w:sz w:val="24"/>
          <w:szCs w:val="24"/>
        </w:rPr>
        <w:t xml:space="preserve"> essential in these areas</w:t>
      </w:r>
      <w:r w:rsidR="009037A6" w:rsidRPr="00155A80">
        <w:rPr>
          <w:rFonts w:ascii="Times New Roman" w:hAnsi="Times New Roman" w:cs="Times New Roman"/>
          <w:sz w:val="24"/>
          <w:szCs w:val="24"/>
        </w:rPr>
        <w:t xml:space="preserve"> to stabilize these areas of the state</w:t>
      </w:r>
      <w:r w:rsidRPr="00155A80">
        <w:rPr>
          <w:rFonts w:ascii="Times New Roman" w:hAnsi="Times New Roman" w:cs="Times New Roman"/>
          <w:sz w:val="24"/>
          <w:szCs w:val="24"/>
        </w:rPr>
        <w:t xml:space="preserve">.  </w:t>
      </w:r>
      <w:r w:rsidR="009037A6" w:rsidRPr="00155A80">
        <w:rPr>
          <w:rFonts w:ascii="Times New Roman" w:hAnsi="Times New Roman" w:cs="Times New Roman"/>
          <w:sz w:val="24"/>
          <w:szCs w:val="24"/>
        </w:rPr>
        <w:t>L</w:t>
      </w:r>
      <w:r w:rsidRPr="00155A80">
        <w:rPr>
          <w:rFonts w:ascii="Times New Roman" w:hAnsi="Times New Roman" w:cs="Times New Roman"/>
          <w:sz w:val="24"/>
          <w:szCs w:val="24"/>
        </w:rPr>
        <w:t>ocal non-profit social service agencies</w:t>
      </w:r>
      <w:r w:rsidR="009037A6" w:rsidRPr="00155A80">
        <w:rPr>
          <w:rFonts w:ascii="Times New Roman" w:hAnsi="Times New Roman" w:cs="Times New Roman"/>
          <w:sz w:val="24"/>
          <w:szCs w:val="24"/>
        </w:rPr>
        <w:t>, such as Community Action Agencies, Commodity Supplemental Food Program (CSFP), Area Agencies on Aging and faith-based agencies,</w:t>
      </w:r>
      <w:r w:rsidRPr="00155A80">
        <w:rPr>
          <w:rFonts w:ascii="Times New Roman" w:hAnsi="Times New Roman" w:cs="Times New Roman"/>
          <w:sz w:val="24"/>
          <w:szCs w:val="24"/>
        </w:rPr>
        <w:t xml:space="preserve"> </w:t>
      </w:r>
      <w:r w:rsidR="009037A6" w:rsidRPr="00155A80">
        <w:rPr>
          <w:rFonts w:ascii="Times New Roman" w:hAnsi="Times New Roman" w:cs="Times New Roman"/>
          <w:sz w:val="24"/>
          <w:szCs w:val="24"/>
        </w:rPr>
        <w:t xml:space="preserve">are </w:t>
      </w:r>
      <w:r w:rsidRPr="00155A80">
        <w:rPr>
          <w:rFonts w:ascii="Times New Roman" w:hAnsi="Times New Roman" w:cs="Times New Roman"/>
          <w:sz w:val="24"/>
          <w:szCs w:val="24"/>
        </w:rPr>
        <w:t>working across the state to provide all the ne</w:t>
      </w:r>
      <w:r w:rsidR="009037A6" w:rsidRPr="00155A80">
        <w:rPr>
          <w:rFonts w:ascii="Times New Roman" w:hAnsi="Times New Roman" w:cs="Times New Roman"/>
          <w:sz w:val="24"/>
          <w:szCs w:val="24"/>
        </w:rPr>
        <w:t>eded</w:t>
      </w:r>
      <w:r w:rsidRPr="00155A80">
        <w:rPr>
          <w:rFonts w:ascii="Times New Roman" w:hAnsi="Times New Roman" w:cs="Times New Roman"/>
          <w:sz w:val="24"/>
          <w:szCs w:val="24"/>
        </w:rPr>
        <w:t xml:space="preserve"> services</w:t>
      </w:r>
      <w:r w:rsidR="009037A6" w:rsidRPr="00155A80">
        <w:rPr>
          <w:rFonts w:ascii="Times New Roman" w:hAnsi="Times New Roman" w:cs="Times New Roman"/>
          <w:sz w:val="24"/>
          <w:szCs w:val="24"/>
        </w:rPr>
        <w:t xml:space="preserve"> the necessary safety net.</w:t>
      </w:r>
      <w:r w:rsidRPr="00155A80">
        <w:rPr>
          <w:rFonts w:ascii="Times New Roman" w:hAnsi="Times New Roman" w:cs="Times New Roman"/>
          <w:sz w:val="24"/>
          <w:szCs w:val="24"/>
        </w:rPr>
        <w:t xml:space="preserve"> All of these agencies help to provide the services </w:t>
      </w:r>
      <w:r w:rsidRPr="00155A80">
        <w:rPr>
          <w:rFonts w:ascii="Times New Roman" w:hAnsi="Times New Roman" w:cs="Times New Roman"/>
          <w:sz w:val="24"/>
          <w:szCs w:val="24"/>
        </w:rPr>
        <w:lastRenderedPageBreak/>
        <w:t>needed for low inco</w:t>
      </w:r>
      <w:r w:rsidR="009037A6" w:rsidRPr="00155A80">
        <w:rPr>
          <w:rFonts w:ascii="Times New Roman" w:hAnsi="Times New Roman" w:cs="Times New Roman"/>
          <w:sz w:val="24"/>
          <w:szCs w:val="24"/>
        </w:rPr>
        <w:t xml:space="preserve">me Mainers, but are especially critical for </w:t>
      </w:r>
      <w:r w:rsidRPr="00155A80">
        <w:rPr>
          <w:rFonts w:ascii="Times New Roman" w:hAnsi="Times New Roman" w:cs="Times New Roman"/>
          <w:sz w:val="24"/>
          <w:szCs w:val="24"/>
        </w:rPr>
        <w:t xml:space="preserve">older Mainers </w:t>
      </w:r>
      <w:r w:rsidR="009037A6" w:rsidRPr="00155A80">
        <w:rPr>
          <w:rFonts w:ascii="Times New Roman" w:hAnsi="Times New Roman" w:cs="Times New Roman"/>
          <w:sz w:val="24"/>
          <w:szCs w:val="24"/>
        </w:rPr>
        <w:t xml:space="preserve">who have multiple barriers to employment and limited resources. </w:t>
      </w:r>
    </w:p>
    <w:p w:rsidR="007C4692" w:rsidRDefault="007C4692" w:rsidP="004C3851">
      <w:pPr>
        <w:spacing w:line="480" w:lineRule="auto"/>
        <w:ind w:left="720"/>
        <w:outlineLvl w:val="0"/>
        <w:rPr>
          <w:rFonts w:ascii="Times New Roman" w:hAnsi="Times New Roman" w:cs="Times New Roman"/>
          <w:sz w:val="24"/>
          <w:szCs w:val="24"/>
        </w:rPr>
      </w:pPr>
    </w:p>
    <w:p w:rsidR="004C3851" w:rsidRPr="00155A80" w:rsidRDefault="004C3851" w:rsidP="004C3851">
      <w:pPr>
        <w:spacing w:line="480" w:lineRule="auto"/>
        <w:ind w:left="720"/>
        <w:outlineLvl w:val="0"/>
        <w:rPr>
          <w:rFonts w:ascii="Times New Roman" w:hAnsi="Times New Roman" w:cs="Times New Roman"/>
          <w:sz w:val="24"/>
          <w:szCs w:val="24"/>
          <w:u w:val="single"/>
        </w:rPr>
      </w:pPr>
      <w:r w:rsidRPr="00155A80">
        <w:rPr>
          <w:rFonts w:ascii="Times New Roman" w:hAnsi="Times New Roman" w:cs="Times New Roman"/>
          <w:sz w:val="24"/>
          <w:szCs w:val="24"/>
          <w:u w:val="single"/>
        </w:rPr>
        <w:t>High-Priority Services Needed</w:t>
      </w:r>
      <w:r w:rsidR="009037A6" w:rsidRPr="00155A80">
        <w:rPr>
          <w:rFonts w:ascii="Times New Roman" w:hAnsi="Times New Roman" w:cs="Times New Roman"/>
          <w:sz w:val="24"/>
          <w:szCs w:val="24"/>
          <w:u w:val="single"/>
        </w:rPr>
        <w:t xml:space="preserve"> in Maine</w:t>
      </w:r>
      <w:r w:rsidRPr="00155A80">
        <w:rPr>
          <w:rFonts w:ascii="Times New Roman" w:hAnsi="Times New Roman" w:cs="Times New Roman"/>
          <w:sz w:val="24"/>
          <w:szCs w:val="24"/>
          <w:u w:val="single"/>
        </w:rPr>
        <w:t>:</w:t>
      </w:r>
    </w:p>
    <w:p w:rsidR="004C3851" w:rsidRDefault="004C3851"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Fuel Assistance</w:t>
      </w:r>
      <w:r w:rsidR="007C4692">
        <w:rPr>
          <w:rFonts w:ascii="Times New Roman" w:hAnsi="Times New Roman" w:cs="Times New Roman"/>
          <w:sz w:val="24"/>
          <w:szCs w:val="24"/>
        </w:rPr>
        <w:t xml:space="preserve"> (LiHEAP)</w:t>
      </w:r>
    </w:p>
    <w:p w:rsidR="007C4692" w:rsidRPr="00155A80" w:rsidRDefault="007C4692" w:rsidP="004C3851">
      <w:pPr>
        <w:pStyle w:val="ListParagraph"/>
        <w:numPr>
          <w:ilvl w:val="0"/>
          <w:numId w:val="7"/>
        </w:numPr>
        <w:spacing w:line="480" w:lineRule="auto"/>
        <w:outlineLvl w:val="0"/>
        <w:rPr>
          <w:rFonts w:ascii="Times New Roman" w:hAnsi="Times New Roman" w:cs="Times New Roman"/>
          <w:sz w:val="24"/>
          <w:szCs w:val="24"/>
        </w:rPr>
      </w:pPr>
      <w:r>
        <w:rPr>
          <w:rFonts w:ascii="Times New Roman" w:hAnsi="Times New Roman" w:cs="Times New Roman"/>
          <w:sz w:val="24"/>
          <w:szCs w:val="24"/>
        </w:rPr>
        <w:t>Transportation</w:t>
      </w:r>
    </w:p>
    <w:p w:rsidR="004C3851" w:rsidRPr="00155A80" w:rsidRDefault="004C3851"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Food (Meals on Wheels, SNAP, CSFP)</w:t>
      </w:r>
    </w:p>
    <w:p w:rsidR="004C3851" w:rsidRPr="00155A80" w:rsidRDefault="004C3851"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Health Care</w:t>
      </w:r>
    </w:p>
    <w:p w:rsidR="004C3851" w:rsidRPr="00155A80" w:rsidRDefault="004C3851"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Respite Care </w:t>
      </w:r>
    </w:p>
    <w:p w:rsidR="004C3851" w:rsidRPr="00155A80" w:rsidRDefault="009037A6"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 xml:space="preserve">Long Term Care </w:t>
      </w:r>
    </w:p>
    <w:p w:rsidR="007C4692" w:rsidRDefault="004C3851" w:rsidP="004C3851">
      <w:pPr>
        <w:pStyle w:val="ListParagraph"/>
        <w:numPr>
          <w:ilvl w:val="0"/>
          <w:numId w:val="7"/>
        </w:numPr>
        <w:spacing w:line="480" w:lineRule="auto"/>
        <w:outlineLvl w:val="0"/>
        <w:rPr>
          <w:rFonts w:ascii="Times New Roman" w:hAnsi="Times New Roman" w:cs="Times New Roman"/>
          <w:sz w:val="24"/>
          <w:szCs w:val="24"/>
        </w:rPr>
      </w:pPr>
      <w:r w:rsidRPr="00155A80">
        <w:rPr>
          <w:rFonts w:ascii="Times New Roman" w:hAnsi="Times New Roman" w:cs="Times New Roman"/>
          <w:sz w:val="24"/>
          <w:szCs w:val="24"/>
        </w:rPr>
        <w:t>Job Re-training/Adult Education</w:t>
      </w:r>
    </w:p>
    <w:p w:rsidR="004C3851" w:rsidRPr="00155A80" w:rsidRDefault="007C4692" w:rsidP="004C3851">
      <w:pPr>
        <w:pStyle w:val="ListParagraph"/>
        <w:numPr>
          <w:ilvl w:val="0"/>
          <w:numId w:val="7"/>
        </w:numPr>
        <w:spacing w:line="480" w:lineRule="auto"/>
        <w:outlineLvl w:val="0"/>
        <w:rPr>
          <w:rFonts w:ascii="Times New Roman" w:hAnsi="Times New Roman" w:cs="Times New Roman"/>
          <w:sz w:val="24"/>
          <w:szCs w:val="24"/>
        </w:rPr>
      </w:pPr>
      <w:r>
        <w:rPr>
          <w:rFonts w:ascii="Times New Roman" w:hAnsi="Times New Roman" w:cs="Times New Roman"/>
          <w:sz w:val="24"/>
          <w:szCs w:val="24"/>
        </w:rPr>
        <w:t>English as Second Language</w:t>
      </w:r>
      <w:r w:rsidR="004C3851" w:rsidRPr="00155A80">
        <w:rPr>
          <w:rFonts w:ascii="Times New Roman" w:hAnsi="Times New Roman" w:cs="Times New Roman"/>
          <w:sz w:val="24"/>
          <w:szCs w:val="24"/>
        </w:rPr>
        <w:t xml:space="preserve"> </w:t>
      </w:r>
    </w:p>
    <w:p w:rsidR="00ED51A7" w:rsidRPr="00155A80" w:rsidRDefault="00ED51A7" w:rsidP="00ED51A7">
      <w:pPr>
        <w:pStyle w:val="para"/>
        <w:spacing w:line="480" w:lineRule="auto"/>
        <w:ind w:left="720"/>
      </w:pPr>
      <w:r w:rsidRPr="00155A80">
        <w:t xml:space="preserve">Under the direction of the State Grantee Program Administrator, the National Grantee and the State’s sub-grantee meet at least quarterly to discuss SCSEP and how best to implement the State Plan.  The continued improvement of SCSEP in Maine is dependent on continued lines of communication between all parties involved.  </w:t>
      </w:r>
      <w:r w:rsidR="000F3FCD" w:rsidRPr="00155A80">
        <w:t xml:space="preserve">A strong and active Older Workers Committee of the State Workforce Investment Board is essential to the employing older Mainers and more specifically to the long-term health of SCSEP in Maine.  </w:t>
      </w:r>
      <w:r w:rsidRPr="00155A80">
        <w:t>The stronger the relationships between partner agencies</w:t>
      </w:r>
      <w:r w:rsidR="00FE564B">
        <w:t>,</w:t>
      </w:r>
      <w:r w:rsidRPr="00155A80">
        <w:t xml:space="preserve"> the stronger SCSEP will be across the state.</w:t>
      </w:r>
    </w:p>
    <w:p w:rsidR="000F3FCD" w:rsidRPr="00155A80" w:rsidRDefault="009037A6" w:rsidP="009037A6">
      <w:pPr>
        <w:pStyle w:val="para"/>
        <w:spacing w:line="480" w:lineRule="auto"/>
        <w:ind w:left="720"/>
      </w:pPr>
      <w:r w:rsidRPr="00155A80">
        <w:lastRenderedPageBreak/>
        <w:t>The downward trend in the ratio of participants exiting to unsubsidized employment has started to turn around.  This change has coincided with the economic recovery following the recent recession.  The low entered employment numbers were due to many participants exiting the program for reaching the durational limit of 48 months without finding work.  This was at the height of the recession when the unemployment rate reached as high as 10% in 2009 but has been cut to 5% in December 2015.</w:t>
      </w:r>
      <w:r w:rsidRPr="00155A80">
        <w:rPr>
          <w:vertAlign w:val="superscript"/>
        </w:rPr>
        <w:footnoteReference w:id="7"/>
      </w:r>
    </w:p>
    <w:p w:rsidR="009037A6" w:rsidRPr="00155A80" w:rsidRDefault="009037A6" w:rsidP="009037A6">
      <w:pPr>
        <w:pStyle w:val="para"/>
        <w:spacing w:line="480" w:lineRule="auto"/>
        <w:ind w:left="720"/>
      </w:pPr>
      <w:r w:rsidRPr="00155A80">
        <w:t xml:space="preserve">In order for Maine SCSEP to continually improve upon the performance outcomes and goals of the program there will be regular (at least quarterly) coordination meetings between the National Grantee, State Grantee and State Sub-Grantee.  The Plan and the goals of both the National and State Grantees will be standing agenda items. </w:t>
      </w:r>
    </w:p>
    <w:p w:rsidR="009037A6" w:rsidRPr="00155A80" w:rsidRDefault="009037A6" w:rsidP="009037A6">
      <w:pPr>
        <w:pStyle w:val="para"/>
        <w:spacing w:line="480" w:lineRule="auto"/>
        <w:ind w:left="720"/>
      </w:pPr>
      <w:r w:rsidRPr="00155A80">
        <w:t>Goodwill Industries of Northern New England, the State Grantee sub-grantee, currently serves four counties:  Sagadahoc, Lincoln, Cumberland and York.</w:t>
      </w:r>
    </w:p>
    <w:p w:rsidR="009037A6" w:rsidRDefault="009037A6" w:rsidP="009037A6">
      <w:pPr>
        <w:pStyle w:val="para"/>
        <w:spacing w:line="480" w:lineRule="auto"/>
        <w:ind w:left="720"/>
      </w:pPr>
      <w:r w:rsidRPr="00155A80">
        <w:t>National Able Network, the National Grantee serves 13 counties: Androscoggin, Aroostook, Franklin, Hancock, Kennebec, Knox, Oxford, Pen</w:t>
      </w:r>
      <w:r w:rsidR="004F4AD7">
        <w:t>o</w:t>
      </w:r>
      <w:r w:rsidRPr="00155A80">
        <w:t>bscot, Piscataquis, Somerset, Waldo, Washington and York.</w:t>
      </w:r>
    </w:p>
    <w:p w:rsidR="007C4692" w:rsidRDefault="007C4692">
      <w:pPr>
        <w:rPr>
          <w:rFonts w:ascii="Times New Roman" w:eastAsia="Times New Roman" w:hAnsi="Times New Roman" w:cs="Times New Roman"/>
          <w:sz w:val="24"/>
          <w:szCs w:val="24"/>
        </w:rPr>
      </w:pPr>
      <w:r>
        <w:br w:type="page"/>
      </w:r>
    </w:p>
    <w:p w:rsidR="00155A80" w:rsidRPr="007C4692" w:rsidRDefault="007C4692" w:rsidP="009037A6">
      <w:pPr>
        <w:pStyle w:val="para"/>
        <w:spacing w:line="480" w:lineRule="auto"/>
        <w:ind w:left="720"/>
        <w:rPr>
          <w:b/>
          <w:sz w:val="28"/>
          <w:szCs w:val="28"/>
          <w:u w:val="single"/>
        </w:rPr>
      </w:pPr>
      <w:r w:rsidRPr="007C4692">
        <w:rPr>
          <w:b/>
          <w:sz w:val="28"/>
          <w:szCs w:val="28"/>
          <w:u w:val="single"/>
        </w:rPr>
        <w:lastRenderedPageBreak/>
        <w:t>Equitable Distribution:  Current</w:t>
      </w:r>
    </w:p>
    <w:tbl>
      <w:tblPr>
        <w:tblW w:w="1652" w:type="dxa"/>
        <w:jc w:val="center"/>
        <w:tblInd w:w="93" w:type="dxa"/>
        <w:tblLook w:val="04A0" w:firstRow="1" w:lastRow="0" w:firstColumn="1" w:lastColumn="0" w:noHBand="0" w:noVBand="1"/>
      </w:tblPr>
      <w:tblGrid>
        <w:gridCol w:w="1643"/>
        <w:gridCol w:w="1150"/>
        <w:gridCol w:w="1056"/>
        <w:gridCol w:w="1097"/>
        <w:gridCol w:w="1056"/>
        <w:gridCol w:w="1097"/>
        <w:gridCol w:w="1150"/>
      </w:tblGrid>
      <w:tr w:rsidR="009037A6" w:rsidRPr="00155A80" w:rsidTr="009037A6">
        <w:trPr>
          <w:trHeight w:val="915"/>
          <w:jc w:val="center"/>
        </w:trPr>
        <w:tc>
          <w:tcPr>
            <w:tcW w:w="23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County</w:t>
            </w:r>
          </w:p>
        </w:tc>
        <w:tc>
          <w:tcPr>
            <w:tcW w:w="236" w:type="dxa"/>
            <w:tcBorders>
              <w:top w:val="single" w:sz="8" w:space="0" w:color="auto"/>
              <w:left w:val="nil"/>
              <w:bottom w:val="single" w:sz="8" w:space="0" w:color="auto"/>
              <w:right w:val="single" w:sz="4" w:space="0" w:color="auto"/>
            </w:tcBorders>
            <w:shd w:val="clear" w:color="auto" w:fill="auto"/>
            <w:noWrap/>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All Grantees</w:t>
            </w:r>
          </w:p>
        </w:tc>
        <w:tc>
          <w:tcPr>
            <w:tcW w:w="236" w:type="dxa"/>
            <w:tcBorders>
              <w:top w:val="single" w:sz="8" w:space="0" w:color="auto"/>
              <w:left w:val="nil"/>
              <w:bottom w:val="single" w:sz="8" w:space="0" w:color="auto"/>
              <w:right w:val="single" w:sz="4" w:space="0" w:color="auto"/>
            </w:tcBorders>
            <w:shd w:val="clear" w:color="auto" w:fill="auto"/>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 xml:space="preserve">State </w:t>
            </w:r>
            <w:r w:rsidRPr="00155A80">
              <w:rPr>
                <w:rFonts w:ascii="Times New Roman" w:eastAsia="Times New Roman" w:hAnsi="Times New Roman" w:cs="Times New Roman"/>
                <w:b/>
                <w:bCs/>
                <w:color w:val="000000"/>
                <w:sz w:val="24"/>
                <w:szCs w:val="24"/>
              </w:rPr>
              <w:br/>
              <w:t xml:space="preserve">Grantee </w:t>
            </w:r>
            <w:r w:rsidRPr="00155A80">
              <w:rPr>
                <w:rFonts w:ascii="Times New Roman" w:eastAsia="Times New Roman" w:hAnsi="Times New Roman" w:cs="Times New Roman"/>
                <w:b/>
                <w:bCs/>
                <w:color w:val="000000"/>
                <w:sz w:val="24"/>
                <w:szCs w:val="24"/>
              </w:rPr>
              <w:br/>
              <w:t>Plan</w:t>
            </w:r>
          </w:p>
        </w:tc>
        <w:tc>
          <w:tcPr>
            <w:tcW w:w="236" w:type="dxa"/>
            <w:tcBorders>
              <w:top w:val="single" w:sz="8" w:space="0" w:color="auto"/>
              <w:left w:val="nil"/>
              <w:bottom w:val="single" w:sz="8" w:space="0" w:color="auto"/>
              <w:right w:val="single" w:sz="4" w:space="0" w:color="auto"/>
            </w:tcBorders>
            <w:shd w:val="clear" w:color="auto" w:fill="auto"/>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 xml:space="preserve">National </w:t>
            </w:r>
            <w:r w:rsidRPr="00155A80">
              <w:rPr>
                <w:rFonts w:ascii="Times New Roman" w:eastAsia="Times New Roman" w:hAnsi="Times New Roman" w:cs="Times New Roman"/>
                <w:b/>
                <w:bCs/>
                <w:color w:val="000000"/>
                <w:sz w:val="24"/>
                <w:szCs w:val="24"/>
              </w:rPr>
              <w:br/>
              <w:t xml:space="preserve">Grantee </w:t>
            </w:r>
            <w:r w:rsidRPr="00155A80">
              <w:rPr>
                <w:rFonts w:ascii="Times New Roman" w:eastAsia="Times New Roman" w:hAnsi="Times New Roman" w:cs="Times New Roman"/>
                <w:b/>
                <w:bCs/>
                <w:color w:val="000000"/>
                <w:sz w:val="24"/>
                <w:szCs w:val="24"/>
              </w:rPr>
              <w:br/>
              <w:t>Plan</w:t>
            </w:r>
          </w:p>
        </w:tc>
        <w:tc>
          <w:tcPr>
            <w:tcW w:w="236" w:type="dxa"/>
            <w:tcBorders>
              <w:top w:val="single" w:sz="8" w:space="0" w:color="auto"/>
              <w:left w:val="nil"/>
              <w:bottom w:val="single" w:sz="8" w:space="0" w:color="auto"/>
              <w:right w:val="single" w:sz="4" w:space="0" w:color="auto"/>
            </w:tcBorders>
            <w:shd w:val="clear" w:color="auto" w:fill="auto"/>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 xml:space="preserve">State </w:t>
            </w:r>
            <w:r w:rsidRPr="00155A80">
              <w:rPr>
                <w:rFonts w:ascii="Times New Roman" w:eastAsia="Times New Roman" w:hAnsi="Times New Roman" w:cs="Times New Roman"/>
                <w:b/>
                <w:bCs/>
                <w:color w:val="000000"/>
                <w:sz w:val="24"/>
                <w:szCs w:val="24"/>
              </w:rPr>
              <w:br/>
              <w:t xml:space="preserve">Grantee </w:t>
            </w:r>
            <w:r w:rsidRPr="00155A80">
              <w:rPr>
                <w:rFonts w:ascii="Times New Roman" w:eastAsia="Times New Roman" w:hAnsi="Times New Roman" w:cs="Times New Roman"/>
                <w:b/>
                <w:bCs/>
                <w:color w:val="000000"/>
                <w:sz w:val="24"/>
                <w:szCs w:val="24"/>
              </w:rPr>
              <w:br/>
              <w:t>Actual</w:t>
            </w:r>
          </w:p>
        </w:tc>
        <w:tc>
          <w:tcPr>
            <w:tcW w:w="236" w:type="dxa"/>
            <w:tcBorders>
              <w:top w:val="single" w:sz="8" w:space="0" w:color="auto"/>
              <w:left w:val="nil"/>
              <w:bottom w:val="single" w:sz="8" w:space="0" w:color="auto"/>
              <w:right w:val="single" w:sz="4" w:space="0" w:color="auto"/>
            </w:tcBorders>
            <w:shd w:val="clear" w:color="auto" w:fill="auto"/>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 xml:space="preserve">National </w:t>
            </w:r>
            <w:r w:rsidRPr="00155A80">
              <w:rPr>
                <w:rFonts w:ascii="Times New Roman" w:eastAsia="Times New Roman" w:hAnsi="Times New Roman" w:cs="Times New Roman"/>
                <w:b/>
                <w:bCs/>
                <w:color w:val="000000"/>
                <w:sz w:val="24"/>
                <w:szCs w:val="24"/>
              </w:rPr>
              <w:br/>
              <w:t xml:space="preserve">Grantee </w:t>
            </w:r>
            <w:r w:rsidRPr="00155A80">
              <w:rPr>
                <w:rFonts w:ascii="Times New Roman" w:eastAsia="Times New Roman" w:hAnsi="Times New Roman" w:cs="Times New Roman"/>
                <w:b/>
                <w:bCs/>
                <w:color w:val="000000"/>
                <w:sz w:val="24"/>
                <w:szCs w:val="24"/>
              </w:rPr>
              <w:br/>
              <w:t>Actual</w:t>
            </w:r>
          </w:p>
        </w:tc>
        <w:tc>
          <w:tcPr>
            <w:tcW w:w="236" w:type="dxa"/>
            <w:tcBorders>
              <w:top w:val="single" w:sz="8" w:space="0" w:color="auto"/>
              <w:left w:val="nil"/>
              <w:bottom w:val="single" w:sz="8" w:space="0" w:color="auto"/>
              <w:right w:val="single" w:sz="8" w:space="0" w:color="auto"/>
            </w:tcBorders>
            <w:shd w:val="clear" w:color="auto" w:fill="auto"/>
            <w:noWrap/>
            <w:vAlign w:val="center"/>
            <w:hideMark/>
          </w:tcPr>
          <w:p w:rsidR="009037A6" w:rsidRPr="00155A80" w:rsidRDefault="009037A6" w:rsidP="009037A6">
            <w:pPr>
              <w:spacing w:after="0" w:line="240" w:lineRule="auto"/>
              <w:jc w:val="center"/>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Variance</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York</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33</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4</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29</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4</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26</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Waldo</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9</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9</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8</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Sagadahoc</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4</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Oxford</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15</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15</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-9</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Washington</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14</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Somerset</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17</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17</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12</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-5</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Piscataquis</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7</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7</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4</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Penobscot</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32</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Lincoln</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8</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8</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-5</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Knox</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5</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Kennebec</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24</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24</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22</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Hancock</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12</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Franklin</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6</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-4</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Cumberland</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37</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37</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27</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-10</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Aroostook</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23</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23</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31</w:t>
            </w:r>
          </w:p>
        </w:tc>
        <w:tc>
          <w:tcPr>
            <w:tcW w:w="236" w:type="dxa"/>
            <w:tcBorders>
              <w:top w:val="nil"/>
              <w:left w:val="nil"/>
              <w:bottom w:val="single" w:sz="4"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8</w:t>
            </w:r>
          </w:p>
        </w:tc>
      </w:tr>
      <w:tr w:rsidR="009037A6" w:rsidRPr="00155A80" w:rsidTr="009037A6">
        <w:trPr>
          <w:trHeight w:val="360"/>
          <w:jc w:val="center"/>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Androscoggin</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21</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 </w:t>
            </w:r>
          </w:p>
        </w:tc>
        <w:tc>
          <w:tcPr>
            <w:tcW w:w="236" w:type="dxa"/>
            <w:tcBorders>
              <w:top w:val="nil"/>
              <w:left w:val="nil"/>
              <w:bottom w:val="single" w:sz="4" w:space="0" w:color="auto"/>
              <w:right w:val="single" w:sz="4"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32</w:t>
            </w:r>
          </w:p>
        </w:tc>
        <w:tc>
          <w:tcPr>
            <w:tcW w:w="236" w:type="dxa"/>
            <w:tcBorders>
              <w:top w:val="nil"/>
              <w:left w:val="nil"/>
              <w:bottom w:val="single" w:sz="4" w:space="0" w:color="auto"/>
              <w:right w:val="single" w:sz="8" w:space="0" w:color="auto"/>
            </w:tcBorders>
            <w:shd w:val="clear" w:color="auto" w:fill="auto"/>
            <w:noWrap/>
            <w:vAlign w:val="bottom"/>
            <w:hideMark/>
          </w:tcPr>
          <w:p w:rsidR="009037A6" w:rsidRPr="00155A80" w:rsidRDefault="009037A6" w:rsidP="009037A6">
            <w:pPr>
              <w:spacing w:after="0" w:line="240" w:lineRule="auto"/>
              <w:jc w:val="right"/>
              <w:rPr>
                <w:rFonts w:ascii="Times New Roman" w:eastAsia="Times New Roman" w:hAnsi="Times New Roman" w:cs="Times New Roman"/>
                <w:color w:val="000000"/>
                <w:sz w:val="24"/>
                <w:szCs w:val="24"/>
              </w:rPr>
            </w:pPr>
            <w:r w:rsidRPr="00155A80">
              <w:rPr>
                <w:rFonts w:ascii="Times New Roman" w:eastAsia="Times New Roman" w:hAnsi="Times New Roman" w:cs="Times New Roman"/>
                <w:color w:val="000000"/>
                <w:sz w:val="24"/>
                <w:szCs w:val="24"/>
              </w:rPr>
              <w:t>11</w:t>
            </w:r>
          </w:p>
        </w:tc>
      </w:tr>
      <w:tr w:rsidR="009037A6" w:rsidRPr="00155A80" w:rsidTr="009037A6">
        <w:trPr>
          <w:trHeight w:val="360"/>
          <w:jc w:val="center"/>
        </w:trPr>
        <w:tc>
          <w:tcPr>
            <w:tcW w:w="236" w:type="dxa"/>
            <w:tcBorders>
              <w:top w:val="nil"/>
              <w:left w:val="single" w:sz="8" w:space="0" w:color="auto"/>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Total</w:t>
            </w:r>
          </w:p>
        </w:tc>
        <w:tc>
          <w:tcPr>
            <w:tcW w:w="236" w:type="dxa"/>
            <w:tcBorders>
              <w:top w:val="nil"/>
              <w:left w:val="nil"/>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270</w:t>
            </w:r>
          </w:p>
        </w:tc>
        <w:tc>
          <w:tcPr>
            <w:tcW w:w="236" w:type="dxa"/>
            <w:tcBorders>
              <w:top w:val="nil"/>
              <w:left w:val="nil"/>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55</w:t>
            </w:r>
          </w:p>
        </w:tc>
        <w:tc>
          <w:tcPr>
            <w:tcW w:w="236" w:type="dxa"/>
            <w:tcBorders>
              <w:top w:val="nil"/>
              <w:left w:val="nil"/>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215</w:t>
            </w:r>
          </w:p>
        </w:tc>
        <w:tc>
          <w:tcPr>
            <w:tcW w:w="236" w:type="dxa"/>
            <w:tcBorders>
              <w:top w:val="nil"/>
              <w:left w:val="nil"/>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38</w:t>
            </w:r>
          </w:p>
        </w:tc>
        <w:tc>
          <w:tcPr>
            <w:tcW w:w="236" w:type="dxa"/>
            <w:tcBorders>
              <w:top w:val="nil"/>
              <w:left w:val="nil"/>
              <w:bottom w:val="single" w:sz="8" w:space="0" w:color="auto"/>
              <w:right w:val="single" w:sz="4"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206</w:t>
            </w:r>
          </w:p>
        </w:tc>
        <w:tc>
          <w:tcPr>
            <w:tcW w:w="236" w:type="dxa"/>
            <w:tcBorders>
              <w:top w:val="nil"/>
              <w:left w:val="nil"/>
              <w:bottom w:val="single" w:sz="8" w:space="0" w:color="auto"/>
              <w:right w:val="single" w:sz="8" w:space="0" w:color="auto"/>
            </w:tcBorders>
            <w:shd w:val="clear" w:color="000000" w:fill="C5D9F1"/>
            <w:noWrap/>
            <w:vAlign w:val="bottom"/>
            <w:hideMark/>
          </w:tcPr>
          <w:p w:rsidR="009037A6" w:rsidRPr="00155A80" w:rsidRDefault="009037A6" w:rsidP="009037A6">
            <w:pPr>
              <w:spacing w:after="0" w:line="240" w:lineRule="auto"/>
              <w:jc w:val="right"/>
              <w:rPr>
                <w:rFonts w:ascii="Times New Roman" w:eastAsia="Times New Roman" w:hAnsi="Times New Roman" w:cs="Times New Roman"/>
                <w:b/>
                <w:bCs/>
                <w:color w:val="000000"/>
                <w:sz w:val="24"/>
                <w:szCs w:val="24"/>
              </w:rPr>
            </w:pPr>
            <w:r w:rsidRPr="00155A80">
              <w:rPr>
                <w:rFonts w:ascii="Times New Roman" w:eastAsia="Times New Roman" w:hAnsi="Times New Roman" w:cs="Times New Roman"/>
                <w:b/>
                <w:bCs/>
                <w:color w:val="000000"/>
                <w:sz w:val="24"/>
                <w:szCs w:val="24"/>
              </w:rPr>
              <w:t>-26</w:t>
            </w:r>
          </w:p>
        </w:tc>
      </w:tr>
    </w:tbl>
    <w:p w:rsidR="009037A6" w:rsidRPr="00155A80" w:rsidRDefault="009037A6" w:rsidP="009037A6">
      <w:pPr>
        <w:pStyle w:val="para"/>
        <w:spacing w:line="480" w:lineRule="auto"/>
        <w:ind w:left="720"/>
      </w:pPr>
      <w:r w:rsidRPr="00155A80">
        <w:t xml:space="preserve">As of the most recent data both the State and National Grantees are under their planned participant enrollment.  There needs to be a concerted effort across the state to recruit participants into the program. </w:t>
      </w:r>
    </w:p>
    <w:p w:rsidR="009037A6" w:rsidRDefault="009037A6" w:rsidP="009037A6">
      <w:pPr>
        <w:pStyle w:val="para"/>
        <w:spacing w:line="480" w:lineRule="auto"/>
        <w:ind w:left="720"/>
      </w:pPr>
      <w:r w:rsidRPr="00155A80">
        <w:t>Due to population the Equitable Distribution is expected to be adjusted slightly at the beginning of the new program year (July 1, 2016).  The total number of participant slots will not change, nor will the amount for each Grantee.</w:t>
      </w:r>
    </w:p>
    <w:p w:rsidR="007C4692" w:rsidRDefault="007C4692" w:rsidP="009037A6">
      <w:pPr>
        <w:pStyle w:val="para"/>
        <w:spacing w:line="480" w:lineRule="auto"/>
        <w:ind w:left="720"/>
      </w:pPr>
    </w:p>
    <w:p w:rsidR="007C4692" w:rsidRPr="007C4692" w:rsidRDefault="007C4692" w:rsidP="009037A6">
      <w:pPr>
        <w:pStyle w:val="para"/>
        <w:spacing w:line="480" w:lineRule="auto"/>
        <w:ind w:left="720"/>
        <w:rPr>
          <w:b/>
          <w:sz w:val="28"/>
          <w:szCs w:val="28"/>
          <w:u w:val="single"/>
        </w:rPr>
      </w:pPr>
      <w:r w:rsidRPr="007C4692">
        <w:rPr>
          <w:b/>
          <w:sz w:val="28"/>
          <w:szCs w:val="28"/>
          <w:u w:val="single"/>
        </w:rPr>
        <w:lastRenderedPageBreak/>
        <w:t>Equitable Distribution: Proposed</w:t>
      </w:r>
    </w:p>
    <w:tbl>
      <w:tblPr>
        <w:tblW w:w="9040" w:type="dxa"/>
        <w:tblInd w:w="93" w:type="dxa"/>
        <w:tblLook w:val="04A0" w:firstRow="1" w:lastRow="0" w:firstColumn="1" w:lastColumn="0" w:noHBand="0" w:noVBand="1"/>
      </w:tblPr>
      <w:tblGrid>
        <w:gridCol w:w="1300"/>
        <w:gridCol w:w="1100"/>
        <w:gridCol w:w="1120"/>
        <w:gridCol w:w="1180"/>
        <w:gridCol w:w="1120"/>
        <w:gridCol w:w="1060"/>
        <w:gridCol w:w="1060"/>
        <w:gridCol w:w="1100"/>
      </w:tblGrid>
      <w:tr w:rsidR="009037A6" w:rsidRPr="00155A80" w:rsidTr="009037A6">
        <w:trPr>
          <w:trHeight w:val="1590"/>
        </w:trPr>
        <w:tc>
          <w:tcPr>
            <w:tcW w:w="13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County</w:t>
            </w:r>
          </w:p>
        </w:tc>
        <w:tc>
          <w:tcPr>
            <w:tcW w:w="110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 16 Total ED Based on Census</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 15 State Grantee Allocation</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 16 State Allocations</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PY15-PY16 Change</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 15 National Grantee Allocation</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 16 National Grantee Slots Available</w:t>
            </w:r>
          </w:p>
        </w:tc>
        <w:tc>
          <w:tcPr>
            <w:tcW w:w="1100" w:type="dxa"/>
            <w:tcBorders>
              <w:top w:val="single" w:sz="8" w:space="0" w:color="auto"/>
              <w:left w:val="nil"/>
              <w:bottom w:val="single" w:sz="8" w:space="0" w:color="auto"/>
              <w:right w:val="single" w:sz="8" w:space="0" w:color="auto"/>
            </w:tcBorders>
            <w:shd w:val="clear" w:color="auto" w:fill="auto"/>
            <w:vAlign w:val="center"/>
            <w:hideMark/>
          </w:tcPr>
          <w:p w:rsidR="009037A6" w:rsidRPr="007C4692" w:rsidRDefault="009037A6" w:rsidP="009037A6">
            <w:pPr>
              <w:spacing w:after="0" w:line="240" w:lineRule="auto"/>
              <w:jc w:val="center"/>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PY15-PY16 Change</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Androscoggin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21</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21</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21</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Aroostook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22</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23</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22</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Cumberland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45</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37</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45</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8</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Franklin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Hancock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13</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11</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13</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Kennebec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24</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24</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24</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Knox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8</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11</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8</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Lincoln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7</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8</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7</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Oxford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15</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15</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15</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Penobscot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30</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Piscataquis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7</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Sagadahoc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5</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-6</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5</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5</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Somerset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14</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17</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14</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Waldo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9</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10</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Washington </w:t>
            </w:r>
          </w:p>
        </w:tc>
        <w:tc>
          <w:tcPr>
            <w:tcW w:w="110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 </w:t>
            </w:r>
          </w:p>
        </w:tc>
        <w:tc>
          <w:tcPr>
            <w:tcW w:w="118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12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0</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11</w:t>
            </w:r>
          </w:p>
        </w:tc>
        <w:tc>
          <w:tcPr>
            <w:tcW w:w="1060" w:type="dxa"/>
            <w:tcBorders>
              <w:top w:val="nil"/>
              <w:left w:val="nil"/>
              <w:bottom w:val="single" w:sz="4"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10</w:t>
            </w:r>
          </w:p>
        </w:tc>
        <w:tc>
          <w:tcPr>
            <w:tcW w:w="1100" w:type="dxa"/>
            <w:tcBorders>
              <w:top w:val="nil"/>
              <w:left w:val="nil"/>
              <w:bottom w:val="single" w:sz="4"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r>
      <w:tr w:rsidR="009037A6" w:rsidRPr="00155A80" w:rsidTr="009037A6">
        <w:trPr>
          <w:trHeight w:val="3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 xml:space="preserve">York </w:t>
            </w:r>
          </w:p>
        </w:tc>
        <w:tc>
          <w:tcPr>
            <w:tcW w:w="110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34</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4</w:t>
            </w:r>
          </w:p>
        </w:tc>
        <w:tc>
          <w:tcPr>
            <w:tcW w:w="118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w:t>
            </w:r>
          </w:p>
        </w:tc>
        <w:tc>
          <w:tcPr>
            <w:tcW w:w="112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31</w:t>
            </w:r>
          </w:p>
        </w:tc>
        <w:tc>
          <w:tcPr>
            <w:tcW w:w="1100" w:type="dxa"/>
            <w:tcBorders>
              <w:top w:val="nil"/>
              <w:left w:val="nil"/>
              <w:bottom w:val="single" w:sz="4" w:space="0" w:color="auto"/>
              <w:right w:val="single" w:sz="8" w:space="0" w:color="auto"/>
            </w:tcBorders>
            <w:shd w:val="clear" w:color="auto" w:fill="auto"/>
            <w:noWrap/>
            <w:vAlign w:val="bottom"/>
            <w:hideMark/>
          </w:tcPr>
          <w:p w:rsidR="009037A6" w:rsidRPr="007C4692" w:rsidRDefault="009037A6" w:rsidP="009037A6">
            <w:pPr>
              <w:spacing w:after="0" w:line="240" w:lineRule="auto"/>
              <w:jc w:val="right"/>
              <w:rPr>
                <w:rFonts w:ascii="Times New Roman" w:eastAsia="Times New Roman" w:hAnsi="Times New Roman" w:cs="Times New Roman"/>
                <w:sz w:val="18"/>
                <w:szCs w:val="18"/>
              </w:rPr>
            </w:pPr>
            <w:r w:rsidRPr="007C4692">
              <w:rPr>
                <w:rFonts w:ascii="Times New Roman" w:eastAsia="Times New Roman" w:hAnsi="Times New Roman" w:cs="Times New Roman"/>
                <w:sz w:val="18"/>
                <w:szCs w:val="18"/>
              </w:rPr>
              <w:t>2</w:t>
            </w:r>
          </w:p>
        </w:tc>
      </w:tr>
      <w:tr w:rsidR="009037A6" w:rsidRPr="00155A80" w:rsidTr="009037A6">
        <w:trPr>
          <w:trHeight w:val="315"/>
        </w:trPr>
        <w:tc>
          <w:tcPr>
            <w:tcW w:w="1300" w:type="dxa"/>
            <w:tcBorders>
              <w:top w:val="nil"/>
              <w:left w:val="single" w:sz="8" w:space="0" w:color="auto"/>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Total</w:t>
            </w:r>
          </w:p>
        </w:tc>
        <w:tc>
          <w:tcPr>
            <w:tcW w:w="110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270</w:t>
            </w:r>
          </w:p>
        </w:tc>
        <w:tc>
          <w:tcPr>
            <w:tcW w:w="112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55</w:t>
            </w:r>
          </w:p>
        </w:tc>
        <w:tc>
          <w:tcPr>
            <w:tcW w:w="118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55</w:t>
            </w:r>
          </w:p>
        </w:tc>
        <w:tc>
          <w:tcPr>
            <w:tcW w:w="112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0</w:t>
            </w:r>
          </w:p>
        </w:tc>
        <w:tc>
          <w:tcPr>
            <w:tcW w:w="106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215</w:t>
            </w:r>
          </w:p>
        </w:tc>
        <w:tc>
          <w:tcPr>
            <w:tcW w:w="1060" w:type="dxa"/>
            <w:tcBorders>
              <w:top w:val="nil"/>
              <w:left w:val="nil"/>
              <w:bottom w:val="single" w:sz="8" w:space="0" w:color="auto"/>
              <w:right w:val="single" w:sz="4"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215</w:t>
            </w:r>
          </w:p>
        </w:tc>
        <w:tc>
          <w:tcPr>
            <w:tcW w:w="1100" w:type="dxa"/>
            <w:tcBorders>
              <w:top w:val="nil"/>
              <w:left w:val="nil"/>
              <w:bottom w:val="single" w:sz="8" w:space="0" w:color="auto"/>
              <w:right w:val="single" w:sz="8" w:space="0" w:color="auto"/>
            </w:tcBorders>
            <w:shd w:val="clear" w:color="000000" w:fill="E2EFDA"/>
            <w:noWrap/>
            <w:vAlign w:val="bottom"/>
            <w:hideMark/>
          </w:tcPr>
          <w:p w:rsidR="009037A6" w:rsidRPr="007C4692" w:rsidRDefault="009037A6" w:rsidP="009037A6">
            <w:pPr>
              <w:spacing w:after="0" w:line="240" w:lineRule="auto"/>
              <w:jc w:val="right"/>
              <w:rPr>
                <w:rFonts w:ascii="Times New Roman" w:eastAsia="Times New Roman" w:hAnsi="Times New Roman" w:cs="Times New Roman"/>
                <w:b/>
                <w:bCs/>
                <w:sz w:val="18"/>
                <w:szCs w:val="18"/>
              </w:rPr>
            </w:pPr>
            <w:r w:rsidRPr="007C4692">
              <w:rPr>
                <w:rFonts w:ascii="Times New Roman" w:eastAsia="Times New Roman" w:hAnsi="Times New Roman" w:cs="Times New Roman"/>
                <w:b/>
                <w:bCs/>
                <w:sz w:val="18"/>
                <w:szCs w:val="18"/>
              </w:rPr>
              <w:t>0</w:t>
            </w:r>
          </w:p>
        </w:tc>
      </w:tr>
    </w:tbl>
    <w:p w:rsidR="009037A6" w:rsidRPr="00155A80" w:rsidRDefault="009037A6" w:rsidP="009037A6">
      <w:pPr>
        <w:pStyle w:val="para"/>
      </w:pPr>
    </w:p>
    <w:p w:rsidR="009037A6" w:rsidRPr="00155A80" w:rsidRDefault="009037A6" w:rsidP="009037A6">
      <w:pPr>
        <w:pStyle w:val="para"/>
        <w:spacing w:line="480" w:lineRule="auto"/>
        <w:ind w:left="720"/>
      </w:pPr>
      <w:r w:rsidRPr="00155A80">
        <w:t xml:space="preserve">There will be a few minor changes in order to meet the new Equitable Distribution.  For the last two years we have tried to keep a lone provider in any single county.  This is to avoid duplication of services, reduce confusion and ultimately to be able to serve more participants by consolidating resources.  Each Grantee will manage their own Equitable Distribution, but they will give a report at the quarterly coordination meetings. </w:t>
      </w:r>
    </w:p>
    <w:p w:rsidR="008275DC" w:rsidRPr="00155A80" w:rsidRDefault="008275DC" w:rsidP="00155A80">
      <w:pPr>
        <w:pStyle w:val="para"/>
        <w:spacing w:line="480" w:lineRule="auto"/>
        <w:ind w:left="720"/>
      </w:pPr>
      <w:r w:rsidRPr="00155A80">
        <w:lastRenderedPageBreak/>
        <w:t>Once per program year, at the end of the third quarter, the SCSEP coordination team will discuss any slot imbalances (consistent over enrollments, under-enrollments or waiting lists) and if necessary request slot transfers between counties from the USDOL.</w:t>
      </w:r>
    </w:p>
    <w:p w:rsidR="008275DC" w:rsidRPr="00155A80" w:rsidRDefault="008275DC" w:rsidP="00155A80">
      <w:pPr>
        <w:pStyle w:val="para"/>
        <w:spacing w:line="480" w:lineRule="auto"/>
        <w:ind w:left="720"/>
      </w:pPr>
      <w:r w:rsidRPr="00155A80">
        <w:t>Maine is almost entirely rural, but Maine SCSEP serves the entire state using the Equitable Distribution given by the USDOL.</w:t>
      </w:r>
      <w:r w:rsidRPr="00FE564B">
        <w:rPr>
          <w:vertAlign w:val="superscript"/>
        </w:rPr>
        <w:footnoteReference w:id="8"/>
      </w:r>
      <w:r w:rsidRPr="00155A80">
        <w:t xml:space="preserve">  The Equitable Distribution is based directly on census data and therefore serves Mainers by ratio of population.</w:t>
      </w:r>
    </w:p>
    <w:p w:rsidR="00155A80" w:rsidRDefault="00155A80" w:rsidP="00155A80">
      <w:pPr>
        <w:pStyle w:val="para"/>
        <w:spacing w:line="480" w:lineRule="auto"/>
        <w:ind w:left="720"/>
      </w:pPr>
    </w:p>
    <w:p w:rsidR="008275DC" w:rsidRPr="00155A80" w:rsidRDefault="008275DC" w:rsidP="00155A80">
      <w:pPr>
        <w:pStyle w:val="para"/>
        <w:spacing w:line="480" w:lineRule="auto"/>
        <w:ind w:left="720"/>
      </w:pPr>
      <w:r w:rsidRPr="00155A80">
        <w:t>The Senior Community Service Employment Program affords priority for service to eligible individuals who meet one or more of the following criteria</w:t>
      </w:r>
      <w:r w:rsidR="007C4692">
        <w:t xml:space="preserve"> as prescribed by US DOL</w:t>
      </w:r>
      <w:r w:rsidRPr="00155A80">
        <w:t xml:space="preserve">: </w:t>
      </w:r>
    </w:p>
    <w:p w:rsidR="008275DC" w:rsidRPr="00155A80" w:rsidRDefault="008275DC" w:rsidP="008275DC">
      <w:pPr>
        <w:pStyle w:val="para"/>
        <w:spacing w:line="480" w:lineRule="auto"/>
        <w:ind w:left="1560"/>
      </w:pPr>
      <w:r w:rsidRPr="00155A80">
        <w:sym w:font="Symbol" w:char="F0B7"/>
      </w:r>
      <w:r w:rsidRPr="00155A80">
        <w:t xml:space="preserve"> Are aged 65 years or older; </w:t>
      </w:r>
      <w:r w:rsidRPr="00155A80">
        <w:sym w:font="Symbol" w:char="F0B7"/>
      </w:r>
      <w:r w:rsidRPr="00155A80">
        <w:t xml:space="preserve"> Have a disability; </w:t>
      </w:r>
      <w:r w:rsidRPr="00155A80">
        <w:sym w:font="Symbol" w:char="F0B7"/>
      </w:r>
      <w:r w:rsidRPr="00155A80">
        <w:t xml:space="preserve"> Have limited English proficiency or low literacy skills; </w:t>
      </w:r>
      <w:r w:rsidRPr="00155A80">
        <w:sym w:font="Symbol" w:char="F0B7"/>
      </w:r>
      <w:r w:rsidRPr="00155A80">
        <w:t xml:space="preserve"> Reside in a rural area; </w:t>
      </w:r>
      <w:r w:rsidRPr="00155A80">
        <w:sym w:font="Symbol" w:char="F0B7"/>
      </w:r>
      <w:r w:rsidRPr="00155A80">
        <w:t xml:space="preserve"> Are veterans or their spouses who meet the requirements of the Jobs for Veterans Act; </w:t>
      </w:r>
      <w:r w:rsidRPr="00155A80">
        <w:sym w:font="Symbol" w:char="F0B7"/>
      </w:r>
      <w:r w:rsidRPr="00155A80">
        <w:t xml:space="preserve"> Have low employment prospects; </w:t>
      </w:r>
      <w:r w:rsidRPr="00155A80">
        <w:sym w:font="Symbol" w:char="F0B7"/>
      </w:r>
      <w:r w:rsidRPr="00155A80">
        <w:t xml:space="preserve"> Have failed to find employment after using services provided through the One-Stop delivery system; </w:t>
      </w:r>
      <w:r w:rsidRPr="00155A80">
        <w:sym w:font="Symbol" w:char="F0B7"/>
      </w:r>
      <w:r w:rsidRPr="00155A80">
        <w:t xml:space="preserve"> Are homeless or at risk for homelessness. </w:t>
      </w:r>
    </w:p>
    <w:p w:rsidR="008275DC" w:rsidRPr="00155A80" w:rsidRDefault="008275DC" w:rsidP="00155A80">
      <w:pPr>
        <w:pStyle w:val="para"/>
        <w:spacing w:line="480" w:lineRule="auto"/>
        <w:ind w:left="720"/>
      </w:pPr>
      <w:r w:rsidRPr="00155A80">
        <w:t>The Program views the distribution of priority individuals across the State as being in line with the equitable distribution of program-eligible individuals across the all 16 counties.</w:t>
      </w:r>
      <w:r w:rsidR="008E17FC" w:rsidRPr="00155A80">
        <w:t xml:space="preserve">  </w:t>
      </w:r>
      <w:r w:rsidRPr="00155A80">
        <w:t xml:space="preserve">In addition, the service to minorities is more than double the rate of minorities living in Maine.  At the close of last program year the </w:t>
      </w:r>
      <w:r w:rsidR="008E17FC" w:rsidRPr="00155A80">
        <w:t>minority</w:t>
      </w:r>
      <w:r w:rsidRPr="00155A80">
        <w:t xml:space="preserve"> parti</w:t>
      </w:r>
      <w:r w:rsidR="008E17FC" w:rsidRPr="00155A80">
        <w:t>ci</w:t>
      </w:r>
      <w:r w:rsidRPr="00155A80">
        <w:t xml:space="preserve">pant rate was nearly 9.47% </w:t>
      </w:r>
      <w:r w:rsidRPr="00155A80">
        <w:lastRenderedPageBreak/>
        <w:t>while the most recent census data showed the overall minority ratio at 4.69%; a 202% difference.</w:t>
      </w:r>
    </w:p>
    <w:p w:rsidR="007C4692" w:rsidRPr="007C4692" w:rsidRDefault="007C4692" w:rsidP="007C4692">
      <w:pPr>
        <w:pStyle w:val="para"/>
        <w:ind w:left="1080"/>
        <w:jc w:val="center"/>
        <w:rPr>
          <w:b/>
          <w:noProof/>
          <w:sz w:val="22"/>
          <w:szCs w:val="22"/>
        </w:rPr>
      </w:pPr>
      <w:r w:rsidRPr="007C4692">
        <w:rPr>
          <w:b/>
          <w:noProof/>
          <w:sz w:val="22"/>
          <w:szCs w:val="22"/>
        </w:rPr>
        <w:t>Percent of Maine Seniors with Retirement or Social Security Income and</w:t>
      </w:r>
    </w:p>
    <w:p w:rsidR="007C4692" w:rsidRPr="007C4692" w:rsidRDefault="007C4692" w:rsidP="007C4692">
      <w:pPr>
        <w:pStyle w:val="para"/>
        <w:ind w:left="1080"/>
        <w:jc w:val="center"/>
        <w:rPr>
          <w:b/>
          <w:noProof/>
          <w:sz w:val="22"/>
          <w:szCs w:val="22"/>
        </w:rPr>
      </w:pPr>
      <w:r w:rsidRPr="007C4692">
        <w:rPr>
          <w:b/>
          <w:noProof/>
          <w:sz w:val="22"/>
          <w:szCs w:val="22"/>
        </w:rPr>
        <w:t>Mean Annual Retiremen and Social Security Income by Age Category:</w:t>
      </w:r>
    </w:p>
    <w:p w:rsidR="00586B37" w:rsidRDefault="008E17FC" w:rsidP="008E17FC">
      <w:pPr>
        <w:pStyle w:val="para"/>
        <w:ind w:left="1080"/>
        <w:rPr>
          <w:b/>
        </w:rPr>
      </w:pPr>
      <w:r w:rsidRPr="00155A80">
        <w:rPr>
          <w:noProof/>
        </w:rPr>
        <w:drawing>
          <wp:inline distT="0" distB="0" distL="0" distR="0" wp14:anchorId="076B9044" wp14:editId="448A2485">
            <wp:extent cx="4912242" cy="429312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027"/>
                    <a:stretch/>
                  </pic:blipFill>
                  <pic:spPr bwMode="auto">
                    <a:xfrm>
                      <a:off x="0" y="0"/>
                      <a:ext cx="4912041" cy="4292951"/>
                    </a:xfrm>
                    <a:prstGeom prst="rect">
                      <a:avLst/>
                    </a:prstGeom>
                    <a:ln>
                      <a:noFill/>
                    </a:ln>
                    <a:extLst>
                      <a:ext uri="{53640926-AAD7-44D8-BBD7-CCE9431645EC}">
                        <a14:shadowObscured xmlns:a14="http://schemas.microsoft.com/office/drawing/2010/main"/>
                      </a:ext>
                    </a:extLst>
                  </pic:spPr>
                </pic:pic>
              </a:graphicData>
            </a:graphic>
          </wp:inline>
        </w:drawing>
      </w:r>
    </w:p>
    <w:p w:rsidR="00155A80" w:rsidRPr="00155A80" w:rsidRDefault="00155A80" w:rsidP="008E17FC">
      <w:pPr>
        <w:pStyle w:val="para"/>
        <w:ind w:left="1080"/>
        <w:rPr>
          <w:b/>
        </w:rPr>
      </w:pPr>
    </w:p>
    <w:p w:rsidR="008E17FC" w:rsidRDefault="008E17FC" w:rsidP="00155A80">
      <w:pPr>
        <w:pStyle w:val="para"/>
        <w:spacing w:line="480" w:lineRule="auto"/>
        <w:ind w:left="720"/>
      </w:pPr>
      <w:r w:rsidRPr="00155A80">
        <w:t xml:space="preserve">According to the Federal government, nearly all of the State of Maine is designated rural.  The largest section not deemed rural is the city of Portland and its immediate surrounding </w:t>
      </w:r>
      <w:r w:rsidRPr="00155A80">
        <w:lastRenderedPageBreak/>
        <w:t>cities and towns within Cumberland County.  There are also very small pieces of the other cities and towns not considered rural.</w:t>
      </w:r>
      <w:r w:rsidRPr="00155A80">
        <w:rPr>
          <w:vertAlign w:val="superscript"/>
        </w:rPr>
        <w:footnoteReference w:id="9"/>
      </w:r>
    </w:p>
    <w:p w:rsidR="00586B37" w:rsidRPr="00155A80" w:rsidRDefault="00155A80" w:rsidP="00155A80">
      <w:pPr>
        <w:pStyle w:val="para"/>
        <w:spacing w:line="480" w:lineRule="auto"/>
        <w:ind w:left="720"/>
      </w:pPr>
      <w:r>
        <w:t>SCSEP is expected to help seniors with the most economic need.</w:t>
      </w:r>
      <w:r w:rsidR="008E17FC" w:rsidRPr="00155A80">
        <w:rPr>
          <w:rStyle w:val="FootnoteReference"/>
        </w:rPr>
        <w:footnoteReference w:id="10"/>
      </w:r>
    </w:p>
    <w:p w:rsidR="008E17FC" w:rsidRPr="00155A80" w:rsidRDefault="008E17FC" w:rsidP="008E17FC">
      <w:pPr>
        <w:pStyle w:val="para"/>
        <w:rPr>
          <w:b/>
        </w:rPr>
      </w:pPr>
      <w:r w:rsidRPr="00155A80">
        <w:rPr>
          <w:noProof/>
        </w:rPr>
        <w:drawing>
          <wp:inline distT="0" distB="0" distL="0" distR="0" wp14:anchorId="02A7D56A" wp14:editId="7BB307D7">
            <wp:extent cx="6166884" cy="3125972"/>
            <wp:effectExtent l="0" t="0" r="24765"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5A80" w:rsidRDefault="00155A80" w:rsidP="00155A80">
      <w:pPr>
        <w:pStyle w:val="para"/>
        <w:spacing w:line="480" w:lineRule="auto"/>
        <w:ind w:left="720"/>
      </w:pPr>
    </w:p>
    <w:p w:rsidR="008E17FC" w:rsidRPr="00155A80" w:rsidRDefault="008E17FC" w:rsidP="00155A80">
      <w:pPr>
        <w:pStyle w:val="para"/>
        <w:spacing w:line="480" w:lineRule="auto"/>
        <w:ind w:left="720"/>
      </w:pPr>
      <w:r w:rsidRPr="00155A80">
        <w:t>Most of the minority population is centered in the greater Portland area of Cumberland County.  The next largest minority population center is the Lewiston-Auburn area in Androscoggin County.  All of the other counties have minority residents who are eligible for SCSEP, but those numbers are negligible.</w:t>
      </w:r>
    </w:p>
    <w:p w:rsidR="008E17FC" w:rsidRPr="00155A80" w:rsidRDefault="008E17FC" w:rsidP="00155A80">
      <w:pPr>
        <w:pStyle w:val="para"/>
        <w:spacing w:line="480" w:lineRule="auto"/>
        <w:ind w:left="720"/>
      </w:pPr>
      <w:r w:rsidRPr="00155A80">
        <w:t xml:space="preserve">Nearly all of the participants with limited English skills live in Cumberland and Androscoggin Counties.  These two counties have seen the greatest number of refugee </w:t>
      </w:r>
      <w:r w:rsidRPr="00155A80">
        <w:lastRenderedPageBreak/>
        <w:t>families resettled into their cities and towns; Portland, Westbrook, Lewiston and Auburn being the highest.  There are als</w:t>
      </w:r>
      <w:r w:rsidR="00F00942">
        <w:t>o some participants with limited</w:t>
      </w:r>
      <w:r w:rsidRPr="00155A80">
        <w:t xml:space="preserve"> language pro</w:t>
      </w:r>
      <w:r w:rsidR="00F00942">
        <w:t>ficiency.</w:t>
      </w:r>
    </w:p>
    <w:p w:rsidR="00155A80" w:rsidRDefault="00155A80" w:rsidP="00155A80">
      <w:pPr>
        <w:pStyle w:val="para"/>
        <w:spacing w:line="480" w:lineRule="auto"/>
        <w:ind w:left="720"/>
      </w:pPr>
      <w:r w:rsidRPr="00155A80">
        <w:t xml:space="preserve">Maine SCSEP helps those with the greatest social need.  </w:t>
      </w:r>
      <w:r w:rsidR="008E17FC" w:rsidRPr="00155A80">
        <w:t xml:space="preserve">Greatest social need means the need caused by non-economic factors, which include: Physical and mental disabilities; language barriers; and cultural, social, or geographical isolation, including isolation caused by racial or ethnic status, which restricts the ability of an individual to perform normal daily tasks or threatens the capacity of the individual to live independently. (42 U.S.C. 3002(24)).  </w:t>
      </w:r>
    </w:p>
    <w:p w:rsidR="007C4692" w:rsidRDefault="008E17FC" w:rsidP="00155A80">
      <w:pPr>
        <w:pStyle w:val="para"/>
        <w:spacing w:line="480" w:lineRule="auto"/>
        <w:ind w:left="720"/>
      </w:pPr>
      <w:r w:rsidRPr="00155A80">
        <w:t>SCSEP in Maine welcomes and encourages participants with the greatest social need.  Both the National and State Grantees build the Individual Employment Plans (IEPs) to suit the needs of the participant in order to have them succeed in their long-term employment goals.</w:t>
      </w:r>
    </w:p>
    <w:p w:rsidR="007C4692" w:rsidRDefault="007C4692">
      <w:pPr>
        <w:rPr>
          <w:rFonts w:ascii="Times New Roman" w:eastAsia="Times New Roman" w:hAnsi="Times New Roman" w:cs="Times New Roman"/>
          <w:sz w:val="24"/>
          <w:szCs w:val="24"/>
        </w:rPr>
      </w:pPr>
      <w:r>
        <w:br w:type="page"/>
      </w:r>
    </w:p>
    <w:p w:rsidR="008E17FC" w:rsidRPr="007C4692" w:rsidRDefault="007C4692" w:rsidP="00155A80">
      <w:pPr>
        <w:pStyle w:val="para"/>
        <w:spacing w:line="480" w:lineRule="auto"/>
        <w:ind w:left="720"/>
        <w:rPr>
          <w:b/>
          <w:u w:val="single"/>
        </w:rPr>
      </w:pPr>
      <w:r w:rsidRPr="007C4692">
        <w:rPr>
          <w:b/>
          <w:u w:val="single"/>
        </w:rPr>
        <w:lastRenderedPageBreak/>
        <w:t>Demographics:  Year to Date</w:t>
      </w:r>
    </w:p>
    <w:tbl>
      <w:tblPr>
        <w:tblW w:w="9300" w:type="dxa"/>
        <w:tblInd w:w="93" w:type="dxa"/>
        <w:tblLook w:val="04A0" w:firstRow="1" w:lastRow="0" w:firstColumn="1" w:lastColumn="0" w:noHBand="0" w:noVBand="1"/>
      </w:tblPr>
      <w:tblGrid>
        <w:gridCol w:w="2916"/>
        <w:gridCol w:w="1136"/>
        <w:gridCol w:w="836"/>
        <w:gridCol w:w="1190"/>
        <w:gridCol w:w="836"/>
        <w:gridCol w:w="1550"/>
        <w:gridCol w:w="836"/>
      </w:tblGrid>
      <w:tr w:rsidR="00155A80" w:rsidRPr="00F6468F" w:rsidTr="00155A80">
        <w:trPr>
          <w:trHeight w:val="1200"/>
        </w:trPr>
        <w:tc>
          <w:tcPr>
            <w:tcW w:w="291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color w:val="000000"/>
                <w:sz w:val="24"/>
                <w:szCs w:val="24"/>
              </w:rPr>
            </w:pPr>
            <w:r w:rsidRPr="00F6468F">
              <w:rPr>
                <w:rFonts w:ascii="Times New Roman" w:eastAsia="Times New Roman" w:hAnsi="Times New Roman" w:cs="Times New Roman"/>
                <w:color w:val="000000"/>
                <w:sz w:val="24"/>
                <w:szCs w:val="24"/>
              </w:rPr>
              <w:t> </w:t>
            </w:r>
          </w:p>
        </w:tc>
        <w:tc>
          <w:tcPr>
            <w:tcW w:w="1136" w:type="dxa"/>
            <w:tcBorders>
              <w:top w:val="single" w:sz="8" w:space="0" w:color="auto"/>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 xml:space="preserve">State </w:t>
            </w:r>
            <w:r w:rsidRPr="00F6468F">
              <w:rPr>
                <w:rFonts w:ascii="Times New Roman" w:eastAsia="Times New Roman" w:hAnsi="Times New Roman" w:cs="Times New Roman"/>
                <w:b/>
                <w:bCs/>
                <w:color w:val="000000"/>
                <w:sz w:val="24"/>
                <w:szCs w:val="24"/>
              </w:rPr>
              <w:br/>
              <w:t xml:space="preserve">Grantee: </w:t>
            </w:r>
            <w:r w:rsidRPr="00F6468F">
              <w:rPr>
                <w:rFonts w:ascii="Times New Roman" w:eastAsia="Times New Roman" w:hAnsi="Times New Roman" w:cs="Times New Roman"/>
                <w:b/>
                <w:bCs/>
                <w:color w:val="000000"/>
                <w:sz w:val="24"/>
                <w:szCs w:val="24"/>
              </w:rPr>
              <w:br/>
              <w:t>YTD Actual</w:t>
            </w:r>
          </w:p>
        </w:tc>
        <w:tc>
          <w:tcPr>
            <w:tcW w:w="836" w:type="dxa"/>
            <w:tcBorders>
              <w:top w:val="single" w:sz="8" w:space="0" w:color="auto"/>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center"/>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YTD %</w:t>
            </w:r>
          </w:p>
        </w:tc>
        <w:tc>
          <w:tcPr>
            <w:tcW w:w="1190" w:type="dxa"/>
            <w:tcBorders>
              <w:top w:val="single" w:sz="8" w:space="0" w:color="auto"/>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National Able Network: YTD Actual</w:t>
            </w:r>
          </w:p>
        </w:tc>
        <w:tc>
          <w:tcPr>
            <w:tcW w:w="836" w:type="dxa"/>
            <w:tcBorders>
              <w:top w:val="single" w:sz="8" w:space="0" w:color="auto"/>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center"/>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YTD %</w:t>
            </w:r>
          </w:p>
        </w:tc>
        <w:tc>
          <w:tcPr>
            <w:tcW w:w="1550" w:type="dxa"/>
            <w:tcBorders>
              <w:top w:val="single" w:sz="8" w:space="0" w:color="auto"/>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Total SCSEP Participants: YTD Actual</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center"/>
              <w:rPr>
                <w:rFonts w:ascii="Times New Roman" w:eastAsia="Times New Roman" w:hAnsi="Times New Roman" w:cs="Times New Roman"/>
                <w:b/>
                <w:bCs/>
                <w:color w:val="000000"/>
                <w:sz w:val="24"/>
                <w:szCs w:val="24"/>
              </w:rPr>
            </w:pPr>
            <w:r w:rsidRPr="00F6468F">
              <w:rPr>
                <w:rFonts w:ascii="Times New Roman" w:eastAsia="Times New Roman" w:hAnsi="Times New Roman" w:cs="Times New Roman"/>
                <w:b/>
                <w:bCs/>
                <w:color w:val="000000"/>
                <w:sz w:val="24"/>
                <w:szCs w:val="24"/>
              </w:rPr>
              <w:t>YTD %</w:t>
            </w:r>
          </w:p>
        </w:tc>
      </w:tr>
      <w:tr w:rsidR="00155A80" w:rsidRPr="00155A80" w:rsidTr="00155A80">
        <w:trPr>
          <w:trHeight w:val="3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Male</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26</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50.0%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84</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33.0%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110</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41.5%</w:t>
            </w:r>
          </w:p>
        </w:tc>
      </w:tr>
      <w:tr w:rsidR="00155A80" w:rsidRPr="00F6468F" w:rsidTr="00155A80">
        <w:trPr>
          <w:trHeight w:val="3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Female</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26</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50.0%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173</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67.0%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199</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58.5%</w:t>
            </w:r>
          </w:p>
        </w:tc>
      </w:tr>
      <w:tr w:rsidR="00155A80" w:rsidRPr="00155A80" w:rsidTr="00155A80">
        <w:trPr>
          <w:trHeight w:val="3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Hispanic, Latino or Spanish Origin</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20.0%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7</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30.0%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25.0%</w:t>
            </w:r>
          </w:p>
        </w:tc>
      </w:tr>
      <w:tr w:rsidR="00155A80" w:rsidRPr="00F6468F" w:rsidTr="00155A80">
        <w:trPr>
          <w:trHeight w:val="9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American Indian, Alaska Native, Asian, Black or African American, Native Hawaiian or Pacific Islander</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16</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32.0%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14</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30.0%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30</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31.0%</w:t>
            </w:r>
          </w:p>
        </w:tc>
      </w:tr>
      <w:tr w:rsidR="00155A80" w:rsidRPr="00155A80" w:rsidTr="00155A80">
        <w:trPr>
          <w:trHeight w:val="3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White</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35</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68.0%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230</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89.0%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265</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78.5%</w:t>
            </w:r>
          </w:p>
        </w:tc>
      </w:tr>
      <w:tr w:rsidR="00155A80" w:rsidRPr="00F6468F" w:rsidTr="00155A80">
        <w:trPr>
          <w:trHeight w:val="6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Family income at or below poverty level</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47</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90.0%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218</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85.0%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265</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87.5%</w:t>
            </w:r>
          </w:p>
        </w:tc>
      </w:tr>
      <w:tr w:rsidR="00155A80" w:rsidRPr="00155A80" w:rsidTr="00155A80">
        <w:trPr>
          <w:trHeight w:val="3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with disabilities</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11</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21.0%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10.0%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14</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15.5%</w:t>
            </w:r>
          </w:p>
        </w:tc>
      </w:tr>
      <w:tr w:rsidR="00155A80" w:rsidRPr="00F6468F" w:rsidTr="00155A80">
        <w:trPr>
          <w:trHeight w:val="6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with limited English proficiency</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13</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25.0%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23</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60.0%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36</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42.5%</w:t>
            </w:r>
          </w:p>
        </w:tc>
      </w:tr>
      <w:tr w:rsidR="00155A80" w:rsidRPr="00155A80" w:rsidTr="00155A80">
        <w:trPr>
          <w:trHeight w:val="3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with low literacy skills</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60.0%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10</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40.0%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13</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50.0%</w:t>
            </w:r>
          </w:p>
        </w:tc>
      </w:tr>
      <w:tr w:rsidR="00155A80" w:rsidRPr="00F6468F" w:rsidTr="00155A80">
        <w:trPr>
          <w:trHeight w:val="3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residing in rural areas</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16</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31.0%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166</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65.0%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182</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48.0%</w:t>
            </w:r>
          </w:p>
        </w:tc>
      </w:tr>
      <w:tr w:rsidR="00155A80" w:rsidRPr="00155A80" w:rsidTr="00155A80">
        <w:trPr>
          <w:trHeight w:val="600"/>
        </w:trPr>
        <w:tc>
          <w:tcPr>
            <w:tcW w:w="2916" w:type="dxa"/>
            <w:tcBorders>
              <w:top w:val="nil"/>
              <w:left w:val="single" w:sz="8" w:space="0" w:color="auto"/>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with low employment prospects</w:t>
            </w:r>
          </w:p>
        </w:tc>
        <w:tc>
          <w:tcPr>
            <w:tcW w:w="11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46</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88.0%</w:t>
            </w:r>
          </w:p>
        </w:tc>
        <w:tc>
          <w:tcPr>
            <w:tcW w:w="119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206</w:t>
            </w:r>
          </w:p>
        </w:tc>
        <w:tc>
          <w:tcPr>
            <w:tcW w:w="836"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80.0%</w:t>
            </w:r>
          </w:p>
        </w:tc>
        <w:tc>
          <w:tcPr>
            <w:tcW w:w="1550" w:type="dxa"/>
            <w:tcBorders>
              <w:top w:val="nil"/>
              <w:left w:val="nil"/>
              <w:bottom w:val="single" w:sz="4"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252</w:t>
            </w:r>
          </w:p>
        </w:tc>
        <w:tc>
          <w:tcPr>
            <w:tcW w:w="836" w:type="dxa"/>
            <w:tcBorders>
              <w:top w:val="nil"/>
              <w:left w:val="nil"/>
              <w:bottom w:val="single" w:sz="4"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84.0%</w:t>
            </w:r>
          </w:p>
        </w:tc>
      </w:tr>
      <w:tr w:rsidR="00155A80" w:rsidRPr="00F6468F" w:rsidTr="00155A80">
        <w:trPr>
          <w:trHeight w:val="600"/>
        </w:trPr>
        <w:tc>
          <w:tcPr>
            <w:tcW w:w="2916" w:type="dxa"/>
            <w:tcBorders>
              <w:top w:val="nil"/>
              <w:left w:val="single" w:sz="8" w:space="0" w:color="auto"/>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Individuals who are homeless or at risk of homelessness</w:t>
            </w:r>
          </w:p>
        </w:tc>
        <w:tc>
          <w:tcPr>
            <w:tcW w:w="11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13</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25.0%</w:t>
            </w:r>
          </w:p>
        </w:tc>
        <w:tc>
          <w:tcPr>
            <w:tcW w:w="119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150</w:t>
            </w:r>
          </w:p>
        </w:tc>
        <w:tc>
          <w:tcPr>
            <w:tcW w:w="836"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58.0%</w:t>
            </w:r>
          </w:p>
        </w:tc>
        <w:tc>
          <w:tcPr>
            <w:tcW w:w="1550" w:type="dxa"/>
            <w:tcBorders>
              <w:top w:val="nil"/>
              <w:left w:val="nil"/>
              <w:bottom w:val="single" w:sz="4" w:space="0" w:color="auto"/>
              <w:right w:val="single" w:sz="4"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163</w:t>
            </w:r>
          </w:p>
        </w:tc>
        <w:tc>
          <w:tcPr>
            <w:tcW w:w="836" w:type="dxa"/>
            <w:tcBorders>
              <w:top w:val="nil"/>
              <w:left w:val="nil"/>
              <w:bottom w:val="single" w:sz="4" w:space="0" w:color="auto"/>
              <w:right w:val="single" w:sz="8" w:space="0" w:color="auto"/>
            </w:tcBorders>
            <w:shd w:val="clear" w:color="auto" w:fill="auto"/>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41.5%</w:t>
            </w:r>
          </w:p>
        </w:tc>
      </w:tr>
      <w:tr w:rsidR="00155A80" w:rsidRPr="00155A80" w:rsidTr="00155A80">
        <w:trPr>
          <w:trHeight w:val="315"/>
        </w:trPr>
        <w:tc>
          <w:tcPr>
            <w:tcW w:w="2916" w:type="dxa"/>
            <w:tcBorders>
              <w:top w:val="nil"/>
              <w:left w:val="single" w:sz="8" w:space="0" w:color="auto"/>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Veterans (or spouses)</w:t>
            </w:r>
          </w:p>
        </w:tc>
        <w:tc>
          <w:tcPr>
            <w:tcW w:w="1136" w:type="dxa"/>
            <w:tcBorders>
              <w:top w:val="nil"/>
              <w:left w:val="nil"/>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6</w:t>
            </w:r>
          </w:p>
        </w:tc>
        <w:tc>
          <w:tcPr>
            <w:tcW w:w="836" w:type="dxa"/>
            <w:tcBorders>
              <w:top w:val="nil"/>
              <w:left w:val="nil"/>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12.0%</w:t>
            </w:r>
          </w:p>
        </w:tc>
        <w:tc>
          <w:tcPr>
            <w:tcW w:w="1190" w:type="dxa"/>
            <w:tcBorders>
              <w:top w:val="nil"/>
              <w:left w:val="nil"/>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27</w:t>
            </w:r>
          </w:p>
        </w:tc>
        <w:tc>
          <w:tcPr>
            <w:tcW w:w="836" w:type="dxa"/>
            <w:tcBorders>
              <w:top w:val="nil"/>
              <w:left w:val="nil"/>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11.0%</w:t>
            </w:r>
          </w:p>
        </w:tc>
        <w:tc>
          <w:tcPr>
            <w:tcW w:w="1550" w:type="dxa"/>
            <w:tcBorders>
              <w:top w:val="nil"/>
              <w:left w:val="nil"/>
              <w:bottom w:val="single" w:sz="8" w:space="0" w:color="auto"/>
              <w:right w:val="single" w:sz="4"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33</w:t>
            </w:r>
          </w:p>
        </w:tc>
        <w:tc>
          <w:tcPr>
            <w:tcW w:w="836" w:type="dxa"/>
            <w:tcBorders>
              <w:top w:val="nil"/>
              <w:left w:val="nil"/>
              <w:bottom w:val="single" w:sz="8" w:space="0" w:color="auto"/>
              <w:right w:val="single" w:sz="8" w:space="0" w:color="auto"/>
            </w:tcBorders>
            <w:shd w:val="clear" w:color="000000" w:fill="E4DFEC"/>
            <w:vAlign w:val="center"/>
            <w:hideMark/>
          </w:tcPr>
          <w:p w:rsidR="00F6468F" w:rsidRPr="00F6468F" w:rsidRDefault="00F6468F" w:rsidP="00F6468F">
            <w:pPr>
              <w:spacing w:after="0" w:line="240" w:lineRule="auto"/>
              <w:jc w:val="right"/>
              <w:rPr>
                <w:rFonts w:ascii="Times New Roman" w:eastAsia="Times New Roman" w:hAnsi="Times New Roman" w:cs="Times New Roman"/>
                <w:sz w:val="24"/>
                <w:szCs w:val="24"/>
              </w:rPr>
            </w:pPr>
            <w:r w:rsidRPr="00F6468F">
              <w:rPr>
                <w:rFonts w:ascii="Times New Roman" w:eastAsia="Times New Roman" w:hAnsi="Times New Roman" w:cs="Times New Roman"/>
                <w:sz w:val="24"/>
                <w:szCs w:val="24"/>
              </w:rPr>
              <w:t>11.5%</w:t>
            </w:r>
          </w:p>
        </w:tc>
      </w:tr>
    </w:tbl>
    <w:p w:rsidR="00F6468F" w:rsidRPr="00155A80" w:rsidRDefault="00F6468F" w:rsidP="008E17FC">
      <w:pPr>
        <w:pStyle w:val="para"/>
        <w:spacing w:line="480" w:lineRule="auto"/>
        <w:ind w:left="1560"/>
      </w:pPr>
    </w:p>
    <w:p w:rsidR="000F3FCD" w:rsidRPr="00155A80" w:rsidRDefault="00155A80" w:rsidP="00155A80">
      <w:pPr>
        <w:pStyle w:val="para"/>
        <w:spacing w:line="480" w:lineRule="auto"/>
        <w:ind w:left="720"/>
      </w:pPr>
      <w:r w:rsidRPr="00155A80">
        <w:t>Occasionally</w:t>
      </w:r>
      <w:r>
        <w:t>,</w:t>
      </w:r>
      <w:r w:rsidRPr="00155A80">
        <w:t xml:space="preserve"> SCSEP in Maine has to update its distribution of participant slots for a variety of reason.  </w:t>
      </w:r>
      <w:r w:rsidR="009037A6" w:rsidRPr="00155A80">
        <w:t xml:space="preserve">Any </w:t>
      </w:r>
      <w:r w:rsidR="005B187F" w:rsidRPr="00155A80">
        <w:t>time there is a need for changes or disruptions to service the Participant is g</w:t>
      </w:r>
      <w:r w:rsidR="008E17FC" w:rsidRPr="00155A80">
        <w:t xml:space="preserve">iven as much notice as possible, but </w:t>
      </w:r>
      <w:r>
        <w:t xml:space="preserve">those </w:t>
      </w:r>
      <w:r w:rsidR="008E17FC" w:rsidRPr="00155A80">
        <w:t>disruptions and redistributions are rare.</w:t>
      </w:r>
    </w:p>
    <w:p w:rsidR="00C77FA0" w:rsidRPr="00155A80" w:rsidRDefault="00C77FA0" w:rsidP="00C77FA0">
      <w:pPr>
        <w:pStyle w:val="para"/>
        <w:spacing w:line="480" w:lineRule="auto"/>
        <w:ind w:left="720"/>
      </w:pPr>
      <w:r w:rsidRPr="00155A80">
        <w:rPr>
          <w:u w:val="single"/>
        </w:rPr>
        <w:lastRenderedPageBreak/>
        <w:t>Maine Recommendations to US DOLETA</w:t>
      </w:r>
      <w:r w:rsidRPr="00155A80">
        <w:t xml:space="preserve">: </w:t>
      </w:r>
    </w:p>
    <w:p w:rsidR="00C77FA0" w:rsidRPr="00155A80" w:rsidRDefault="00C77FA0" w:rsidP="00DC7CB6">
      <w:pPr>
        <w:pStyle w:val="para"/>
        <w:numPr>
          <w:ilvl w:val="0"/>
          <w:numId w:val="8"/>
        </w:numPr>
        <w:spacing w:line="480" w:lineRule="auto"/>
      </w:pPr>
      <w:r w:rsidRPr="00155A80">
        <w:t>Allow the State SCSEP Program Administrator direct access to real time SPARQ data</w:t>
      </w:r>
      <w:r w:rsidR="007C4692">
        <w:t xml:space="preserve"> in order to better manage SCSEP resources and to be able to respond timely to federal and state requests for information</w:t>
      </w:r>
    </w:p>
    <w:p w:rsidR="00C77FA0" w:rsidRPr="00155A80" w:rsidRDefault="00C77FA0" w:rsidP="00C77FA0">
      <w:pPr>
        <w:pStyle w:val="para"/>
        <w:numPr>
          <w:ilvl w:val="0"/>
          <w:numId w:val="8"/>
        </w:numPr>
        <w:spacing w:line="480" w:lineRule="auto"/>
      </w:pPr>
      <w:r w:rsidRPr="00155A80">
        <w:t>Allow the State Grantee to submit bids for the National Grant within their state lines</w:t>
      </w:r>
      <w:r w:rsidR="007C4692">
        <w:t xml:space="preserve"> in order to have a higher return on investment of SCSEP funding and reduce administrative redundancy.  It would also give Maine seniors statewide consistency in how SCSEP operates.</w:t>
      </w:r>
    </w:p>
    <w:p w:rsidR="007C4692" w:rsidRDefault="007C4692" w:rsidP="00155A80">
      <w:pPr>
        <w:spacing w:after="60" w:line="480" w:lineRule="auto"/>
        <w:rPr>
          <w:rFonts w:ascii="Times New Roman" w:hAnsi="Times New Roman" w:cs="Times New Roman"/>
          <w:b/>
          <w:sz w:val="24"/>
          <w:szCs w:val="24"/>
        </w:rPr>
      </w:pPr>
    </w:p>
    <w:p w:rsidR="007C4692" w:rsidRDefault="007C4692" w:rsidP="00155A80">
      <w:pPr>
        <w:spacing w:after="60" w:line="480" w:lineRule="auto"/>
        <w:rPr>
          <w:rFonts w:ascii="Times New Roman" w:hAnsi="Times New Roman" w:cs="Times New Roman"/>
          <w:b/>
          <w:sz w:val="24"/>
          <w:szCs w:val="24"/>
        </w:rPr>
      </w:pPr>
      <w:r>
        <w:rPr>
          <w:rFonts w:ascii="Times New Roman" w:hAnsi="Times New Roman" w:cs="Times New Roman"/>
          <w:b/>
          <w:sz w:val="24"/>
          <w:szCs w:val="24"/>
        </w:rPr>
        <w:t>IV.</w:t>
      </w:r>
      <w:r>
        <w:rPr>
          <w:rFonts w:ascii="Times New Roman" w:hAnsi="Times New Roman" w:cs="Times New Roman"/>
          <w:b/>
          <w:sz w:val="24"/>
          <w:szCs w:val="24"/>
        </w:rPr>
        <w:tab/>
        <w:t>SCSEP Assurances and Public Comments &amp; Questions:</w:t>
      </w:r>
    </w:p>
    <w:p w:rsidR="007C4692" w:rsidRDefault="007C4692" w:rsidP="00155A80">
      <w:pPr>
        <w:spacing w:after="60" w:line="480" w:lineRule="auto"/>
        <w:rPr>
          <w:rFonts w:ascii="Times New Roman" w:hAnsi="Times New Roman" w:cs="Times New Roman"/>
          <w:b/>
          <w:sz w:val="24"/>
          <w:szCs w:val="24"/>
        </w:rPr>
      </w:pPr>
    </w:p>
    <w:p w:rsidR="00155A80" w:rsidRPr="00155A80" w:rsidRDefault="00155A80" w:rsidP="00155A80">
      <w:pPr>
        <w:spacing w:after="60" w:line="480" w:lineRule="auto"/>
        <w:rPr>
          <w:rFonts w:ascii="Times New Roman" w:hAnsi="Times New Roman" w:cs="Times New Roman"/>
          <w:b/>
          <w:sz w:val="24"/>
          <w:szCs w:val="24"/>
        </w:rPr>
      </w:pPr>
      <w:r w:rsidRPr="00155A80">
        <w:rPr>
          <w:rFonts w:ascii="Times New Roman" w:hAnsi="Times New Roman" w:cs="Times New Roman"/>
          <w:b/>
          <w:sz w:val="24"/>
          <w:szCs w:val="24"/>
        </w:rPr>
        <w:t xml:space="preserve">Maine SCSEP </w:t>
      </w:r>
      <w:r w:rsidR="007C4692" w:rsidRPr="00155A80">
        <w:rPr>
          <w:rFonts w:ascii="Times New Roman" w:hAnsi="Times New Roman" w:cs="Times New Roman"/>
          <w:b/>
          <w:sz w:val="24"/>
          <w:szCs w:val="24"/>
        </w:rPr>
        <w:t>Assurances</w:t>
      </w:r>
      <w:r w:rsidRPr="00155A80">
        <w:rPr>
          <w:rFonts w:ascii="Times New Roman" w:hAnsi="Times New Roman" w:cs="Times New Roman"/>
          <w:b/>
          <w:sz w:val="24"/>
          <w:szCs w:val="24"/>
        </w:rPr>
        <w:t>:</w:t>
      </w:r>
    </w:p>
    <w:p w:rsidR="00155A80" w:rsidRDefault="00155A80" w:rsidP="00155A80">
      <w:pPr>
        <w:spacing w:after="60" w:line="480" w:lineRule="auto"/>
        <w:rPr>
          <w:rFonts w:ascii="Times New Roman" w:hAnsi="Times New Roman" w:cs="Times New Roman"/>
          <w:sz w:val="24"/>
          <w:szCs w:val="24"/>
        </w:rPr>
      </w:pPr>
      <w:r>
        <w:rPr>
          <w:rFonts w:ascii="Times New Roman" w:hAnsi="Times New Roman" w:cs="Times New Roman"/>
          <w:sz w:val="24"/>
          <w:szCs w:val="24"/>
        </w:rPr>
        <w:t>The Maine SCSEP State Plan has been posted on the Maine DHHS – OADS website (March 4, 2016 – March 15, 2016) for public comment.  It has also been sent to the following partners for advice and recommendations:</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Representatives of the State and area agencies on aging;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State and local boards under WIOA;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Public and private nonprofit agencies and organizations providing employment services, including each grantee operating a SCSEP project within the State, except as provided under section 506(a)(3) of OAA and 20 CFR 641.320(b);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Social service organizations providing services to older individuals;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Grantees under Title III of OAA;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Affected Communities;</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Unemployed older individuals;</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Community-based organizations serving older individuals; </w:t>
      </w:r>
    </w:p>
    <w:p w:rsidR="00155A80" w:rsidRPr="00155A80" w:rsidRDefault="00155A80" w:rsidP="00155A80">
      <w:pPr>
        <w:pStyle w:val="ListParagraph"/>
        <w:numPr>
          <w:ilvl w:val="0"/>
          <w:numId w:val="16"/>
        </w:numPr>
        <w:spacing w:after="0" w:line="240" w:lineRule="auto"/>
        <w:rPr>
          <w:rFonts w:ascii="Times New Roman" w:eastAsia="Calibri" w:hAnsi="Times New Roman" w:cs="Times New Roman"/>
          <w:sz w:val="24"/>
          <w:szCs w:val="24"/>
        </w:rPr>
      </w:pPr>
      <w:r w:rsidRPr="00155A80">
        <w:rPr>
          <w:rFonts w:ascii="Times New Roman" w:eastAsia="Calibri" w:hAnsi="Times New Roman" w:cs="Times New Roman"/>
          <w:sz w:val="24"/>
          <w:szCs w:val="24"/>
        </w:rPr>
        <w:t xml:space="preserve">Business organizations; and </w:t>
      </w:r>
    </w:p>
    <w:p w:rsidR="00155A80" w:rsidRPr="00155A80" w:rsidRDefault="00155A80" w:rsidP="00155A80">
      <w:pPr>
        <w:pStyle w:val="ListParagraph"/>
        <w:numPr>
          <w:ilvl w:val="0"/>
          <w:numId w:val="16"/>
        </w:numPr>
        <w:spacing w:after="60" w:line="480" w:lineRule="auto"/>
        <w:rPr>
          <w:rFonts w:ascii="Times New Roman" w:hAnsi="Times New Roman" w:cs="Times New Roman"/>
          <w:sz w:val="24"/>
          <w:szCs w:val="24"/>
        </w:rPr>
      </w:pPr>
      <w:r w:rsidRPr="00155A80">
        <w:rPr>
          <w:rFonts w:ascii="Times New Roman" w:eastAsia="Calibri" w:hAnsi="Times New Roman" w:cs="Times New Roman"/>
          <w:sz w:val="24"/>
          <w:szCs w:val="24"/>
        </w:rPr>
        <w:t>Labor organizations.</w:t>
      </w:r>
    </w:p>
    <w:p w:rsidR="00155A80" w:rsidRPr="00155A80" w:rsidRDefault="00155A80" w:rsidP="00155A80">
      <w:pPr>
        <w:spacing w:after="60" w:line="480" w:lineRule="auto"/>
        <w:rPr>
          <w:rFonts w:ascii="Times New Roman" w:hAnsi="Times New Roman" w:cs="Times New Roman"/>
          <w:b/>
          <w:sz w:val="24"/>
          <w:szCs w:val="24"/>
        </w:rPr>
      </w:pPr>
      <w:r w:rsidRPr="00155A80">
        <w:rPr>
          <w:rFonts w:ascii="Times New Roman" w:hAnsi="Times New Roman" w:cs="Times New Roman"/>
          <w:b/>
          <w:sz w:val="24"/>
          <w:szCs w:val="24"/>
        </w:rPr>
        <w:lastRenderedPageBreak/>
        <w:t>Public Comments &amp; Questions</w:t>
      </w:r>
      <w:r>
        <w:rPr>
          <w:rFonts w:ascii="Times New Roman" w:hAnsi="Times New Roman" w:cs="Times New Roman"/>
          <w:b/>
          <w:sz w:val="24"/>
          <w:szCs w:val="24"/>
        </w:rPr>
        <w:t>:</w:t>
      </w:r>
    </w:p>
    <w:p w:rsidR="00155A80" w:rsidRPr="00155A80" w:rsidRDefault="00155A80" w:rsidP="00155A80">
      <w:pPr>
        <w:spacing w:after="60" w:line="480" w:lineRule="auto"/>
        <w:rPr>
          <w:rFonts w:ascii="Times New Roman" w:hAnsi="Times New Roman" w:cs="Times New Roman"/>
          <w:sz w:val="24"/>
          <w:szCs w:val="24"/>
        </w:rPr>
      </w:pPr>
    </w:p>
    <w:p w:rsidR="00B20775" w:rsidRPr="00B20775" w:rsidRDefault="00B20775" w:rsidP="00B20775">
      <w:pPr>
        <w:rPr>
          <w:b/>
        </w:rPr>
      </w:pPr>
      <w:r w:rsidRPr="00B20775">
        <w:rPr>
          <w:b/>
        </w:rPr>
        <w:t xml:space="preserve">Great summation of need and target population statistics.  </w:t>
      </w:r>
    </w:p>
    <w:p w:rsidR="00B20775" w:rsidRPr="00B20775" w:rsidRDefault="00B20775" w:rsidP="00B20775">
      <w:pPr>
        <w:rPr>
          <w:b/>
        </w:rPr>
      </w:pPr>
    </w:p>
    <w:p w:rsidR="00B20775" w:rsidRDefault="00B20775" w:rsidP="00B20775">
      <w:r w:rsidRPr="00B20775">
        <w:rPr>
          <w:b/>
        </w:rPr>
        <w:t>Where is the plan on implementation?</w:t>
      </w:r>
      <w:r>
        <w:t>  The specifics of implementation are handled by the National Grantee and Sub-Grantee each year when the annual grants are submitted.</w:t>
      </w:r>
    </w:p>
    <w:p w:rsidR="00B20775" w:rsidRDefault="00B20775" w:rsidP="00B20775"/>
    <w:p w:rsidR="00B20775" w:rsidRDefault="00B20775" w:rsidP="00B20775">
      <w:r w:rsidRPr="00B20775">
        <w:rPr>
          <w:b/>
        </w:rPr>
        <w:t xml:space="preserve"> Specifically how are the target elderly going to be notified of the offered help?</w:t>
      </w:r>
      <w:r>
        <w:t>   Outreach is done in various ways across the state.  This is addressed in Section II starting on page 10.</w:t>
      </w:r>
    </w:p>
    <w:p w:rsidR="00B20775" w:rsidRDefault="00B20775" w:rsidP="00B20775"/>
    <w:p w:rsidR="00B20775" w:rsidRDefault="00B20775" w:rsidP="00B20775">
      <w:r w:rsidRPr="00B20775">
        <w:rPr>
          <w:b/>
        </w:rPr>
        <w:t>And once notified how are they going to be helped to apply?</w:t>
      </w:r>
      <w:r>
        <w:t xml:space="preserve">  Each applicant has an initial interview and is walked through the process if they need </w:t>
      </w:r>
      <w:r w:rsidR="0026494B">
        <w:t>assistance</w:t>
      </w:r>
      <w:r>
        <w:t>.</w:t>
      </w:r>
    </w:p>
    <w:p w:rsidR="004C3851" w:rsidRDefault="004C3851" w:rsidP="004C3851">
      <w:pPr>
        <w:spacing w:line="480" w:lineRule="auto"/>
        <w:outlineLvl w:val="0"/>
        <w:rPr>
          <w:rFonts w:ascii="Times New Roman" w:hAnsi="Times New Roman" w:cs="Times New Roman"/>
          <w:sz w:val="24"/>
          <w:szCs w:val="24"/>
        </w:rPr>
      </w:pPr>
    </w:p>
    <w:p w:rsidR="00B20775" w:rsidRPr="00155A80" w:rsidRDefault="00B20775" w:rsidP="004C3851">
      <w:pPr>
        <w:spacing w:line="480" w:lineRule="auto"/>
        <w:outlineLvl w:val="0"/>
        <w:rPr>
          <w:rFonts w:ascii="Times New Roman" w:hAnsi="Times New Roman" w:cs="Times New Roman"/>
          <w:sz w:val="24"/>
          <w:szCs w:val="24"/>
        </w:rPr>
      </w:pPr>
    </w:p>
    <w:p w:rsidR="009502FE" w:rsidRPr="00155A80" w:rsidRDefault="009502FE" w:rsidP="009502FE">
      <w:pPr>
        <w:pStyle w:val="ListParagraph"/>
        <w:tabs>
          <w:tab w:val="left" w:pos="6966"/>
        </w:tabs>
        <w:spacing w:line="480" w:lineRule="auto"/>
        <w:rPr>
          <w:rFonts w:ascii="Times New Roman" w:eastAsia="Times New Roman" w:hAnsi="Times New Roman" w:cs="Times New Roman"/>
          <w:sz w:val="24"/>
          <w:szCs w:val="24"/>
        </w:rPr>
      </w:pPr>
    </w:p>
    <w:sectPr w:rsidR="009502FE" w:rsidRPr="00155A80" w:rsidSect="00BD5979">
      <w:headerReference w:type="default" r:id="rId15"/>
      <w:footerReference w:type="default" r:id="rId1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BA0" w:rsidRDefault="00554BA0" w:rsidP="00BD5979">
      <w:pPr>
        <w:spacing w:after="0" w:line="240" w:lineRule="auto"/>
      </w:pPr>
      <w:r>
        <w:separator/>
      </w:r>
    </w:p>
  </w:endnote>
  <w:endnote w:type="continuationSeparator" w:id="0">
    <w:p w:rsidR="00554BA0" w:rsidRDefault="00554BA0" w:rsidP="00BD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06545"/>
      <w:docPartObj>
        <w:docPartGallery w:val="Page Numbers (Bottom of Page)"/>
        <w:docPartUnique/>
      </w:docPartObj>
    </w:sdtPr>
    <w:sdtEndPr>
      <w:rPr>
        <w:noProof/>
      </w:rPr>
    </w:sdtEndPr>
    <w:sdtContent>
      <w:p w:rsidR="0003739D" w:rsidRDefault="0003739D">
        <w:pPr>
          <w:pStyle w:val="Footer"/>
          <w:jc w:val="right"/>
        </w:pPr>
        <w:r>
          <w:fldChar w:fldCharType="begin"/>
        </w:r>
        <w:r>
          <w:instrText xml:space="preserve"> PAGE   \* MERGEFORMAT </w:instrText>
        </w:r>
        <w:r>
          <w:fldChar w:fldCharType="separate"/>
        </w:r>
        <w:r w:rsidR="0026494B">
          <w:rPr>
            <w:noProof/>
          </w:rPr>
          <w:t>0</w:t>
        </w:r>
        <w:r>
          <w:rPr>
            <w:noProof/>
          </w:rPr>
          <w:fldChar w:fldCharType="end"/>
        </w:r>
      </w:p>
    </w:sdtContent>
  </w:sdt>
  <w:p w:rsidR="0003739D" w:rsidRDefault="000373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BA0" w:rsidRDefault="00554BA0" w:rsidP="00BD5979">
      <w:pPr>
        <w:spacing w:after="0" w:line="240" w:lineRule="auto"/>
      </w:pPr>
      <w:r>
        <w:separator/>
      </w:r>
    </w:p>
  </w:footnote>
  <w:footnote w:type="continuationSeparator" w:id="0">
    <w:p w:rsidR="00554BA0" w:rsidRDefault="00554BA0" w:rsidP="00BD5979">
      <w:pPr>
        <w:spacing w:after="0" w:line="240" w:lineRule="auto"/>
      </w:pPr>
      <w:r>
        <w:continuationSeparator/>
      </w:r>
    </w:p>
  </w:footnote>
  <w:footnote w:id="1">
    <w:p w:rsidR="0003739D" w:rsidRDefault="0003739D">
      <w:pPr>
        <w:pStyle w:val="FootnoteText"/>
      </w:pPr>
      <w:r>
        <w:rPr>
          <w:rStyle w:val="FootnoteReference"/>
        </w:rPr>
        <w:footnoteRef/>
      </w:r>
      <w:r>
        <w:t xml:space="preserve"> </w:t>
      </w:r>
      <w:hyperlink r:id="rId1" w:history="1">
        <w:r w:rsidRPr="00F938C7">
          <w:rPr>
            <w:rStyle w:val="Hyperlink"/>
          </w:rPr>
          <w:t>http://www.mainelegislature.org/legis/bills/bills_126th/billtexts/SP047101.asp</w:t>
        </w:r>
      </w:hyperlink>
      <w:r>
        <w:t xml:space="preserve"> </w:t>
      </w:r>
    </w:p>
  </w:footnote>
  <w:footnote w:id="2">
    <w:p w:rsidR="0003739D" w:rsidRDefault="0003739D">
      <w:pPr>
        <w:pStyle w:val="FootnoteText"/>
      </w:pPr>
      <w:r>
        <w:rPr>
          <w:rStyle w:val="FootnoteReference"/>
        </w:rPr>
        <w:footnoteRef/>
      </w:r>
      <w:r>
        <w:t xml:space="preserve"> </w:t>
      </w:r>
      <w:hyperlink r:id="rId2" w:history="1">
        <w:r w:rsidRPr="00F938C7">
          <w:rPr>
            <w:rStyle w:val="Hyperlink"/>
          </w:rPr>
          <w:t>http://www.maine.gov/dhhs/oads/docs/Employment-Policy-for-Individuals-Served.pdf</w:t>
        </w:r>
      </w:hyperlink>
      <w:r>
        <w:t xml:space="preserve"> </w:t>
      </w:r>
    </w:p>
  </w:footnote>
  <w:footnote w:id="3">
    <w:p w:rsidR="0003739D" w:rsidRDefault="0003739D" w:rsidP="009502FE">
      <w:pPr>
        <w:pStyle w:val="FootnoteText"/>
      </w:pPr>
      <w:r>
        <w:rPr>
          <w:rStyle w:val="FootnoteReference"/>
        </w:rPr>
        <w:footnoteRef/>
      </w:r>
      <w:r>
        <w:t xml:space="preserve"> Data from </w:t>
      </w:r>
      <w:r>
        <w:rPr>
          <w:rFonts w:cstheme="minorHAnsi"/>
        </w:rPr>
        <w:t>the Longitudinal Employer-Household Dynamics program, U.S. Census Bureau, 2014Q2-2015Q1.</w:t>
      </w:r>
    </w:p>
  </w:footnote>
  <w:footnote w:id="4">
    <w:p w:rsidR="0003739D" w:rsidRPr="001E67E3" w:rsidRDefault="0003739D" w:rsidP="009502FE">
      <w:pPr>
        <w:pStyle w:val="FootnoteText"/>
      </w:pPr>
      <w:r w:rsidRPr="001E67E3">
        <w:rPr>
          <w:rStyle w:val="FootnoteReference"/>
        </w:rPr>
        <w:footnoteRef/>
      </w:r>
      <w:r w:rsidRPr="001E67E3">
        <w:t xml:space="preserve"> </w:t>
      </w:r>
      <w:r>
        <w:rPr>
          <w:rFonts w:cstheme="minorHAnsi"/>
        </w:rPr>
        <w:t>Data from the Longitudinal Employer-Household Dynamics program, U.S. Census Bureau, 2014Q1-2014Q4.</w:t>
      </w:r>
    </w:p>
  </w:footnote>
  <w:footnote w:id="5">
    <w:p w:rsidR="0003739D" w:rsidRDefault="0003739D">
      <w:pPr>
        <w:pStyle w:val="FootnoteText"/>
      </w:pPr>
      <w:r>
        <w:rPr>
          <w:rStyle w:val="FootnoteReference"/>
        </w:rPr>
        <w:footnoteRef/>
      </w:r>
      <w:r>
        <w:t xml:space="preserve"> </w:t>
      </w:r>
      <w:hyperlink r:id="rId3" w:history="1">
        <w:r w:rsidRPr="00F938C7">
          <w:rPr>
            <w:rStyle w:val="Hyperlink"/>
          </w:rPr>
          <w:t>http://www.maine.gov/labor/cwri/publications/pdf/MaineTop50Employers.pdf</w:t>
        </w:r>
      </w:hyperlink>
      <w:r>
        <w:t xml:space="preserve"> </w:t>
      </w:r>
    </w:p>
  </w:footnote>
  <w:footnote w:id="6">
    <w:p w:rsidR="0003739D" w:rsidRDefault="0003739D">
      <w:pPr>
        <w:pStyle w:val="FootnoteText"/>
      </w:pPr>
      <w:r>
        <w:rPr>
          <w:rStyle w:val="FootnoteReference"/>
        </w:rPr>
        <w:footnoteRef/>
      </w:r>
      <w:r>
        <w:t xml:space="preserve"> </w:t>
      </w:r>
      <w:hyperlink r:id="rId4" w:history="1">
        <w:r w:rsidRPr="00F938C7">
          <w:rPr>
            <w:rStyle w:val="Hyperlink"/>
          </w:rPr>
          <w:t>http://www.maine.gov/labor/cwri/publications/pdf/VeteransConferenceWorkforceTrends.pdf</w:t>
        </w:r>
      </w:hyperlink>
      <w:r>
        <w:t xml:space="preserve"> (Nov 2015)</w:t>
      </w:r>
    </w:p>
  </w:footnote>
  <w:footnote w:id="7">
    <w:p w:rsidR="0003739D" w:rsidRDefault="0003739D">
      <w:pPr>
        <w:pStyle w:val="FootnoteText"/>
      </w:pPr>
      <w:r>
        <w:rPr>
          <w:rStyle w:val="FootnoteReference"/>
        </w:rPr>
        <w:footnoteRef/>
      </w:r>
      <w:r>
        <w:t xml:space="preserve"> </w:t>
      </w:r>
      <w:hyperlink r:id="rId5" w:history="1">
        <w:r w:rsidRPr="00F938C7">
          <w:rPr>
            <w:rStyle w:val="Hyperlink"/>
          </w:rPr>
          <w:t>http://www.maine.gov/labor/cwri/laus.html</w:t>
        </w:r>
      </w:hyperlink>
      <w:r>
        <w:t xml:space="preserve"> </w:t>
      </w:r>
    </w:p>
  </w:footnote>
  <w:footnote w:id="8">
    <w:p w:rsidR="0003739D" w:rsidRDefault="0003739D">
      <w:pPr>
        <w:pStyle w:val="FootnoteText"/>
      </w:pPr>
      <w:r>
        <w:rPr>
          <w:rStyle w:val="FootnoteReference"/>
        </w:rPr>
        <w:footnoteRef/>
      </w:r>
      <w:r>
        <w:t xml:space="preserve"> </w:t>
      </w:r>
      <w:hyperlink r:id="rId6" w:history="1">
        <w:r w:rsidRPr="00F938C7">
          <w:rPr>
            <w:rStyle w:val="Hyperlink"/>
          </w:rPr>
          <w:t>http://www.scseped.org/?q=tables&amp;SFIPS=20&amp;yearupload=4&amp;quarter=2</w:t>
        </w:r>
      </w:hyperlink>
      <w:r>
        <w:t xml:space="preserve"> </w:t>
      </w:r>
    </w:p>
  </w:footnote>
  <w:footnote w:id="9">
    <w:p w:rsidR="0003739D" w:rsidRDefault="0003739D">
      <w:pPr>
        <w:pStyle w:val="FootnoteText"/>
      </w:pPr>
      <w:r>
        <w:rPr>
          <w:rStyle w:val="FootnoteReference"/>
        </w:rPr>
        <w:footnoteRef/>
      </w:r>
      <w:r>
        <w:t xml:space="preserve"> </w:t>
      </w:r>
      <w:hyperlink r:id="rId7" w:history="1">
        <w:r w:rsidRPr="009B2E77">
          <w:rPr>
            <w:rStyle w:val="Hyperlink"/>
          </w:rPr>
          <w:t>http://eligibility.sc.egov.usda.gov/eligibility/welcomeAction.do</w:t>
        </w:r>
      </w:hyperlink>
      <w:r>
        <w:t xml:space="preserve"> </w:t>
      </w:r>
    </w:p>
  </w:footnote>
  <w:footnote w:id="10">
    <w:p w:rsidR="0003739D" w:rsidRDefault="0003739D">
      <w:pPr>
        <w:pStyle w:val="FootnoteText"/>
      </w:pPr>
      <w:r>
        <w:rPr>
          <w:rStyle w:val="FootnoteReference"/>
        </w:rPr>
        <w:footnoteRef/>
      </w:r>
      <w:r>
        <w:t xml:space="preserve"> </w:t>
      </w:r>
      <w:hyperlink r:id="rId8" w:history="1">
        <w:r w:rsidRPr="009B2E77">
          <w:rPr>
            <w:rStyle w:val="Hyperlink"/>
          </w:rPr>
          <w:t>http://www.maine.gov/labor/cwri/county-economic-profiles/countyProfiles.html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9D" w:rsidRDefault="0003739D">
    <w:pPr>
      <w:pStyle w:val="Header"/>
    </w:pPr>
    <w:r>
      <w:t>State of Maine</w:t>
    </w:r>
    <w:r>
      <w:tab/>
      <w:t>Title V, SCSEP State Plan</w:t>
    </w:r>
    <w:r>
      <w:tab/>
      <w:t>PY 16 - PY 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789B"/>
    <w:multiLevelType w:val="hybridMultilevel"/>
    <w:tmpl w:val="CA92E8D0"/>
    <w:lvl w:ilvl="0" w:tplc="A2B8DB0A">
      <w:start w:val="2"/>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3E56E99"/>
    <w:multiLevelType w:val="hybridMultilevel"/>
    <w:tmpl w:val="781E75CE"/>
    <w:lvl w:ilvl="0" w:tplc="14D45D86">
      <w:start w:val="1"/>
      <w:numFmt w:val="decimal"/>
      <w:lvlText w:val="%1."/>
      <w:lvlJc w:val="left"/>
      <w:pPr>
        <w:ind w:left="1560" w:hanging="8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EB7465"/>
    <w:multiLevelType w:val="hybridMultilevel"/>
    <w:tmpl w:val="3426F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592E1D"/>
    <w:multiLevelType w:val="hybridMultilevel"/>
    <w:tmpl w:val="7DA4746E"/>
    <w:lvl w:ilvl="0" w:tplc="FE64EA4E">
      <w:start w:val="2"/>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834A0"/>
    <w:multiLevelType w:val="hybridMultilevel"/>
    <w:tmpl w:val="4EE060F8"/>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3873A5"/>
    <w:multiLevelType w:val="hybridMultilevel"/>
    <w:tmpl w:val="EC60D608"/>
    <w:lvl w:ilvl="0" w:tplc="1F94F40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04D06F2"/>
    <w:multiLevelType w:val="hybridMultilevel"/>
    <w:tmpl w:val="862A9848"/>
    <w:lvl w:ilvl="0" w:tplc="F0BC044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76F3BE3"/>
    <w:multiLevelType w:val="hybridMultilevel"/>
    <w:tmpl w:val="BEDA488E"/>
    <w:lvl w:ilvl="0" w:tplc="AEFA1D84">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C65EFD"/>
    <w:multiLevelType w:val="hybridMultilevel"/>
    <w:tmpl w:val="C53C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226CD"/>
    <w:multiLevelType w:val="hybridMultilevel"/>
    <w:tmpl w:val="3976EC74"/>
    <w:lvl w:ilvl="0" w:tplc="7A3A85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6C53FB"/>
    <w:multiLevelType w:val="hybridMultilevel"/>
    <w:tmpl w:val="A7A62280"/>
    <w:lvl w:ilvl="0" w:tplc="0448A7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09D40A4"/>
    <w:multiLevelType w:val="hybridMultilevel"/>
    <w:tmpl w:val="3F1CA72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09E47A4"/>
    <w:multiLevelType w:val="hybridMultilevel"/>
    <w:tmpl w:val="2AA2C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90661DF"/>
    <w:multiLevelType w:val="hybridMultilevel"/>
    <w:tmpl w:val="25F0C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C2780"/>
    <w:multiLevelType w:val="hybridMultilevel"/>
    <w:tmpl w:val="0DB2B8D0"/>
    <w:lvl w:ilvl="0" w:tplc="80D02F46">
      <w:start w:val="1"/>
      <w:numFmt w:val="decimal"/>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5BB6958"/>
    <w:multiLevelType w:val="hybridMultilevel"/>
    <w:tmpl w:val="6AFEF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C363BC"/>
    <w:multiLevelType w:val="hybridMultilevel"/>
    <w:tmpl w:val="14623840"/>
    <w:lvl w:ilvl="0" w:tplc="A3D23B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
  </w:num>
  <w:num w:numId="3">
    <w:abstractNumId w:val="4"/>
  </w:num>
  <w:num w:numId="4">
    <w:abstractNumId w:val="13"/>
  </w:num>
  <w:num w:numId="5">
    <w:abstractNumId w:val="15"/>
  </w:num>
  <w:num w:numId="6">
    <w:abstractNumId w:val="9"/>
  </w:num>
  <w:num w:numId="7">
    <w:abstractNumId w:val="11"/>
  </w:num>
  <w:num w:numId="8">
    <w:abstractNumId w:val="14"/>
  </w:num>
  <w:num w:numId="9">
    <w:abstractNumId w:val="3"/>
  </w:num>
  <w:num w:numId="10">
    <w:abstractNumId w:val="6"/>
  </w:num>
  <w:num w:numId="11">
    <w:abstractNumId w:val="10"/>
  </w:num>
  <w:num w:numId="12">
    <w:abstractNumId w:val="1"/>
  </w:num>
  <w:num w:numId="13">
    <w:abstractNumId w:val="16"/>
  </w:num>
  <w:num w:numId="14">
    <w:abstractNumId w:val="5"/>
  </w:num>
  <w:num w:numId="15">
    <w:abstractNumId w:val="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160"/>
    <w:rsid w:val="00020160"/>
    <w:rsid w:val="0003739D"/>
    <w:rsid w:val="000F3FCD"/>
    <w:rsid w:val="00132255"/>
    <w:rsid w:val="00142712"/>
    <w:rsid w:val="001475EA"/>
    <w:rsid w:val="00155A80"/>
    <w:rsid w:val="00156FAD"/>
    <w:rsid w:val="00231336"/>
    <w:rsid w:val="0026494B"/>
    <w:rsid w:val="002832BE"/>
    <w:rsid w:val="00364172"/>
    <w:rsid w:val="00365C42"/>
    <w:rsid w:val="00385A4D"/>
    <w:rsid w:val="00386D29"/>
    <w:rsid w:val="004514E4"/>
    <w:rsid w:val="004726EC"/>
    <w:rsid w:val="004A5DC8"/>
    <w:rsid w:val="004C3851"/>
    <w:rsid w:val="004F4AD7"/>
    <w:rsid w:val="00503C56"/>
    <w:rsid w:val="00554BA0"/>
    <w:rsid w:val="00586B37"/>
    <w:rsid w:val="005B187F"/>
    <w:rsid w:val="005B2B1C"/>
    <w:rsid w:val="0061214E"/>
    <w:rsid w:val="006B7A6B"/>
    <w:rsid w:val="00704A73"/>
    <w:rsid w:val="00770D18"/>
    <w:rsid w:val="007817B0"/>
    <w:rsid w:val="007C4692"/>
    <w:rsid w:val="007F16FB"/>
    <w:rsid w:val="007F25CA"/>
    <w:rsid w:val="008275DC"/>
    <w:rsid w:val="008E17FC"/>
    <w:rsid w:val="009033C3"/>
    <w:rsid w:val="009037A6"/>
    <w:rsid w:val="009502FE"/>
    <w:rsid w:val="00970A74"/>
    <w:rsid w:val="00970F5D"/>
    <w:rsid w:val="00975D70"/>
    <w:rsid w:val="0097662C"/>
    <w:rsid w:val="00A13C8C"/>
    <w:rsid w:val="00A37839"/>
    <w:rsid w:val="00A536B1"/>
    <w:rsid w:val="00B07231"/>
    <w:rsid w:val="00B20775"/>
    <w:rsid w:val="00B5447D"/>
    <w:rsid w:val="00B91816"/>
    <w:rsid w:val="00BD5979"/>
    <w:rsid w:val="00BF0E7C"/>
    <w:rsid w:val="00C41876"/>
    <w:rsid w:val="00C77FA0"/>
    <w:rsid w:val="00D977B6"/>
    <w:rsid w:val="00DA5F37"/>
    <w:rsid w:val="00DC7CB6"/>
    <w:rsid w:val="00DD4140"/>
    <w:rsid w:val="00E36F04"/>
    <w:rsid w:val="00E66515"/>
    <w:rsid w:val="00ED51A7"/>
    <w:rsid w:val="00F00942"/>
    <w:rsid w:val="00F061B5"/>
    <w:rsid w:val="00F6468F"/>
    <w:rsid w:val="00FE11E6"/>
    <w:rsid w:val="00FE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20160"/>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020160"/>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20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160"/>
    <w:rPr>
      <w:rFonts w:ascii="Tahoma" w:hAnsi="Tahoma" w:cs="Tahoma"/>
      <w:sz w:val="16"/>
      <w:szCs w:val="16"/>
    </w:rPr>
  </w:style>
  <w:style w:type="paragraph" w:styleId="Header">
    <w:name w:val="header"/>
    <w:basedOn w:val="Normal"/>
    <w:link w:val="HeaderChar"/>
    <w:uiPriority w:val="99"/>
    <w:unhideWhenUsed/>
    <w:rsid w:val="00BD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979"/>
  </w:style>
  <w:style w:type="paragraph" w:styleId="Footer">
    <w:name w:val="footer"/>
    <w:basedOn w:val="Normal"/>
    <w:link w:val="FooterChar"/>
    <w:uiPriority w:val="99"/>
    <w:unhideWhenUsed/>
    <w:rsid w:val="00BD5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979"/>
  </w:style>
  <w:style w:type="paragraph" w:styleId="ListParagraph">
    <w:name w:val="List Paragraph"/>
    <w:basedOn w:val="Normal"/>
    <w:uiPriority w:val="34"/>
    <w:qFormat/>
    <w:rsid w:val="00BD5979"/>
    <w:pPr>
      <w:ind w:left="720"/>
      <w:contextualSpacing/>
    </w:pPr>
  </w:style>
  <w:style w:type="paragraph" w:styleId="FootnoteText">
    <w:name w:val="footnote text"/>
    <w:basedOn w:val="Normal"/>
    <w:link w:val="FootnoteTextChar"/>
    <w:uiPriority w:val="99"/>
    <w:unhideWhenUsed/>
    <w:rsid w:val="009502F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502FE"/>
    <w:rPr>
      <w:rFonts w:ascii="Calibri" w:eastAsia="Calibri" w:hAnsi="Calibri" w:cs="Times New Roman"/>
      <w:sz w:val="20"/>
      <w:szCs w:val="20"/>
    </w:rPr>
  </w:style>
  <w:style w:type="character" w:styleId="FootnoteReference">
    <w:name w:val="footnote reference"/>
    <w:basedOn w:val="DefaultParagraphFont"/>
    <w:uiPriority w:val="99"/>
    <w:unhideWhenUsed/>
    <w:rsid w:val="009502FE"/>
    <w:rPr>
      <w:vertAlign w:val="superscript"/>
    </w:rPr>
  </w:style>
  <w:style w:type="paragraph" w:styleId="EndnoteText">
    <w:name w:val="endnote text"/>
    <w:basedOn w:val="Normal"/>
    <w:link w:val="EndnoteTextChar"/>
    <w:uiPriority w:val="99"/>
    <w:semiHidden/>
    <w:unhideWhenUsed/>
    <w:rsid w:val="009502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02FE"/>
    <w:rPr>
      <w:sz w:val="20"/>
      <w:szCs w:val="20"/>
    </w:rPr>
  </w:style>
  <w:style w:type="character" w:styleId="EndnoteReference">
    <w:name w:val="endnote reference"/>
    <w:basedOn w:val="DefaultParagraphFont"/>
    <w:uiPriority w:val="99"/>
    <w:semiHidden/>
    <w:unhideWhenUsed/>
    <w:rsid w:val="009502FE"/>
    <w:rPr>
      <w:vertAlign w:val="superscript"/>
    </w:rPr>
  </w:style>
  <w:style w:type="character" w:styleId="Hyperlink">
    <w:name w:val="Hyperlink"/>
    <w:basedOn w:val="DefaultParagraphFont"/>
    <w:uiPriority w:val="99"/>
    <w:unhideWhenUsed/>
    <w:rsid w:val="009502FE"/>
    <w:rPr>
      <w:color w:val="0000FF" w:themeColor="hyperlink"/>
      <w:u w:val="single"/>
    </w:rPr>
  </w:style>
  <w:style w:type="paragraph" w:customStyle="1" w:styleId="para">
    <w:name w:val="para"/>
    <w:basedOn w:val="Normal"/>
    <w:rsid w:val="004C385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20160"/>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020160"/>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020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160"/>
    <w:rPr>
      <w:rFonts w:ascii="Tahoma" w:hAnsi="Tahoma" w:cs="Tahoma"/>
      <w:sz w:val="16"/>
      <w:szCs w:val="16"/>
    </w:rPr>
  </w:style>
  <w:style w:type="paragraph" w:styleId="Header">
    <w:name w:val="header"/>
    <w:basedOn w:val="Normal"/>
    <w:link w:val="HeaderChar"/>
    <w:uiPriority w:val="99"/>
    <w:unhideWhenUsed/>
    <w:rsid w:val="00BD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979"/>
  </w:style>
  <w:style w:type="paragraph" w:styleId="Footer">
    <w:name w:val="footer"/>
    <w:basedOn w:val="Normal"/>
    <w:link w:val="FooterChar"/>
    <w:uiPriority w:val="99"/>
    <w:unhideWhenUsed/>
    <w:rsid w:val="00BD5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979"/>
  </w:style>
  <w:style w:type="paragraph" w:styleId="ListParagraph">
    <w:name w:val="List Paragraph"/>
    <w:basedOn w:val="Normal"/>
    <w:uiPriority w:val="34"/>
    <w:qFormat/>
    <w:rsid w:val="00BD5979"/>
    <w:pPr>
      <w:ind w:left="720"/>
      <w:contextualSpacing/>
    </w:pPr>
  </w:style>
  <w:style w:type="paragraph" w:styleId="FootnoteText">
    <w:name w:val="footnote text"/>
    <w:basedOn w:val="Normal"/>
    <w:link w:val="FootnoteTextChar"/>
    <w:uiPriority w:val="99"/>
    <w:unhideWhenUsed/>
    <w:rsid w:val="009502F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502FE"/>
    <w:rPr>
      <w:rFonts w:ascii="Calibri" w:eastAsia="Calibri" w:hAnsi="Calibri" w:cs="Times New Roman"/>
      <w:sz w:val="20"/>
      <w:szCs w:val="20"/>
    </w:rPr>
  </w:style>
  <w:style w:type="character" w:styleId="FootnoteReference">
    <w:name w:val="footnote reference"/>
    <w:basedOn w:val="DefaultParagraphFont"/>
    <w:uiPriority w:val="99"/>
    <w:unhideWhenUsed/>
    <w:rsid w:val="009502FE"/>
    <w:rPr>
      <w:vertAlign w:val="superscript"/>
    </w:rPr>
  </w:style>
  <w:style w:type="paragraph" w:styleId="EndnoteText">
    <w:name w:val="endnote text"/>
    <w:basedOn w:val="Normal"/>
    <w:link w:val="EndnoteTextChar"/>
    <w:uiPriority w:val="99"/>
    <w:semiHidden/>
    <w:unhideWhenUsed/>
    <w:rsid w:val="009502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02FE"/>
    <w:rPr>
      <w:sz w:val="20"/>
      <w:szCs w:val="20"/>
    </w:rPr>
  </w:style>
  <w:style w:type="character" w:styleId="EndnoteReference">
    <w:name w:val="endnote reference"/>
    <w:basedOn w:val="DefaultParagraphFont"/>
    <w:uiPriority w:val="99"/>
    <w:semiHidden/>
    <w:unhideWhenUsed/>
    <w:rsid w:val="009502FE"/>
    <w:rPr>
      <w:vertAlign w:val="superscript"/>
    </w:rPr>
  </w:style>
  <w:style w:type="character" w:styleId="Hyperlink">
    <w:name w:val="Hyperlink"/>
    <w:basedOn w:val="DefaultParagraphFont"/>
    <w:uiPriority w:val="99"/>
    <w:unhideWhenUsed/>
    <w:rsid w:val="009502FE"/>
    <w:rPr>
      <w:color w:val="0000FF" w:themeColor="hyperlink"/>
      <w:u w:val="single"/>
    </w:rPr>
  </w:style>
  <w:style w:type="paragraph" w:customStyle="1" w:styleId="para">
    <w:name w:val="para"/>
    <w:basedOn w:val="Normal"/>
    <w:rsid w:val="004C38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9794">
      <w:bodyDiv w:val="1"/>
      <w:marLeft w:val="0"/>
      <w:marRight w:val="0"/>
      <w:marTop w:val="0"/>
      <w:marBottom w:val="0"/>
      <w:divBdr>
        <w:top w:val="none" w:sz="0" w:space="0" w:color="auto"/>
        <w:left w:val="none" w:sz="0" w:space="0" w:color="auto"/>
        <w:bottom w:val="none" w:sz="0" w:space="0" w:color="auto"/>
        <w:right w:val="none" w:sz="0" w:space="0" w:color="auto"/>
      </w:divBdr>
    </w:div>
    <w:div w:id="247619330">
      <w:bodyDiv w:val="1"/>
      <w:marLeft w:val="0"/>
      <w:marRight w:val="0"/>
      <w:marTop w:val="0"/>
      <w:marBottom w:val="0"/>
      <w:divBdr>
        <w:top w:val="none" w:sz="0" w:space="0" w:color="auto"/>
        <w:left w:val="none" w:sz="0" w:space="0" w:color="auto"/>
        <w:bottom w:val="none" w:sz="0" w:space="0" w:color="auto"/>
        <w:right w:val="none" w:sz="0" w:space="0" w:color="auto"/>
      </w:divBdr>
    </w:div>
    <w:div w:id="638846017">
      <w:bodyDiv w:val="1"/>
      <w:marLeft w:val="0"/>
      <w:marRight w:val="0"/>
      <w:marTop w:val="0"/>
      <w:marBottom w:val="0"/>
      <w:divBdr>
        <w:top w:val="none" w:sz="0" w:space="0" w:color="auto"/>
        <w:left w:val="none" w:sz="0" w:space="0" w:color="auto"/>
        <w:bottom w:val="none" w:sz="0" w:space="0" w:color="auto"/>
        <w:right w:val="none" w:sz="0" w:space="0" w:color="auto"/>
      </w:divBdr>
    </w:div>
    <w:div w:id="1100906407">
      <w:bodyDiv w:val="1"/>
      <w:marLeft w:val="0"/>
      <w:marRight w:val="0"/>
      <w:marTop w:val="0"/>
      <w:marBottom w:val="0"/>
      <w:divBdr>
        <w:top w:val="none" w:sz="0" w:space="0" w:color="auto"/>
        <w:left w:val="none" w:sz="0" w:space="0" w:color="auto"/>
        <w:bottom w:val="none" w:sz="0" w:space="0" w:color="auto"/>
        <w:right w:val="none" w:sz="0" w:space="0" w:color="auto"/>
      </w:divBdr>
    </w:div>
    <w:div w:id="1490289749">
      <w:bodyDiv w:val="1"/>
      <w:marLeft w:val="0"/>
      <w:marRight w:val="0"/>
      <w:marTop w:val="0"/>
      <w:marBottom w:val="0"/>
      <w:divBdr>
        <w:top w:val="none" w:sz="0" w:space="0" w:color="auto"/>
        <w:left w:val="none" w:sz="0" w:space="0" w:color="auto"/>
        <w:bottom w:val="none" w:sz="0" w:space="0" w:color="auto"/>
        <w:right w:val="none" w:sz="0" w:space="0" w:color="auto"/>
      </w:divBdr>
    </w:div>
    <w:div w:id="1599562010">
      <w:bodyDiv w:val="1"/>
      <w:marLeft w:val="0"/>
      <w:marRight w:val="0"/>
      <w:marTop w:val="0"/>
      <w:marBottom w:val="0"/>
      <w:divBdr>
        <w:top w:val="none" w:sz="0" w:space="0" w:color="auto"/>
        <w:left w:val="none" w:sz="0" w:space="0" w:color="auto"/>
        <w:bottom w:val="none" w:sz="0" w:space="0" w:color="auto"/>
        <w:right w:val="none" w:sz="0" w:space="0" w:color="auto"/>
      </w:divBdr>
    </w:div>
    <w:div w:id="181856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maine.gov/labor/cwri/county-economic-profiles/countyProfiles.html" TargetMode="External"/><Relationship Id="rId3" Type="http://schemas.openxmlformats.org/officeDocument/2006/relationships/hyperlink" Target="http://www.maine.gov/labor/cwri/publications/pdf/MaineTop50Employers.pdf" TargetMode="External"/><Relationship Id="rId7" Type="http://schemas.openxmlformats.org/officeDocument/2006/relationships/hyperlink" Target="http://eligibility.sc.egov.usda.gov/eligibility/welcomeAction.do" TargetMode="External"/><Relationship Id="rId2" Type="http://schemas.openxmlformats.org/officeDocument/2006/relationships/hyperlink" Target="http://www.maine.gov/dhhs/oads/docs/Employment-Policy-for-Individuals-Served.pdf" TargetMode="External"/><Relationship Id="rId1" Type="http://schemas.openxmlformats.org/officeDocument/2006/relationships/hyperlink" Target="http://www.mainelegislature.org/legis/bills/bills_126th/billtexts/SP047101.asp" TargetMode="External"/><Relationship Id="rId6" Type="http://schemas.openxmlformats.org/officeDocument/2006/relationships/hyperlink" Target="http://www.scseped.org/?q=tables&amp;SFIPS=20&amp;yearupload=4&amp;quarter=2" TargetMode="External"/><Relationship Id="rId5" Type="http://schemas.openxmlformats.org/officeDocument/2006/relationships/hyperlink" Target="http://www.maine.gov/labor/cwri/laus.html" TargetMode="External"/><Relationship Id="rId4" Type="http://schemas.openxmlformats.org/officeDocument/2006/relationships/hyperlink" Target="http://www.maine.gov/labor/cwri/publications/pdf/VeteransConferenceWorkforceTrend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latin typeface="Batang" panose="02030600000101010101" pitchFamily="18" charset="-127"/>
                <a:ea typeface="Batang" panose="02030600000101010101" pitchFamily="18" charset="-127"/>
              </a:defRPr>
            </a:pPr>
            <a:r>
              <a:rPr lang="en-US" sz="1600" b="1" i="0" u="none" strike="noStrike" baseline="0">
                <a:effectLst/>
                <a:latin typeface="Batang" panose="02030600000101010101" pitchFamily="18" charset="-127"/>
                <a:ea typeface="Batang" panose="02030600000101010101" pitchFamily="18" charset="-127"/>
              </a:rPr>
              <a:t>Current Employment Among Top 25 Employers by Industry</a:t>
            </a:r>
            <a:endParaRPr lang="en-US" sz="1600">
              <a:latin typeface="Batang" panose="02030600000101010101" pitchFamily="18" charset="-127"/>
              <a:ea typeface="Batang" panose="02030600000101010101" pitchFamily="18" charset="-127"/>
            </a:endParaRPr>
          </a:p>
        </c:rich>
      </c:tx>
      <c:overlay val="0"/>
    </c:title>
    <c:autoTitleDeleted val="0"/>
    <c:view3D>
      <c:rotX val="20"/>
      <c:rotY val="3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6.8817204301075269E-3"/>
                  <c:y val="-2.6628629760803615E-2"/>
                </c:manualLayout>
              </c:layout>
              <c:showLegendKey val="0"/>
              <c:showVal val="1"/>
              <c:showCatName val="0"/>
              <c:showSerName val="0"/>
              <c:showPercent val="0"/>
              <c:showBubbleSize val="0"/>
            </c:dLbl>
            <c:dLbl>
              <c:idx val="1"/>
              <c:layout>
                <c:manualLayout>
                  <c:x val="1.032258064516129E-2"/>
                  <c:y val="-1.9020449829145369E-2"/>
                </c:manualLayout>
              </c:layout>
              <c:showLegendKey val="0"/>
              <c:showVal val="1"/>
              <c:showCatName val="0"/>
              <c:showSerName val="0"/>
              <c:showPercent val="0"/>
              <c:showBubbleSize val="0"/>
            </c:dLbl>
            <c:dLbl>
              <c:idx val="2"/>
              <c:layout>
                <c:manualLayout>
                  <c:x val="6.8817204301075269E-3"/>
                  <c:y val="-2.6628629760803615E-2"/>
                </c:manualLayout>
              </c:layout>
              <c:showLegendKey val="0"/>
              <c:showVal val="1"/>
              <c:showCatName val="0"/>
              <c:showSerName val="0"/>
              <c:showPercent val="0"/>
              <c:showBubbleSize val="0"/>
            </c:dLbl>
            <c:dLbl>
              <c:idx val="3"/>
              <c:layout>
                <c:manualLayout>
                  <c:x val="1.7204301075268817E-2"/>
                  <c:y val="-1.9020449829145421E-2"/>
                </c:manualLayout>
              </c:layout>
              <c:showLegendKey val="0"/>
              <c:showVal val="1"/>
              <c:showCatName val="0"/>
              <c:showSerName val="0"/>
              <c:showPercent val="0"/>
              <c:showBubbleSize val="0"/>
            </c:dLbl>
            <c:dLbl>
              <c:idx val="4"/>
              <c:layout>
                <c:manualLayout>
                  <c:x val="1.8924731182795699E-2"/>
                  <c:y val="-1.5216359863316351E-2"/>
                </c:manualLayout>
              </c:layout>
              <c:showLegendKey val="0"/>
              <c:showVal val="1"/>
              <c:showCatName val="0"/>
              <c:showSerName val="0"/>
              <c:showPercent val="0"/>
              <c:showBubbleSize val="0"/>
            </c:dLbl>
            <c:dLbl>
              <c:idx val="5"/>
              <c:layout>
                <c:manualLayout>
                  <c:x val="1.3763440860215054E-2"/>
                  <c:y val="-1.1412269897487195E-2"/>
                </c:manualLayout>
              </c:layout>
              <c:showLegendKey val="0"/>
              <c:showVal val="1"/>
              <c:showCatName val="0"/>
              <c:showSerName val="0"/>
              <c:showPercent val="0"/>
              <c:showBubbleSize val="0"/>
            </c:dLbl>
            <c:dLbl>
              <c:idx val="6"/>
              <c:layout>
                <c:manualLayout>
                  <c:x val="1.8924731182795699E-2"/>
                  <c:y val="-1.5216359863316351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'Maine Top 50 Private Employers'!$J$3:$P$3</c:f>
              <c:strCache>
                <c:ptCount val="7"/>
                <c:pt idx="0">
                  <c:v>Biotech - 1</c:v>
                </c:pt>
                <c:pt idx="1">
                  <c:v>Education - 2</c:v>
                </c:pt>
                <c:pt idx="2">
                  <c:v>Manufacturing - 2</c:v>
                </c:pt>
                <c:pt idx="3">
                  <c:v>Retail - 8</c:v>
                </c:pt>
                <c:pt idx="4">
                  <c:v>Healthcare - 8</c:v>
                </c:pt>
                <c:pt idx="5">
                  <c:v>Banking - 1</c:v>
                </c:pt>
                <c:pt idx="6">
                  <c:v>Social Services - 1</c:v>
                </c:pt>
              </c:strCache>
            </c:strRef>
          </c:cat>
          <c:val>
            <c:numRef>
              <c:f>'Maine Top 50 Private Employers'!$J$4:$P$4</c:f>
              <c:numCache>
                <c:formatCode>General</c:formatCode>
                <c:ptCount val="7"/>
                <c:pt idx="0">
                  <c:v>1000</c:v>
                </c:pt>
                <c:pt idx="1">
                  <c:v>2000</c:v>
                </c:pt>
                <c:pt idx="2">
                  <c:v>7000</c:v>
                </c:pt>
                <c:pt idx="3">
                  <c:v>25000</c:v>
                </c:pt>
                <c:pt idx="4">
                  <c:v>21000</c:v>
                </c:pt>
                <c:pt idx="5">
                  <c:v>3000</c:v>
                </c:pt>
                <c:pt idx="6">
                  <c:v>1000</c:v>
                </c:pt>
              </c:numCache>
            </c:numRef>
          </c:val>
        </c:ser>
        <c:dLbls>
          <c:showLegendKey val="0"/>
          <c:showVal val="0"/>
          <c:showCatName val="0"/>
          <c:showSerName val="0"/>
          <c:showPercent val="0"/>
          <c:showBubbleSize val="0"/>
        </c:dLbls>
        <c:gapWidth val="150"/>
        <c:shape val="box"/>
        <c:axId val="139294208"/>
        <c:axId val="139295744"/>
        <c:axId val="0"/>
      </c:bar3DChart>
      <c:catAx>
        <c:axId val="139294208"/>
        <c:scaling>
          <c:orientation val="minMax"/>
        </c:scaling>
        <c:delete val="0"/>
        <c:axPos val="b"/>
        <c:majorTickMark val="out"/>
        <c:minorTickMark val="none"/>
        <c:tickLblPos val="nextTo"/>
        <c:txPr>
          <a:bodyPr/>
          <a:lstStyle/>
          <a:p>
            <a:pPr>
              <a:defRPr b="1">
                <a:latin typeface="Batang" panose="02030600000101010101" pitchFamily="18" charset="-127"/>
                <a:ea typeface="Batang" panose="02030600000101010101" pitchFamily="18" charset="-127"/>
              </a:defRPr>
            </a:pPr>
            <a:endParaRPr lang="en-US"/>
          </a:p>
        </c:txPr>
        <c:crossAx val="139295744"/>
        <c:crosses val="autoZero"/>
        <c:auto val="1"/>
        <c:lblAlgn val="ctr"/>
        <c:lblOffset val="100"/>
        <c:noMultiLvlLbl val="0"/>
      </c:catAx>
      <c:valAx>
        <c:axId val="139295744"/>
        <c:scaling>
          <c:orientation val="minMax"/>
        </c:scaling>
        <c:delete val="0"/>
        <c:axPos val="l"/>
        <c:numFmt formatCode="General" sourceLinked="1"/>
        <c:majorTickMark val="out"/>
        <c:minorTickMark val="none"/>
        <c:tickLblPos val="nextTo"/>
        <c:crossAx val="1392942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Maine Population</a:t>
            </a:r>
            <a:r>
              <a:rPr lang="en-US" sz="1400" baseline="0"/>
              <a:t> Breakdown</a:t>
            </a:r>
          </a:p>
          <a:p>
            <a:pPr>
              <a:defRPr/>
            </a:pPr>
            <a:r>
              <a:rPr lang="en-US" sz="1050" b="0" baseline="0"/>
              <a:t>~All minority groups at 2% or less</a:t>
            </a:r>
            <a:endParaRPr lang="en-US" sz="1050" b="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elete val="1"/>
          </c:dLbls>
          <c:cat>
            <c:strRef>
              <c:f>Sheet1!$A$3:$A$10</c:f>
              <c:strCache>
                <c:ptCount val="8"/>
                <c:pt idx="0">
                  <c:v>White</c:v>
                </c:pt>
                <c:pt idx="1">
                  <c:v>Two or More Races</c:v>
                </c:pt>
                <c:pt idx="2">
                  <c:v>Hispanic or Latino</c:v>
                </c:pt>
                <c:pt idx="3">
                  <c:v>Black or African American</c:v>
                </c:pt>
                <c:pt idx="4">
                  <c:v>Asian</c:v>
                </c:pt>
                <c:pt idx="5">
                  <c:v>Native American</c:v>
                </c:pt>
                <c:pt idx="6">
                  <c:v>Some Other Race</c:v>
                </c:pt>
                <c:pt idx="7">
                  <c:v>Native Hawaiian or Pacific Islander</c:v>
                </c:pt>
              </c:strCache>
            </c:strRef>
          </c:cat>
          <c:val>
            <c:numRef>
              <c:f>Sheet1!$B$3:$B$10</c:f>
              <c:numCache>
                <c:formatCode>#,##0</c:formatCode>
                <c:ptCount val="8"/>
                <c:pt idx="0">
                  <c:v>1264971</c:v>
                </c:pt>
                <c:pt idx="1">
                  <c:v>22148</c:v>
                </c:pt>
                <c:pt idx="2">
                  <c:v>16935</c:v>
                </c:pt>
                <c:pt idx="3">
                  <c:v>15707</c:v>
                </c:pt>
                <c:pt idx="4">
                  <c:v>13571</c:v>
                </c:pt>
                <c:pt idx="5">
                  <c:v>8568</c:v>
                </c:pt>
                <c:pt idx="6">
                  <c:v>4261</c:v>
                </c:pt>
                <c:pt idx="7" formatCode="General">
                  <c:v>457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9525">
      <a:solidFill>
        <a:schemeClr val="tx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Sheet1!$E$1</c:f>
              <c:strCache>
                <c:ptCount val="1"/>
                <c:pt idx="0">
                  <c:v>Age 65 &amp; Over Living in Poverty</c:v>
                </c:pt>
              </c:strCache>
            </c:strRef>
          </c:tx>
          <c:invertIfNegative val="0"/>
          <c:dLbls>
            <c:dLbl>
              <c:idx val="0"/>
              <c:layout>
                <c:manualLayout>
                  <c:x val="4.1840999589167508E-3"/>
                  <c:y val="0"/>
                </c:manualLayout>
              </c:layout>
              <c:showLegendKey val="0"/>
              <c:showVal val="1"/>
              <c:showCatName val="0"/>
              <c:showSerName val="0"/>
              <c:showPercent val="0"/>
              <c:showBubbleSize val="0"/>
            </c:dLbl>
            <c:dLbl>
              <c:idx val="1"/>
              <c:layout>
                <c:manualLayout>
                  <c:x val="4.1840999589167508E-3"/>
                  <c:y val="-3.5366931918656055E-3"/>
                </c:manualLayout>
              </c:layout>
              <c:showLegendKey val="0"/>
              <c:showVal val="1"/>
              <c:showCatName val="0"/>
              <c:showSerName val="0"/>
              <c:showPercent val="0"/>
              <c:showBubbleSize val="0"/>
            </c:dLbl>
            <c:dLbl>
              <c:idx val="2"/>
              <c:layout>
                <c:manualLayout>
                  <c:x val="6.9734999315278923E-3"/>
                  <c:y val="0"/>
                </c:manualLayout>
              </c:layout>
              <c:showLegendKey val="0"/>
              <c:showVal val="1"/>
              <c:showCatName val="0"/>
              <c:showSerName val="0"/>
              <c:showPercent val="0"/>
              <c:showBubbleSize val="0"/>
            </c:dLbl>
            <c:dLbl>
              <c:idx val="3"/>
              <c:layout>
                <c:manualLayout>
                  <c:x val="6.9734999315279184E-3"/>
                  <c:y val="-3.5366931918656055E-3"/>
                </c:manualLayout>
              </c:layout>
              <c:showLegendKey val="0"/>
              <c:showVal val="1"/>
              <c:showCatName val="0"/>
              <c:showSerName val="0"/>
              <c:showPercent val="0"/>
              <c:showBubbleSize val="0"/>
            </c:dLbl>
            <c:dLbl>
              <c:idx val="4"/>
              <c:layout>
                <c:manualLayout>
                  <c:x val="4.1840999589167508E-3"/>
                  <c:y val="-7.073386383731211E-3"/>
                </c:manualLayout>
              </c:layout>
              <c:showLegendKey val="0"/>
              <c:showVal val="1"/>
              <c:showCatName val="0"/>
              <c:showSerName val="0"/>
              <c:showPercent val="0"/>
              <c:showBubbleSize val="0"/>
            </c:dLbl>
            <c:dLbl>
              <c:idx val="5"/>
              <c:layout>
                <c:manualLayout>
                  <c:x val="4.1840999589167508E-3"/>
                  <c:y val="3.2419313081430219E-17"/>
                </c:manualLayout>
              </c:layout>
              <c:showLegendKey val="0"/>
              <c:showVal val="1"/>
              <c:showCatName val="0"/>
              <c:showSerName val="0"/>
              <c:showPercent val="0"/>
              <c:showBubbleSize val="0"/>
            </c:dLbl>
            <c:dLbl>
              <c:idx val="6"/>
              <c:layout>
                <c:manualLayout>
                  <c:x val="5.5787999452223342E-3"/>
                  <c:y val="-1.0610079575596816E-2"/>
                </c:manualLayout>
              </c:layout>
              <c:showLegendKey val="0"/>
              <c:showVal val="1"/>
              <c:showCatName val="0"/>
              <c:showSerName val="0"/>
              <c:showPercent val="0"/>
              <c:showBubbleSize val="0"/>
            </c:dLbl>
            <c:dLbl>
              <c:idx val="7"/>
              <c:layout>
                <c:manualLayout>
                  <c:x val="4.1840999589167508E-3"/>
                  <c:y val="-7.073386383731211E-3"/>
                </c:manualLayout>
              </c:layout>
              <c:showLegendKey val="0"/>
              <c:showVal val="1"/>
              <c:showCatName val="0"/>
              <c:showSerName val="0"/>
              <c:showPercent val="0"/>
              <c:showBubbleSize val="0"/>
            </c:dLbl>
            <c:dLbl>
              <c:idx val="8"/>
              <c:layout>
                <c:manualLayout>
                  <c:x val="4.1840999589167508E-3"/>
                  <c:y val="-7.073386383731211E-3"/>
                </c:manualLayout>
              </c:layout>
              <c:showLegendKey val="0"/>
              <c:showVal val="1"/>
              <c:showCatName val="0"/>
              <c:showSerName val="0"/>
              <c:showPercent val="0"/>
              <c:showBubbleSize val="0"/>
            </c:dLbl>
            <c:dLbl>
              <c:idx val="9"/>
              <c:layout>
                <c:manualLayout>
                  <c:x val="2.7893999726111671E-3"/>
                  <c:y val="-3.5366931918655734E-3"/>
                </c:manualLayout>
              </c:layout>
              <c:showLegendKey val="0"/>
              <c:showVal val="1"/>
              <c:showCatName val="0"/>
              <c:showSerName val="0"/>
              <c:showPercent val="0"/>
              <c:showBubbleSize val="0"/>
            </c:dLbl>
            <c:dLbl>
              <c:idx val="10"/>
              <c:layout>
                <c:manualLayout>
                  <c:x val="5.5787999452223342E-3"/>
                  <c:y val="-3.5366931918656055E-3"/>
                </c:manualLayout>
              </c:layout>
              <c:showLegendKey val="0"/>
              <c:showVal val="1"/>
              <c:showCatName val="0"/>
              <c:showSerName val="0"/>
              <c:showPercent val="0"/>
              <c:showBubbleSize val="0"/>
            </c:dLbl>
            <c:dLbl>
              <c:idx val="11"/>
              <c:layout>
                <c:manualLayout>
                  <c:x val="4.1840999589167508E-3"/>
                  <c:y val="-7.0733863837312274E-3"/>
                </c:manualLayout>
              </c:layout>
              <c:showLegendKey val="0"/>
              <c:showVal val="1"/>
              <c:showCatName val="0"/>
              <c:showSerName val="0"/>
              <c:showPercent val="0"/>
              <c:showBubbleSize val="0"/>
            </c:dLbl>
            <c:dLbl>
              <c:idx val="12"/>
              <c:layout>
                <c:manualLayout>
                  <c:x val="4.1840999589167508E-3"/>
                  <c:y val="-3.5366931918656705E-3"/>
                </c:manualLayout>
              </c:layout>
              <c:showLegendKey val="0"/>
              <c:showVal val="1"/>
              <c:showCatName val="0"/>
              <c:showSerName val="0"/>
              <c:showPercent val="0"/>
              <c:showBubbleSize val="0"/>
            </c:dLbl>
            <c:dLbl>
              <c:idx val="13"/>
              <c:layout>
                <c:manualLayout>
                  <c:x val="4.1840999589167508E-3"/>
                  <c:y val="-3.5366931918656055E-3"/>
                </c:manualLayout>
              </c:layout>
              <c:showLegendKey val="0"/>
              <c:showVal val="1"/>
              <c:showCatName val="0"/>
              <c:showSerName val="0"/>
              <c:showPercent val="0"/>
              <c:showBubbleSize val="0"/>
            </c:dLbl>
            <c:dLbl>
              <c:idx val="14"/>
              <c:layout>
                <c:manualLayout>
                  <c:x val="4.1840999589167508E-3"/>
                  <c:y val="-7.0733863837312153E-3"/>
                </c:manualLayout>
              </c:layout>
              <c:showLegendKey val="0"/>
              <c:showVal val="1"/>
              <c:showCatName val="0"/>
              <c:showSerName val="0"/>
              <c:showPercent val="0"/>
              <c:showBubbleSize val="0"/>
            </c:dLbl>
            <c:dLbl>
              <c:idx val="15"/>
              <c:layout>
                <c:manualLayout>
                  <c:x val="5.5787999452223342E-3"/>
                  <c:y val="-7.073386383731211E-3"/>
                </c:manualLayout>
              </c:layout>
              <c:showLegendKey val="0"/>
              <c:showVal val="1"/>
              <c:showCatName val="0"/>
              <c:showSerName val="0"/>
              <c:showPercent val="0"/>
              <c:showBubbleSize val="0"/>
            </c:dLbl>
            <c:dLbl>
              <c:idx val="16"/>
              <c:layout>
                <c:manualLayout>
                  <c:x val="4.1840999589168532E-3"/>
                  <c:y val="-1.0610079575596816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Sheet1!$D$2:$D$17</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Sheet1!$E$2:$E$17</c:f>
              <c:numCache>
                <c:formatCode>0.0%</c:formatCode>
                <c:ptCount val="16"/>
                <c:pt idx="0">
                  <c:v>9.4E-2</c:v>
                </c:pt>
                <c:pt idx="1">
                  <c:v>0.13500000000000001</c:v>
                </c:pt>
                <c:pt idx="2">
                  <c:v>7.6999999999999999E-2</c:v>
                </c:pt>
                <c:pt idx="3">
                  <c:v>6.7000000000000004E-2</c:v>
                </c:pt>
                <c:pt idx="4">
                  <c:v>8.2000000000000003E-2</c:v>
                </c:pt>
                <c:pt idx="5">
                  <c:v>7.2999999999999995E-2</c:v>
                </c:pt>
                <c:pt idx="6">
                  <c:v>5.8000000000000003E-2</c:v>
                </c:pt>
                <c:pt idx="7">
                  <c:v>5.0999999999999997E-2</c:v>
                </c:pt>
                <c:pt idx="8">
                  <c:v>8.8999999999999996E-2</c:v>
                </c:pt>
                <c:pt idx="9">
                  <c:v>9.4E-2</c:v>
                </c:pt>
                <c:pt idx="10">
                  <c:v>0.114</c:v>
                </c:pt>
                <c:pt idx="11">
                  <c:v>3.3000000000000002E-2</c:v>
                </c:pt>
                <c:pt idx="12">
                  <c:v>9.6000000000000002E-2</c:v>
                </c:pt>
                <c:pt idx="13">
                  <c:v>0.13600000000000001</c:v>
                </c:pt>
                <c:pt idx="14">
                  <c:v>0.13300000000000001</c:v>
                </c:pt>
                <c:pt idx="15">
                  <c:v>6.5000000000000002E-2</c:v>
                </c:pt>
              </c:numCache>
            </c:numRef>
          </c:val>
        </c:ser>
        <c:dLbls>
          <c:showLegendKey val="0"/>
          <c:showVal val="1"/>
          <c:showCatName val="0"/>
          <c:showSerName val="0"/>
          <c:showPercent val="0"/>
          <c:showBubbleSize val="0"/>
        </c:dLbls>
        <c:gapWidth val="75"/>
        <c:shape val="box"/>
        <c:axId val="153646592"/>
        <c:axId val="153661824"/>
        <c:axId val="0"/>
      </c:bar3DChart>
      <c:catAx>
        <c:axId val="153646592"/>
        <c:scaling>
          <c:orientation val="minMax"/>
        </c:scaling>
        <c:delete val="0"/>
        <c:axPos val="b"/>
        <c:majorTickMark val="none"/>
        <c:minorTickMark val="none"/>
        <c:tickLblPos val="nextTo"/>
        <c:crossAx val="153661824"/>
        <c:crosses val="autoZero"/>
        <c:auto val="1"/>
        <c:lblAlgn val="ctr"/>
        <c:lblOffset val="100"/>
        <c:noMultiLvlLbl val="0"/>
      </c:catAx>
      <c:valAx>
        <c:axId val="153661824"/>
        <c:scaling>
          <c:orientation val="minMax"/>
        </c:scaling>
        <c:delete val="0"/>
        <c:axPos val="l"/>
        <c:numFmt formatCode="0.0%" sourceLinked="1"/>
        <c:majorTickMark val="none"/>
        <c:minorTickMark val="none"/>
        <c:tickLblPos val="nextTo"/>
        <c:crossAx val="15364659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0.32105</cdr:x>
      <cdr:y>0.55658</cdr:y>
    </cdr:from>
    <cdr:to>
      <cdr:x>0.39468</cdr:x>
      <cdr:y>0.63899</cdr:y>
    </cdr:to>
    <cdr:sp macro="" textlink="">
      <cdr:nvSpPr>
        <cdr:cNvPr id="2" name="TextBox 1"/>
        <cdr:cNvSpPr txBox="1"/>
      </cdr:nvSpPr>
      <cdr:spPr>
        <a:xfrm xmlns:a="http://schemas.openxmlformats.org/drawingml/2006/main">
          <a:off x="1908222" y="1620108"/>
          <a:ext cx="437627" cy="2398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b="1"/>
            <a:t>94%</a:t>
          </a:r>
        </a:p>
      </cdr:txBody>
    </cdr:sp>
  </cdr:relSizeAnchor>
</c:userShapes>
</file>

<file path=word/drawings/drawing2.xml><?xml version="1.0" encoding="utf-8"?>
<c:userShapes xmlns:c="http://schemas.openxmlformats.org/drawingml/2006/chart">
  <cdr:relSizeAnchor xmlns:cdr="http://schemas.openxmlformats.org/drawingml/2006/chartDrawing">
    <cdr:from>
      <cdr:x>0.26103</cdr:x>
      <cdr:y>0.07618</cdr:y>
    </cdr:from>
    <cdr:to>
      <cdr:x>0.48279</cdr:x>
      <cdr:y>0.18493</cdr:y>
    </cdr:to>
    <cdr:sp macro="" textlink="">
      <cdr:nvSpPr>
        <cdr:cNvPr id="2" name="TextBox 1"/>
        <cdr:cNvSpPr txBox="1"/>
      </cdr:nvSpPr>
      <cdr:spPr>
        <a:xfrm xmlns:a="http://schemas.openxmlformats.org/drawingml/2006/main">
          <a:off x="1609653" y="238093"/>
          <a:ext cx="1367480" cy="3398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Age 65 &amp; Over: Living in Poverty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D99FF-049D-443F-AF43-9A79EA4B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4219</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28216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State Plan</dc:subject>
  <dc:creator>Collins, David</dc:creator>
  <cp:lastModifiedBy>Sturtevant, Lisa D</cp:lastModifiedBy>
  <cp:revision>2</cp:revision>
  <cp:lastPrinted>2016-03-08T17:55:00Z</cp:lastPrinted>
  <dcterms:created xsi:type="dcterms:W3CDTF">2016-04-01T15:37:00Z</dcterms:created>
  <dcterms:modified xsi:type="dcterms:W3CDTF">2016-04-01T15:37:00Z</dcterms:modified>
</cp:coreProperties>
</file>