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2957A1" w:rsidRPr="002957A1" w:rsidRDefault="002957A1" w:rsidP="002957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  <w:r w:rsidRPr="002957A1">
        <w:rPr>
          <w:rFonts w:ascii="Arial" w:hAnsi="Arial" w:cs="Arial"/>
          <w:b/>
          <w:szCs w:val="24"/>
          <w:u w:val="single"/>
        </w:rPr>
        <w:t>Decline and Voluntary Termination of Home and Community Based Waiver Services</w:t>
      </w:r>
    </w:p>
    <w:p w:rsidR="002957A1" w:rsidRPr="002957A1" w:rsidRDefault="002957A1" w:rsidP="002957A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  <w:u w:val="single"/>
        </w:rPr>
      </w:pPr>
    </w:p>
    <w:p w:rsidR="002957A1" w:rsidRPr="002957A1" w:rsidRDefault="002957A1" w:rsidP="002957A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  <w:u w:val="single"/>
        </w:rPr>
      </w:pPr>
    </w:p>
    <w:p w:rsidR="002957A1" w:rsidRPr="002957A1" w:rsidRDefault="002957A1" w:rsidP="002957A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  <w:u w:val="single"/>
        </w:rPr>
      </w:pPr>
    </w:p>
    <w:sdt>
      <w:sdtPr>
        <w:rPr>
          <w:rFonts w:ascii="Arial" w:hAnsi="Arial" w:cs="Arial"/>
          <w:b/>
          <w:szCs w:val="24"/>
          <w:u w:val="single"/>
        </w:rPr>
        <w:id w:val="-1095011272"/>
        <w:placeholder>
          <w:docPart w:val="83DC75E319194F4B9715B4049DA8A57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957A1" w:rsidRPr="002957A1" w:rsidRDefault="002957A1" w:rsidP="002957A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Cs w:val="24"/>
              <w:u w:val="single"/>
            </w:rPr>
          </w:pPr>
          <w:r w:rsidRPr="002957A1">
            <w:rPr>
              <w:rFonts w:ascii="Arial" w:hAnsi="Arial" w:cs="Arial"/>
              <w:color w:val="808080"/>
              <w:szCs w:val="24"/>
            </w:rPr>
            <w:t>Click or tap to enter a date.</w:t>
          </w:r>
        </w:p>
      </w:sdtContent>
    </w:sdt>
    <w:p w:rsidR="002957A1" w:rsidRPr="002957A1" w:rsidRDefault="002957A1" w:rsidP="002957A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  <w:u w:val="single"/>
        </w:rPr>
      </w:pPr>
    </w:p>
    <w:p w:rsidR="002957A1" w:rsidRPr="002957A1" w:rsidRDefault="002957A1" w:rsidP="002957A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  <w:u w:val="single"/>
        </w:rPr>
      </w:pPr>
    </w:p>
    <w:p w:rsidR="002957A1" w:rsidRPr="002957A1" w:rsidRDefault="002957A1" w:rsidP="002957A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  <w:u w:val="single"/>
        </w:rPr>
      </w:pPr>
    </w:p>
    <w:p w:rsidR="002957A1" w:rsidRPr="002957A1" w:rsidRDefault="002957A1" w:rsidP="002957A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2957A1">
        <w:rPr>
          <w:rFonts w:ascii="Arial" w:hAnsi="Arial" w:cs="Arial"/>
          <w:szCs w:val="24"/>
        </w:rPr>
        <w:t xml:space="preserve">I/on behalf of, </w:t>
      </w:r>
      <w:sdt>
        <w:sdtPr>
          <w:rPr>
            <w:rFonts w:ascii="Arial" w:hAnsi="Arial" w:cs="Arial"/>
            <w:szCs w:val="24"/>
          </w:rPr>
          <w:alias w:val="Member Name"/>
          <w:tag w:val="Member Name"/>
          <w:id w:val="-491260563"/>
          <w:placeholder>
            <w:docPart w:val="EADAC10CB04040E8A2952ED0AD8E03B5"/>
          </w:placeholder>
          <w:showingPlcHdr/>
        </w:sdtPr>
        <w:sdtEndPr/>
        <w:sdtContent>
          <w:bookmarkStart w:id="0" w:name="_GoBack"/>
          <w:r w:rsidRPr="002957A1">
            <w:rPr>
              <w:rFonts w:ascii="Arial" w:hAnsi="Arial" w:cs="Arial"/>
              <w:color w:val="808080"/>
              <w:szCs w:val="24"/>
            </w:rPr>
            <w:t>Click or tap here to enter text.</w:t>
          </w:r>
          <w:bookmarkEnd w:id="0"/>
        </w:sdtContent>
      </w:sdt>
      <w:r w:rsidRPr="002957A1">
        <w:rPr>
          <w:rFonts w:ascii="Arial" w:hAnsi="Arial" w:cs="Arial"/>
          <w:szCs w:val="24"/>
        </w:rPr>
        <w:t xml:space="preserve"> EIS#: </w:t>
      </w:r>
      <w:sdt>
        <w:sdtPr>
          <w:rPr>
            <w:rFonts w:ascii="Arial" w:hAnsi="Arial" w:cs="Arial"/>
            <w:szCs w:val="24"/>
          </w:rPr>
          <w:id w:val="782535623"/>
          <w:placeholder>
            <w:docPart w:val="EADAC10CB04040E8A2952ED0AD8E03B5"/>
          </w:placeholder>
          <w:showingPlcHdr/>
        </w:sdtPr>
        <w:sdtEndPr/>
        <w:sdtContent>
          <w:r w:rsidRPr="002957A1">
            <w:rPr>
              <w:rFonts w:ascii="Arial" w:hAnsi="Arial" w:cs="Arial"/>
              <w:color w:val="808080"/>
              <w:szCs w:val="24"/>
            </w:rPr>
            <w:t>Click or tap here to enter text.</w:t>
          </w:r>
        </w:sdtContent>
      </w:sdt>
      <w:r w:rsidRPr="002957A1">
        <w:rPr>
          <w:rFonts w:ascii="Arial" w:hAnsi="Arial" w:cs="Arial"/>
          <w:szCs w:val="24"/>
        </w:rPr>
        <w:t xml:space="preserve"> MainCare ID#</w:t>
      </w:r>
      <w:sdt>
        <w:sdtPr>
          <w:rPr>
            <w:rFonts w:ascii="Arial" w:hAnsi="Arial" w:cs="Arial"/>
            <w:szCs w:val="24"/>
          </w:rPr>
          <w:id w:val="1116178284"/>
          <w:placeholder>
            <w:docPart w:val="EADAC10CB04040E8A2952ED0AD8E03B5"/>
          </w:placeholder>
          <w:showingPlcHdr/>
        </w:sdtPr>
        <w:sdtEndPr/>
        <w:sdtContent>
          <w:r w:rsidRPr="002957A1">
            <w:rPr>
              <w:rFonts w:ascii="Arial" w:hAnsi="Arial" w:cs="Arial"/>
              <w:color w:val="808080"/>
              <w:szCs w:val="24"/>
            </w:rPr>
            <w:t>Click or tap here to enter text.</w:t>
          </w:r>
        </w:sdtContent>
      </w:sdt>
      <w:r w:rsidRPr="002957A1">
        <w:rPr>
          <w:rFonts w:ascii="Arial" w:hAnsi="Arial" w:cs="Arial"/>
          <w:szCs w:val="24"/>
        </w:rPr>
        <w:t xml:space="preserve"> </w:t>
      </w:r>
    </w:p>
    <w:p w:rsidR="002957A1" w:rsidRPr="002957A1" w:rsidRDefault="002957A1" w:rsidP="002957A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:rsidR="002957A1" w:rsidRPr="002957A1" w:rsidRDefault="0000444C" w:rsidP="002957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9820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7A1" w:rsidRPr="002957A1">
            <w:rPr>
              <w:rFonts w:ascii="Arial" w:eastAsia="MS Gothic" w:hAnsi="Arial" w:cs="Arial" w:hint="eastAsia"/>
              <w:szCs w:val="24"/>
            </w:rPr>
            <w:t>☐</w:t>
          </w:r>
        </w:sdtContent>
      </w:sdt>
      <w:r w:rsidR="002957A1" w:rsidRPr="002957A1">
        <w:rPr>
          <w:rFonts w:ascii="Arial" w:hAnsi="Arial" w:cs="Arial"/>
          <w:szCs w:val="24"/>
        </w:rPr>
        <w:t xml:space="preserve"> </w:t>
      </w:r>
      <w:r w:rsidR="002957A1" w:rsidRPr="002957A1">
        <w:rPr>
          <w:rFonts w:ascii="Arial" w:hAnsi="Arial" w:cs="Arial"/>
          <w:b/>
          <w:szCs w:val="24"/>
        </w:rPr>
        <w:t>Decline Participation in</w:t>
      </w:r>
      <w:r w:rsidR="002957A1" w:rsidRPr="002957A1">
        <w:rPr>
          <w:rFonts w:ascii="Arial" w:hAnsi="Arial" w:cs="Arial"/>
          <w:szCs w:val="24"/>
        </w:rPr>
        <w:t xml:space="preserve">          </w:t>
      </w:r>
      <w:sdt>
        <w:sdtPr>
          <w:rPr>
            <w:rFonts w:ascii="Arial" w:hAnsi="Arial" w:cs="Arial"/>
            <w:szCs w:val="24"/>
          </w:rPr>
          <w:id w:val="-123846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7A1" w:rsidRPr="002957A1">
            <w:rPr>
              <w:rFonts w:ascii="Arial" w:eastAsia="MS Gothic" w:hAnsi="Arial" w:cs="Arial" w:hint="eastAsia"/>
              <w:szCs w:val="24"/>
            </w:rPr>
            <w:t>☐</w:t>
          </w:r>
        </w:sdtContent>
      </w:sdt>
      <w:r w:rsidR="002957A1" w:rsidRPr="002957A1">
        <w:rPr>
          <w:rFonts w:ascii="Arial" w:hAnsi="Arial" w:cs="Arial"/>
          <w:szCs w:val="24"/>
        </w:rPr>
        <w:t xml:space="preserve"> </w:t>
      </w:r>
      <w:r w:rsidR="002957A1" w:rsidRPr="002957A1">
        <w:rPr>
          <w:rFonts w:ascii="Arial" w:hAnsi="Arial" w:cs="Arial"/>
          <w:b/>
          <w:szCs w:val="24"/>
        </w:rPr>
        <w:t>Voluntary Terminate Participation in</w:t>
      </w:r>
    </w:p>
    <w:p w:rsidR="002957A1" w:rsidRPr="002957A1" w:rsidRDefault="002957A1" w:rsidP="002957A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:rsidR="002957A1" w:rsidRPr="002957A1" w:rsidRDefault="002957A1" w:rsidP="002957A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</w:p>
    <w:p w:rsidR="002957A1" w:rsidRPr="002957A1" w:rsidRDefault="0000444C" w:rsidP="002957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33395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7A1" w:rsidRPr="002957A1">
            <w:rPr>
              <w:rFonts w:ascii="Arial" w:eastAsia="MS Gothic" w:hAnsi="Arial" w:cs="Arial" w:hint="eastAsia"/>
              <w:szCs w:val="24"/>
            </w:rPr>
            <w:t>☐</w:t>
          </w:r>
        </w:sdtContent>
      </w:sdt>
      <w:r w:rsidR="002957A1" w:rsidRPr="002957A1">
        <w:rPr>
          <w:rFonts w:ascii="Arial" w:hAnsi="Arial" w:cs="Arial"/>
          <w:szCs w:val="24"/>
        </w:rPr>
        <w:t>Section 21 Home and Community Based Waiver</w:t>
      </w:r>
    </w:p>
    <w:p w:rsidR="002957A1" w:rsidRPr="002957A1" w:rsidRDefault="0000444C" w:rsidP="002957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63440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7A1" w:rsidRPr="002957A1">
            <w:rPr>
              <w:rFonts w:ascii="Arial" w:eastAsia="MS Gothic" w:hAnsi="Arial" w:cs="Arial" w:hint="eastAsia"/>
              <w:szCs w:val="24"/>
            </w:rPr>
            <w:t>☐</w:t>
          </w:r>
        </w:sdtContent>
      </w:sdt>
      <w:r w:rsidR="002957A1" w:rsidRPr="002957A1">
        <w:rPr>
          <w:rFonts w:ascii="Arial" w:hAnsi="Arial" w:cs="Arial"/>
          <w:szCs w:val="24"/>
        </w:rPr>
        <w:t>Section 29 Home and Community Based Waiver</w:t>
      </w: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2957A1" w:rsidRPr="002957A1" w:rsidRDefault="002957A1" w:rsidP="002957A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u w:val="single"/>
        </w:rPr>
      </w:pPr>
      <w:r w:rsidRPr="002957A1">
        <w:rPr>
          <w:rFonts w:ascii="Arial" w:hAnsi="Arial" w:cs="Arial"/>
          <w:b/>
          <w:szCs w:val="24"/>
          <w:u w:val="single"/>
        </w:rPr>
        <w:t>Declining Waiver Services</w:t>
      </w:r>
    </w:p>
    <w:p w:rsidR="002957A1" w:rsidRPr="002957A1" w:rsidRDefault="002957A1" w:rsidP="002957A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u w:val="single"/>
        </w:rPr>
      </w:pP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2957A1">
        <w:rPr>
          <w:rFonts w:ascii="Arial" w:hAnsi="Arial" w:cs="Arial"/>
          <w:szCs w:val="24"/>
        </w:rPr>
        <w:t xml:space="preserve">The applicant’s name will be removed from the waiting list for the MaineCare waiver program(s) noted above. However, certain services including Case Management and Person-Centered Planning will not be affected by this decision. </w:t>
      </w: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957A1" w:rsidRPr="002957A1" w:rsidRDefault="002957A1" w:rsidP="002957A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u w:val="single"/>
        </w:rPr>
      </w:pPr>
      <w:r w:rsidRPr="002957A1">
        <w:rPr>
          <w:rFonts w:ascii="Arial" w:hAnsi="Arial" w:cs="Arial"/>
          <w:b/>
          <w:szCs w:val="24"/>
          <w:u w:val="single"/>
        </w:rPr>
        <w:t>Voluntary Termination of Waiver Services</w:t>
      </w:r>
    </w:p>
    <w:p w:rsidR="002957A1" w:rsidRPr="002957A1" w:rsidRDefault="002957A1" w:rsidP="002957A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u w:val="single"/>
        </w:rPr>
      </w:pP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2957A1">
        <w:rPr>
          <w:rFonts w:ascii="Arial" w:hAnsi="Arial" w:cs="Arial"/>
          <w:szCs w:val="24"/>
        </w:rPr>
        <w:t>Authorizations for these waiver services will be terminated. However, certain services including Case Management and Person-Centered Planning will not be affected by this decision.</w:t>
      </w:r>
    </w:p>
    <w:p w:rsidR="002957A1" w:rsidRPr="002957A1" w:rsidRDefault="002957A1" w:rsidP="002957A1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2957A1">
        <w:rPr>
          <w:rFonts w:ascii="Arial" w:hAnsi="Arial" w:cs="Arial"/>
          <w:szCs w:val="24"/>
        </w:rPr>
        <w:t>Additionally, an application for Section 21 Waiver or Section 29 Waiver may be submitted in the future. Currently, there is a waiting list for Section 21 Home and Community Based Waiver and the Waiting List Protocol has been explained to me. DHHS will maintain a waiting list of eligible members for Section 21 who cannot receive these Home and Community Benefits because a funded opening is not available.  The process to submit a new Section 29 application and the ability to receive a funded offer has been explained to me. Members who are on the waiting list and/or submitted a Section 29 application shall be served in accordance to the manner described in policy.</w:t>
      </w: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b/>
          <w:szCs w:val="24"/>
          <w:u w:val="single"/>
        </w:rPr>
      </w:pPr>
      <w:r w:rsidRPr="002957A1">
        <w:rPr>
          <w:rFonts w:ascii="Arial" w:hAnsi="Arial" w:cs="Arial"/>
          <w:b/>
          <w:szCs w:val="24"/>
          <w:u w:val="single"/>
        </w:rPr>
        <w:t>Reason for Declination and/or Voluntary Termination of Waiver:</w:t>
      </w: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b/>
          <w:szCs w:val="24"/>
          <w:u w:val="single"/>
        </w:rPr>
      </w:pPr>
    </w:p>
    <w:sdt>
      <w:sdtPr>
        <w:rPr>
          <w:rFonts w:ascii="Arial" w:hAnsi="Arial" w:cs="Arial"/>
          <w:b/>
          <w:szCs w:val="24"/>
          <w:u w:val="single"/>
        </w:rPr>
        <w:id w:val="259805553"/>
        <w:placeholder>
          <w:docPart w:val="EADAC10CB04040E8A2952ED0AD8E03B5"/>
        </w:placeholder>
        <w:showingPlcHdr/>
      </w:sdtPr>
      <w:sdtEndPr/>
      <w:sdtContent>
        <w:p w:rsidR="002957A1" w:rsidRPr="002957A1" w:rsidRDefault="002957A1" w:rsidP="002957A1">
          <w:pPr>
            <w:autoSpaceDE w:val="0"/>
            <w:autoSpaceDN w:val="0"/>
            <w:adjustRightInd w:val="0"/>
            <w:rPr>
              <w:rFonts w:ascii="Arial" w:hAnsi="Arial" w:cs="Arial"/>
              <w:b/>
              <w:szCs w:val="24"/>
              <w:u w:val="single"/>
            </w:rPr>
          </w:pPr>
          <w:r w:rsidRPr="002957A1">
            <w:rPr>
              <w:rFonts w:ascii="Arial" w:hAnsi="Arial" w:cs="Arial"/>
              <w:color w:val="808080"/>
              <w:szCs w:val="24"/>
            </w:rPr>
            <w:t>Click or tap here to enter text.</w:t>
          </w:r>
        </w:p>
      </w:sdtContent>
    </w:sdt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3232"/>
      </w:tblGrid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_______________________________________________________</w:t>
            </w: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 xml:space="preserve"> __________________</w:t>
            </w:r>
          </w:p>
        </w:tc>
      </w:tr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jc w:val="center"/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Individual</w:t>
            </w: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 xml:space="preserve"> Date</w:t>
            </w:r>
          </w:p>
        </w:tc>
      </w:tr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</w:p>
        </w:tc>
      </w:tr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_______________________________________________________</w:t>
            </w: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__________________</w:t>
            </w:r>
          </w:p>
        </w:tc>
      </w:tr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jc w:val="center"/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Guardian</w:t>
            </w: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Date</w:t>
            </w:r>
          </w:p>
        </w:tc>
      </w:tr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</w:p>
        </w:tc>
      </w:tr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_______________________________________________________</w:t>
            </w: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__________________</w:t>
            </w:r>
          </w:p>
        </w:tc>
      </w:tr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jc w:val="center"/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Guardian</w:t>
            </w: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Date</w:t>
            </w:r>
          </w:p>
        </w:tc>
      </w:tr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</w:p>
        </w:tc>
      </w:tr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_______________________________________________________</w:t>
            </w: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__________________</w:t>
            </w:r>
          </w:p>
        </w:tc>
      </w:tr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jc w:val="center"/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Case Manager</w:t>
            </w: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Date</w:t>
            </w:r>
          </w:p>
        </w:tc>
      </w:tr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</w:p>
        </w:tc>
      </w:tr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_______________________________________________________</w:t>
            </w: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__________________</w:t>
            </w:r>
          </w:p>
        </w:tc>
      </w:tr>
      <w:tr w:rsidR="002957A1" w:rsidRPr="002957A1" w:rsidTr="0084339A">
        <w:tc>
          <w:tcPr>
            <w:tcW w:w="7558" w:type="dxa"/>
          </w:tcPr>
          <w:p w:rsidR="002957A1" w:rsidRPr="002957A1" w:rsidRDefault="002957A1" w:rsidP="002957A1">
            <w:pPr>
              <w:jc w:val="center"/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Witness (If member is under Public Guardianship)</w:t>
            </w:r>
          </w:p>
        </w:tc>
        <w:tc>
          <w:tcPr>
            <w:tcW w:w="3232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Date</w:t>
            </w:r>
          </w:p>
        </w:tc>
      </w:tr>
    </w:tbl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170"/>
        <w:gridCol w:w="5395"/>
      </w:tblGrid>
      <w:tr w:rsidR="002957A1" w:rsidRPr="002957A1" w:rsidTr="0084339A">
        <w:tc>
          <w:tcPr>
            <w:tcW w:w="4225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>CC: Waiver Manager:</w:t>
            </w:r>
          </w:p>
        </w:tc>
        <w:sdt>
          <w:sdtPr>
            <w:rPr>
              <w:rFonts w:ascii="Arial" w:hAnsi="Arial" w:cs="Arial"/>
              <w:szCs w:val="24"/>
            </w:rPr>
            <w:id w:val="1610851652"/>
            <w:placeholder>
              <w:docPart w:val="EADAC10CB04040E8A2952ED0AD8E03B5"/>
            </w:placeholder>
            <w:showingPlcHdr/>
          </w:sdtPr>
          <w:sdtEndPr/>
          <w:sdtContent>
            <w:tc>
              <w:tcPr>
                <w:tcW w:w="6565" w:type="dxa"/>
                <w:gridSpan w:val="2"/>
              </w:tcPr>
              <w:p w:rsidR="002957A1" w:rsidRPr="002957A1" w:rsidRDefault="002957A1" w:rsidP="002957A1">
                <w:pPr>
                  <w:rPr>
                    <w:rFonts w:ascii="Arial" w:hAnsi="Arial" w:cs="Arial"/>
                    <w:szCs w:val="24"/>
                  </w:rPr>
                </w:pPr>
                <w:r w:rsidRPr="002957A1">
                  <w:rPr>
                    <w:rFonts w:ascii="Arial" w:hAnsi="Arial" w:cs="Arial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2957A1" w:rsidRPr="002957A1" w:rsidTr="0084339A">
        <w:tc>
          <w:tcPr>
            <w:tcW w:w="4225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 xml:space="preserve">        Assigned Resource Coordinator:</w:t>
            </w:r>
          </w:p>
        </w:tc>
        <w:sdt>
          <w:sdtPr>
            <w:rPr>
              <w:rFonts w:ascii="Arial" w:hAnsi="Arial" w:cs="Arial"/>
              <w:szCs w:val="24"/>
            </w:rPr>
            <w:id w:val="-557859288"/>
            <w:placeholder>
              <w:docPart w:val="EADAC10CB04040E8A2952ED0AD8E03B5"/>
            </w:placeholder>
            <w:showingPlcHdr/>
          </w:sdtPr>
          <w:sdtEndPr/>
          <w:sdtContent>
            <w:tc>
              <w:tcPr>
                <w:tcW w:w="6565" w:type="dxa"/>
                <w:gridSpan w:val="2"/>
              </w:tcPr>
              <w:p w:rsidR="002957A1" w:rsidRPr="002957A1" w:rsidRDefault="002957A1" w:rsidP="002957A1">
                <w:pPr>
                  <w:rPr>
                    <w:rFonts w:ascii="Arial" w:hAnsi="Arial" w:cs="Arial"/>
                    <w:szCs w:val="24"/>
                  </w:rPr>
                </w:pPr>
                <w:r w:rsidRPr="002957A1">
                  <w:rPr>
                    <w:rFonts w:ascii="Arial" w:hAnsi="Arial" w:cs="Arial"/>
                    <w:color w:val="8080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2957A1" w:rsidRPr="002957A1" w:rsidTr="0084339A">
        <w:tc>
          <w:tcPr>
            <w:tcW w:w="5395" w:type="dxa"/>
            <w:gridSpan w:val="2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  <w:r w:rsidRPr="002957A1">
              <w:rPr>
                <w:rFonts w:ascii="Arial" w:hAnsi="Arial" w:cs="Arial"/>
                <w:szCs w:val="24"/>
              </w:rPr>
              <w:t xml:space="preserve">        OADS Waiver File/Central Office</w:t>
            </w:r>
          </w:p>
        </w:tc>
        <w:tc>
          <w:tcPr>
            <w:tcW w:w="5395" w:type="dxa"/>
          </w:tcPr>
          <w:p w:rsidR="002957A1" w:rsidRPr="002957A1" w:rsidRDefault="002957A1" w:rsidP="002957A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957A1" w:rsidRPr="002957A1" w:rsidRDefault="002957A1" w:rsidP="002957A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12117" w:rsidRDefault="00F12117" w:rsidP="00F12117">
      <w:pPr>
        <w:spacing w:before="90"/>
        <w:ind w:left="3390"/>
      </w:pPr>
    </w:p>
    <w:p w:rsidR="005C452D" w:rsidRPr="005C452D" w:rsidRDefault="005C452D" w:rsidP="005C452D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szCs w:val="24"/>
        </w:rPr>
      </w:pPr>
    </w:p>
    <w:p w:rsidR="005C452D" w:rsidRPr="005C452D" w:rsidRDefault="005C452D" w:rsidP="005C452D">
      <w:pPr>
        <w:spacing w:after="18"/>
        <w:rPr>
          <w:rFonts w:ascii="Calibri" w:eastAsiaTheme="minorHAnsi" w:hAnsi="Calibri" w:cs="Calibri"/>
          <w:sz w:val="22"/>
          <w:szCs w:val="22"/>
        </w:rPr>
      </w:pPr>
    </w:p>
    <w:p w:rsidR="005C452D" w:rsidRPr="005C452D" w:rsidRDefault="005C452D" w:rsidP="005C452D">
      <w:pPr>
        <w:spacing w:after="18"/>
        <w:rPr>
          <w:rFonts w:ascii="Calibri" w:eastAsiaTheme="minorHAnsi" w:hAnsi="Calibri" w:cs="Calibri"/>
          <w:sz w:val="22"/>
          <w:szCs w:val="22"/>
        </w:rPr>
      </w:pPr>
    </w:p>
    <w:p w:rsidR="005C452D" w:rsidRPr="005C452D" w:rsidRDefault="005C452D" w:rsidP="005C452D">
      <w:pPr>
        <w:spacing w:after="18"/>
        <w:rPr>
          <w:rFonts w:ascii="Calibri" w:eastAsiaTheme="minorHAnsi" w:hAnsi="Calibri" w:cs="Calibri"/>
          <w:sz w:val="22"/>
          <w:szCs w:val="22"/>
        </w:rPr>
      </w:pPr>
    </w:p>
    <w:p w:rsidR="005C452D" w:rsidRPr="005C452D" w:rsidRDefault="005C452D" w:rsidP="003973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8735F3" w:rsidRDefault="008735F3" w:rsidP="00C04CB9">
      <w:pPr>
        <w:autoSpaceDE w:val="0"/>
        <w:autoSpaceDN w:val="0"/>
        <w:adjustRightInd w:val="0"/>
        <w:rPr>
          <w:szCs w:val="24"/>
        </w:rPr>
      </w:pPr>
    </w:p>
    <w:sectPr w:rsidR="008735F3" w:rsidSect="00A73966">
      <w:headerReference w:type="default" r:id="rId9"/>
      <w:type w:val="continuous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DF" w:rsidRDefault="0000444C">
    <w:pPr>
      <w:pStyle w:val="Header"/>
    </w:pPr>
  </w:p>
  <w:p w:rsidR="006320DF" w:rsidRDefault="00004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53A"/>
    <w:multiLevelType w:val="hybridMultilevel"/>
    <w:tmpl w:val="56A8D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D092B"/>
    <w:multiLevelType w:val="hybridMultilevel"/>
    <w:tmpl w:val="AE6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02F"/>
    <w:multiLevelType w:val="hybridMultilevel"/>
    <w:tmpl w:val="6D46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0EFC"/>
    <w:multiLevelType w:val="hybridMultilevel"/>
    <w:tmpl w:val="8454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42D1"/>
    <w:multiLevelType w:val="hybridMultilevel"/>
    <w:tmpl w:val="3296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88BAB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C02441"/>
    <w:multiLevelType w:val="hybridMultilevel"/>
    <w:tmpl w:val="2FF8C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88BAB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F047AF"/>
    <w:multiLevelType w:val="hybridMultilevel"/>
    <w:tmpl w:val="54C216A0"/>
    <w:lvl w:ilvl="0" w:tplc="4016DD9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0410B"/>
    <w:multiLevelType w:val="hybridMultilevel"/>
    <w:tmpl w:val="E81AD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A6214"/>
    <w:multiLevelType w:val="hybridMultilevel"/>
    <w:tmpl w:val="AC00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88BA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2CFE"/>
    <w:multiLevelType w:val="hybridMultilevel"/>
    <w:tmpl w:val="A458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37825"/>
    <w:multiLevelType w:val="hybridMultilevel"/>
    <w:tmpl w:val="D5C6BABC"/>
    <w:lvl w:ilvl="0" w:tplc="4976B6A2">
      <w:start w:val="1"/>
      <w:numFmt w:val="decimal"/>
      <w:lvlText w:val="%1."/>
      <w:lvlJc w:val="left"/>
      <w:pPr>
        <w:ind w:left="9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494C7B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2" w:tplc="4EA4671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681EBFFA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8B44461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D114963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01EE6028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4D4AA656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8" w:tplc="CCC6632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A317961"/>
    <w:multiLevelType w:val="hybridMultilevel"/>
    <w:tmpl w:val="8F34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0B34"/>
    <w:multiLevelType w:val="hybridMultilevel"/>
    <w:tmpl w:val="AAD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95405"/>
    <w:multiLevelType w:val="hybridMultilevel"/>
    <w:tmpl w:val="F902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A14E5"/>
    <w:multiLevelType w:val="hybridMultilevel"/>
    <w:tmpl w:val="1C9C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E2BF5"/>
    <w:multiLevelType w:val="hybridMultilevel"/>
    <w:tmpl w:val="1D5A8E4C"/>
    <w:lvl w:ilvl="0" w:tplc="A56CA922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FAB46432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en-US"/>
      </w:rPr>
    </w:lvl>
    <w:lvl w:ilvl="2" w:tplc="46CC8B20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en-US"/>
      </w:rPr>
    </w:lvl>
    <w:lvl w:ilvl="3" w:tplc="C0DE83C4">
      <w:numFmt w:val="bullet"/>
      <w:lvlText w:val="•"/>
      <w:lvlJc w:val="left"/>
      <w:pPr>
        <w:ind w:left="4090" w:hanging="361"/>
      </w:pPr>
      <w:rPr>
        <w:rFonts w:hint="default"/>
        <w:lang w:val="en-US" w:eastAsia="en-US" w:bidi="en-US"/>
      </w:rPr>
    </w:lvl>
    <w:lvl w:ilvl="4" w:tplc="8FF04DE2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en-US"/>
      </w:rPr>
    </w:lvl>
    <w:lvl w:ilvl="5" w:tplc="312CE954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en-US"/>
      </w:rPr>
    </w:lvl>
    <w:lvl w:ilvl="6" w:tplc="EDE8A134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en-US"/>
      </w:rPr>
    </w:lvl>
    <w:lvl w:ilvl="7" w:tplc="F5EAB53A">
      <w:numFmt w:val="bullet"/>
      <w:lvlText w:val="•"/>
      <w:lvlJc w:val="left"/>
      <w:pPr>
        <w:ind w:left="8290" w:hanging="361"/>
      </w:pPr>
      <w:rPr>
        <w:rFonts w:hint="default"/>
        <w:lang w:val="en-US" w:eastAsia="en-US" w:bidi="en-US"/>
      </w:rPr>
    </w:lvl>
    <w:lvl w:ilvl="8" w:tplc="FEDCD8A6">
      <w:numFmt w:val="bullet"/>
      <w:lvlText w:val="•"/>
      <w:lvlJc w:val="left"/>
      <w:pPr>
        <w:ind w:left="9340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56E1302E"/>
    <w:multiLevelType w:val="hybridMultilevel"/>
    <w:tmpl w:val="133E9F52"/>
    <w:lvl w:ilvl="0" w:tplc="7E086B5E">
      <w:numFmt w:val="bullet"/>
      <w:lvlText w:val="☐"/>
      <w:lvlJc w:val="left"/>
      <w:pPr>
        <w:ind w:left="820" w:hanging="720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en-US"/>
      </w:rPr>
    </w:lvl>
    <w:lvl w:ilvl="1" w:tplc="6284F478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en-US"/>
      </w:rPr>
    </w:lvl>
    <w:lvl w:ilvl="2" w:tplc="63148CEE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en-US"/>
      </w:rPr>
    </w:lvl>
    <w:lvl w:ilvl="3" w:tplc="FE0C9BE4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en-US"/>
      </w:rPr>
    </w:lvl>
    <w:lvl w:ilvl="4" w:tplc="15105E36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en-US"/>
      </w:rPr>
    </w:lvl>
    <w:lvl w:ilvl="5" w:tplc="DB9ECF34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 w:tplc="BB727660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en-US"/>
      </w:rPr>
    </w:lvl>
    <w:lvl w:ilvl="7" w:tplc="C094710A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 w:tplc="115C6CC2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en-US"/>
      </w:rPr>
    </w:lvl>
  </w:abstractNum>
  <w:abstractNum w:abstractNumId="17" w15:restartNumberingAfterBreak="0">
    <w:nsid w:val="59EF720A"/>
    <w:multiLevelType w:val="hybridMultilevel"/>
    <w:tmpl w:val="8A82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2421A"/>
    <w:multiLevelType w:val="hybridMultilevel"/>
    <w:tmpl w:val="12B6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0650A"/>
    <w:multiLevelType w:val="hybridMultilevel"/>
    <w:tmpl w:val="16984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D74293"/>
    <w:multiLevelType w:val="hybridMultilevel"/>
    <w:tmpl w:val="6DEE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8"/>
  </w:num>
  <w:num w:numId="8">
    <w:abstractNumId w:val="2"/>
  </w:num>
  <w:num w:numId="9">
    <w:abstractNumId w:val="8"/>
  </w:num>
  <w:num w:numId="10">
    <w:abstractNumId w:val="4"/>
  </w:num>
  <w:num w:numId="11">
    <w:abstractNumId w:val="19"/>
  </w:num>
  <w:num w:numId="12">
    <w:abstractNumId w:val="5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7"/>
  </w:num>
  <w:num w:numId="18">
    <w:abstractNumId w:val="6"/>
  </w:num>
  <w:num w:numId="19">
    <w:abstractNumId w:val="3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fctDxBsInAFs79olmQCPKIIXP6NLoWjKZOHsYVWEvVa8KfFQE6ZoAqN/LRKAQQghlpaWzmtpIhLNp9gCTxpw==" w:salt="UmuuQaxZzu7qexvl6zV/w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0444C"/>
    <w:rsid w:val="0001689D"/>
    <w:rsid w:val="00031551"/>
    <w:rsid w:val="00037C80"/>
    <w:rsid w:val="00071861"/>
    <w:rsid w:val="000848DB"/>
    <w:rsid w:val="000D047A"/>
    <w:rsid w:val="000D391A"/>
    <w:rsid w:val="000D48D3"/>
    <w:rsid w:val="00107676"/>
    <w:rsid w:val="00124B3B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957A1"/>
    <w:rsid w:val="002E3734"/>
    <w:rsid w:val="00311948"/>
    <w:rsid w:val="003247B0"/>
    <w:rsid w:val="00387A76"/>
    <w:rsid w:val="0039381B"/>
    <w:rsid w:val="00397362"/>
    <w:rsid w:val="0042095D"/>
    <w:rsid w:val="00425186"/>
    <w:rsid w:val="004333B7"/>
    <w:rsid w:val="00434046"/>
    <w:rsid w:val="00465EF6"/>
    <w:rsid w:val="00475E01"/>
    <w:rsid w:val="004A2C04"/>
    <w:rsid w:val="004D40A4"/>
    <w:rsid w:val="004D561F"/>
    <w:rsid w:val="004F4154"/>
    <w:rsid w:val="00560F0F"/>
    <w:rsid w:val="00580738"/>
    <w:rsid w:val="005C452D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A768F"/>
    <w:rsid w:val="007B6AB2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567C7"/>
    <w:rsid w:val="00AC5146"/>
    <w:rsid w:val="00B15BA7"/>
    <w:rsid w:val="00B53BA6"/>
    <w:rsid w:val="00B81E36"/>
    <w:rsid w:val="00B85133"/>
    <w:rsid w:val="00BB52B1"/>
    <w:rsid w:val="00BC0602"/>
    <w:rsid w:val="00BC1FC1"/>
    <w:rsid w:val="00BE7DFC"/>
    <w:rsid w:val="00BF0698"/>
    <w:rsid w:val="00C02B3F"/>
    <w:rsid w:val="00C04CB9"/>
    <w:rsid w:val="00C31B31"/>
    <w:rsid w:val="00CE0951"/>
    <w:rsid w:val="00CE2A4E"/>
    <w:rsid w:val="00D0560A"/>
    <w:rsid w:val="00D469F4"/>
    <w:rsid w:val="00D73B32"/>
    <w:rsid w:val="00DD28D1"/>
    <w:rsid w:val="00EB1407"/>
    <w:rsid w:val="00EB174E"/>
    <w:rsid w:val="00EC6C15"/>
    <w:rsid w:val="00ED34F2"/>
    <w:rsid w:val="00ED727C"/>
    <w:rsid w:val="00F12117"/>
    <w:rsid w:val="00F20073"/>
    <w:rsid w:val="00F44B87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D4D6F71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7B0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rsid w:val="00F12117"/>
    <w:rPr>
      <w:color w:val="0000FF"/>
      <w:u w:val="single"/>
    </w:rPr>
  </w:style>
  <w:style w:type="table" w:styleId="TableGrid">
    <w:name w:val="Table Grid"/>
    <w:basedOn w:val="TableNormal"/>
    <w:rsid w:val="002957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DC75E319194F4B9715B4049DA8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CFF4-0EB2-429C-96DB-B908BACDA326}"/>
      </w:docPartPr>
      <w:docPartBody>
        <w:p w:rsidR="00BD7B93" w:rsidRDefault="0075084C" w:rsidP="0075084C">
          <w:pPr>
            <w:pStyle w:val="83DC75E319194F4B9715B4049DA8A577"/>
          </w:pPr>
          <w:r w:rsidRPr="009C1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DAC10CB04040E8A2952ED0AD8E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6B0F-6E8C-4EA5-ABE7-D35B4BA65DEB}"/>
      </w:docPartPr>
      <w:docPartBody>
        <w:p w:rsidR="00BD7B93" w:rsidRDefault="0075084C" w:rsidP="0075084C">
          <w:pPr>
            <w:pStyle w:val="EADAC10CB04040E8A2952ED0AD8E03B5"/>
          </w:pPr>
          <w:r w:rsidRPr="009C1B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4C"/>
    <w:rsid w:val="0075084C"/>
    <w:rsid w:val="00B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84C"/>
    <w:rPr>
      <w:color w:val="808080"/>
    </w:rPr>
  </w:style>
  <w:style w:type="paragraph" w:customStyle="1" w:styleId="83DC75E319194F4B9715B4049DA8A577">
    <w:name w:val="83DC75E319194F4B9715B4049DA8A577"/>
    <w:rsid w:val="0075084C"/>
  </w:style>
  <w:style w:type="paragraph" w:customStyle="1" w:styleId="EADAC10CB04040E8A2952ED0AD8E03B5">
    <w:name w:val="EADAC10CB04040E8A2952ED0AD8E03B5"/>
    <w:rsid w:val="00750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5BCF-5B18-4707-AFE8-2A238715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Daniels, Virginia</cp:lastModifiedBy>
  <cp:revision>2</cp:revision>
  <cp:lastPrinted>2018-12-04T16:43:00Z</cp:lastPrinted>
  <dcterms:created xsi:type="dcterms:W3CDTF">2019-02-12T17:39:00Z</dcterms:created>
  <dcterms:modified xsi:type="dcterms:W3CDTF">2019-02-12T17:39:00Z</dcterms:modified>
</cp:coreProperties>
</file>