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35B01" w:rsidRDefault="00585463" w:rsidP="00EC108A">
      <w:r w:rsidRPr="00CA513B">
        <w:rPr>
          <w:rStyle w:val="Strong"/>
          <w:noProof/>
          <w:color w:val="1F497D" w:themeColor="text2"/>
        </w:rPr>
        <mc:AlternateContent>
          <mc:Choice Requires="wps">
            <w:drawing>
              <wp:anchor distT="91440" distB="91440" distL="114300" distR="114300" simplePos="0" relativeHeight="251659264" behindDoc="0" locked="0" layoutInCell="0" allowOverlap="1" wp14:anchorId="02C0B000" wp14:editId="352C928B">
                <wp:simplePos x="0" y="0"/>
                <wp:positionH relativeFrom="margin">
                  <wp:posOffset>4943475</wp:posOffset>
                </wp:positionH>
                <wp:positionV relativeFrom="margin">
                  <wp:posOffset>-285750</wp:posOffset>
                </wp:positionV>
                <wp:extent cx="2781300" cy="1990725"/>
                <wp:effectExtent l="38100" t="38100" r="114300" b="12382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81300" cy="19907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61044D" w:rsidRPr="00E039E1" w:rsidRDefault="0061044D" w:rsidP="00CA513B">
                            <w:pPr>
                              <w:pStyle w:val="NoSpacing"/>
                              <w:rPr>
                                <w:rStyle w:val="Strong"/>
                                <w:color w:val="1F497D" w:themeColor="text2"/>
                              </w:rPr>
                            </w:pPr>
                            <w:r>
                              <w:rPr>
                                <w:rStyle w:val="Strong"/>
                                <w:color w:val="1F497D" w:themeColor="text2"/>
                              </w:rPr>
                              <w:t>Delivery System Reform</w:t>
                            </w:r>
                            <w:r w:rsidRPr="00E039E1">
                              <w:rPr>
                                <w:rStyle w:val="Strong"/>
                                <w:color w:val="1F497D" w:themeColor="text2"/>
                              </w:rPr>
                              <w:t xml:space="preserve"> </w:t>
                            </w:r>
                            <w:r>
                              <w:rPr>
                                <w:rStyle w:val="Strong"/>
                                <w:color w:val="1F497D" w:themeColor="text2"/>
                              </w:rPr>
                              <w:t xml:space="preserve">Subcommittee </w:t>
                            </w:r>
                          </w:p>
                          <w:p w:rsidR="0061044D" w:rsidRPr="00E039E1" w:rsidRDefault="0061044D" w:rsidP="00CA513B">
                            <w:pPr>
                              <w:pStyle w:val="NoSpacing"/>
                              <w:rPr>
                                <w:rStyle w:val="Strong"/>
                                <w:color w:val="1F497D" w:themeColor="text2"/>
                              </w:rPr>
                            </w:pPr>
                            <w:r w:rsidRPr="00E039E1">
                              <w:rPr>
                                <w:rStyle w:val="Strong"/>
                                <w:color w:val="1F497D" w:themeColor="text2"/>
                              </w:rPr>
                              <w:t>Date:</w:t>
                            </w:r>
                            <w:r w:rsidR="00307654">
                              <w:rPr>
                                <w:rStyle w:val="Strong"/>
                                <w:color w:val="1F497D" w:themeColor="text2"/>
                              </w:rPr>
                              <w:t xml:space="preserve"> </w:t>
                            </w:r>
                            <w:r w:rsidR="00F80216">
                              <w:rPr>
                                <w:rStyle w:val="Strong"/>
                                <w:color w:val="1F497D" w:themeColor="text2"/>
                              </w:rPr>
                              <w:t>4-8-15</w:t>
                            </w:r>
                          </w:p>
                          <w:p w:rsidR="0061044D" w:rsidRPr="00E039E1" w:rsidRDefault="0061044D" w:rsidP="00CA513B">
                            <w:pPr>
                              <w:pStyle w:val="NoSpacing"/>
                              <w:rPr>
                                <w:rStyle w:val="Strong"/>
                                <w:color w:val="1F497D" w:themeColor="text2"/>
                              </w:rPr>
                            </w:pPr>
                            <w:r w:rsidRPr="00E039E1">
                              <w:rPr>
                                <w:rStyle w:val="Strong"/>
                                <w:color w:val="1F497D" w:themeColor="text2"/>
                              </w:rPr>
                              <w:t>Time:</w:t>
                            </w:r>
                            <w:r>
                              <w:rPr>
                                <w:rStyle w:val="Strong"/>
                                <w:color w:val="1F497D" w:themeColor="text2"/>
                              </w:rPr>
                              <w:t xml:space="preserve"> 10:00 to Noon</w:t>
                            </w:r>
                          </w:p>
                          <w:p w:rsidR="0061044D" w:rsidRDefault="0061044D" w:rsidP="00CA513B">
                            <w:pPr>
                              <w:pStyle w:val="NoSpacing"/>
                              <w:rPr>
                                <w:rStyle w:val="Strong"/>
                                <w:color w:val="1F497D" w:themeColor="text2"/>
                              </w:rPr>
                            </w:pPr>
                            <w:r w:rsidRPr="00E039E1">
                              <w:rPr>
                                <w:rStyle w:val="Strong"/>
                                <w:color w:val="1F497D" w:themeColor="text2"/>
                              </w:rPr>
                              <w:t>Location:</w:t>
                            </w:r>
                            <w:r w:rsidR="00F80216">
                              <w:rPr>
                                <w:rStyle w:val="Strong"/>
                                <w:color w:val="1F497D" w:themeColor="text2"/>
                              </w:rPr>
                              <w:t xml:space="preserve"> 221 State Street, Augusta </w:t>
                            </w:r>
                          </w:p>
                          <w:p w:rsidR="00F80216" w:rsidRDefault="00F80216" w:rsidP="00CA513B">
                            <w:pPr>
                              <w:pStyle w:val="NoSpacing"/>
                              <w:rPr>
                                <w:rStyle w:val="Strong"/>
                                <w:color w:val="1F497D" w:themeColor="text2"/>
                              </w:rPr>
                            </w:pPr>
                            <w:r>
                              <w:rPr>
                                <w:rStyle w:val="Strong"/>
                                <w:color w:val="1F497D" w:themeColor="text2"/>
                              </w:rPr>
                              <w:t>First Floor Conference Room</w:t>
                            </w:r>
                          </w:p>
                          <w:p w:rsidR="0061044D" w:rsidRDefault="0061044D" w:rsidP="00CA513B">
                            <w:pPr>
                              <w:pStyle w:val="NoSpacing"/>
                              <w:rPr>
                                <w:rStyle w:val="Strong"/>
                                <w:color w:val="1F497D" w:themeColor="text2"/>
                              </w:rPr>
                            </w:pPr>
                            <w:r>
                              <w:rPr>
                                <w:rStyle w:val="Strong"/>
                                <w:color w:val="1F497D" w:themeColor="text2"/>
                              </w:rPr>
                              <w:t>Call In Number: 1-866-740-1260</w:t>
                            </w:r>
                          </w:p>
                          <w:p w:rsidR="0061044D" w:rsidRDefault="0061044D" w:rsidP="00CA513B">
                            <w:pPr>
                              <w:pStyle w:val="NoSpacing"/>
                              <w:rPr>
                                <w:rStyle w:val="Strong"/>
                                <w:color w:val="1F497D" w:themeColor="text2"/>
                              </w:rPr>
                            </w:pPr>
                            <w:r>
                              <w:rPr>
                                <w:rStyle w:val="Strong"/>
                                <w:color w:val="1F497D" w:themeColor="text2"/>
                              </w:rPr>
                              <w:t>Access Code: 7117361#</w:t>
                            </w:r>
                          </w:p>
                          <w:p w:rsidR="0061044D" w:rsidRDefault="0061044D" w:rsidP="00CA513B">
                            <w:pPr>
                              <w:pStyle w:val="NoSpacing"/>
                              <w:rPr>
                                <w:rStyle w:val="Strong"/>
                                <w:color w:val="1F497D" w:themeColor="text2"/>
                              </w:rPr>
                            </w:pPr>
                          </w:p>
                          <w:p w:rsidR="0061044D" w:rsidRDefault="0061044D" w:rsidP="00CA513B">
                            <w:pPr>
                              <w:pStyle w:val="NoSpacing"/>
                            </w:pPr>
                          </w:p>
                          <w:p w:rsidR="0061044D" w:rsidRDefault="0061044D">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389.25pt;margin-top:-22.5pt;width:219pt;height:156.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" o:allowincell="f" fillcolor="white [3212]" strokecolor="gray [1629]" strokeweight="1.5pt">
                <v:shadow on="t" type="perspective" color="black" opacity="26214f" origin="-.5,-.5" offset=".74836mm,.74836mm" matrix="65864f,,,65864f"/>
                <v:textbox inset="21.6pt,21.6pt,21.6pt,21.6pt">
                  <w:txbxContent>
                    <w:p w:rsidR="0061044D" w:rsidRPr="00E039E1" w:rsidRDefault="0061044D" w:rsidP="00CA513B">
                      <w:pPr>
                        <w:pStyle w:val="NoSpacing"/>
                        <w:rPr>
                          <w:rStyle w:val="Strong"/>
                          <w:color w:val="1F497D" w:themeColor="text2"/>
                        </w:rPr>
                      </w:pPr>
                      <w:r>
                        <w:rPr>
                          <w:rStyle w:val="Strong"/>
                          <w:color w:val="1F497D" w:themeColor="text2"/>
                        </w:rPr>
                        <w:t>Delivery System Reform</w:t>
                      </w:r>
                      <w:r w:rsidRPr="00E039E1">
                        <w:rPr>
                          <w:rStyle w:val="Strong"/>
                          <w:color w:val="1F497D" w:themeColor="text2"/>
                        </w:rPr>
                        <w:t xml:space="preserve"> </w:t>
                      </w:r>
                      <w:r>
                        <w:rPr>
                          <w:rStyle w:val="Strong"/>
                          <w:color w:val="1F497D" w:themeColor="text2"/>
                        </w:rPr>
                        <w:t xml:space="preserve">Subcommittee </w:t>
                      </w:r>
                    </w:p>
                    <w:p w:rsidR="0061044D" w:rsidRPr="00E039E1" w:rsidRDefault="0061044D" w:rsidP="00CA513B">
                      <w:pPr>
                        <w:pStyle w:val="NoSpacing"/>
                        <w:rPr>
                          <w:rStyle w:val="Strong"/>
                          <w:color w:val="1F497D" w:themeColor="text2"/>
                        </w:rPr>
                      </w:pPr>
                      <w:r w:rsidRPr="00E039E1">
                        <w:rPr>
                          <w:rStyle w:val="Strong"/>
                          <w:color w:val="1F497D" w:themeColor="text2"/>
                        </w:rPr>
                        <w:t>Date:</w:t>
                      </w:r>
                      <w:r w:rsidR="00307654">
                        <w:rPr>
                          <w:rStyle w:val="Strong"/>
                          <w:color w:val="1F497D" w:themeColor="text2"/>
                        </w:rPr>
                        <w:t xml:space="preserve"> </w:t>
                      </w:r>
                      <w:r w:rsidR="00F80216">
                        <w:rPr>
                          <w:rStyle w:val="Strong"/>
                          <w:color w:val="1F497D" w:themeColor="text2"/>
                        </w:rPr>
                        <w:t>4-8-15</w:t>
                      </w:r>
                    </w:p>
                    <w:p w:rsidR="0061044D" w:rsidRPr="00E039E1" w:rsidRDefault="0061044D" w:rsidP="00CA513B">
                      <w:pPr>
                        <w:pStyle w:val="NoSpacing"/>
                        <w:rPr>
                          <w:rStyle w:val="Strong"/>
                          <w:color w:val="1F497D" w:themeColor="text2"/>
                        </w:rPr>
                      </w:pPr>
                      <w:r w:rsidRPr="00E039E1">
                        <w:rPr>
                          <w:rStyle w:val="Strong"/>
                          <w:color w:val="1F497D" w:themeColor="text2"/>
                        </w:rPr>
                        <w:t>Time:</w:t>
                      </w:r>
                      <w:r>
                        <w:rPr>
                          <w:rStyle w:val="Strong"/>
                          <w:color w:val="1F497D" w:themeColor="text2"/>
                        </w:rPr>
                        <w:t xml:space="preserve"> 10:00 to Noon</w:t>
                      </w:r>
                    </w:p>
                    <w:p w:rsidR="0061044D" w:rsidRDefault="0061044D" w:rsidP="00CA513B">
                      <w:pPr>
                        <w:pStyle w:val="NoSpacing"/>
                        <w:rPr>
                          <w:rStyle w:val="Strong"/>
                          <w:color w:val="1F497D" w:themeColor="text2"/>
                        </w:rPr>
                      </w:pPr>
                      <w:r w:rsidRPr="00E039E1">
                        <w:rPr>
                          <w:rStyle w:val="Strong"/>
                          <w:color w:val="1F497D" w:themeColor="text2"/>
                        </w:rPr>
                        <w:t>Location:</w:t>
                      </w:r>
                      <w:r w:rsidR="00F80216">
                        <w:rPr>
                          <w:rStyle w:val="Strong"/>
                          <w:color w:val="1F497D" w:themeColor="text2"/>
                        </w:rPr>
                        <w:t xml:space="preserve"> 221 State Street, Augusta </w:t>
                      </w:r>
                    </w:p>
                    <w:p w:rsidR="00F80216" w:rsidRDefault="00F80216" w:rsidP="00CA513B">
                      <w:pPr>
                        <w:pStyle w:val="NoSpacing"/>
                        <w:rPr>
                          <w:rStyle w:val="Strong"/>
                          <w:color w:val="1F497D" w:themeColor="text2"/>
                        </w:rPr>
                      </w:pPr>
                      <w:r>
                        <w:rPr>
                          <w:rStyle w:val="Strong"/>
                          <w:color w:val="1F497D" w:themeColor="text2"/>
                        </w:rPr>
                        <w:t>First Floor Conference Room</w:t>
                      </w:r>
                    </w:p>
                    <w:p w:rsidR="0061044D" w:rsidRDefault="0061044D" w:rsidP="00CA513B">
                      <w:pPr>
                        <w:pStyle w:val="NoSpacing"/>
                        <w:rPr>
                          <w:rStyle w:val="Strong"/>
                          <w:color w:val="1F497D" w:themeColor="text2"/>
                        </w:rPr>
                      </w:pPr>
                      <w:r>
                        <w:rPr>
                          <w:rStyle w:val="Strong"/>
                          <w:color w:val="1F497D" w:themeColor="text2"/>
                        </w:rPr>
                        <w:t>Call In Number: 1-866-740-1260</w:t>
                      </w:r>
                    </w:p>
                    <w:p w:rsidR="0061044D" w:rsidRDefault="0061044D" w:rsidP="00CA513B">
                      <w:pPr>
                        <w:pStyle w:val="NoSpacing"/>
                        <w:rPr>
                          <w:rStyle w:val="Strong"/>
                          <w:color w:val="1F497D" w:themeColor="text2"/>
                        </w:rPr>
                      </w:pPr>
                      <w:r>
                        <w:rPr>
                          <w:rStyle w:val="Strong"/>
                          <w:color w:val="1F497D" w:themeColor="text2"/>
                        </w:rPr>
                        <w:t>Access Code: 7117361#</w:t>
                      </w:r>
                    </w:p>
                    <w:p w:rsidR="0061044D" w:rsidRDefault="0061044D" w:rsidP="00CA513B">
                      <w:pPr>
                        <w:pStyle w:val="NoSpacing"/>
                        <w:rPr>
                          <w:rStyle w:val="Strong"/>
                          <w:color w:val="1F497D" w:themeColor="text2"/>
                        </w:rPr>
                      </w:pPr>
                    </w:p>
                    <w:p w:rsidR="0061044D" w:rsidRDefault="0061044D" w:rsidP="00CA513B">
                      <w:pPr>
                        <w:pStyle w:val="NoSpacing"/>
                      </w:pPr>
                    </w:p>
                    <w:p w:rsidR="0061044D" w:rsidRDefault="0061044D">
                      <w:pPr>
                        <w:rPr>
                          <w:color w:val="4F81BD" w:themeColor="accent1"/>
                          <w:sz w:val="20"/>
                          <w:szCs w:val="20"/>
                        </w:rPr>
                      </w:pPr>
                    </w:p>
                  </w:txbxContent>
                </v:textbox>
                <w10:wrap type="square" anchorx="margin" anchory="margin"/>
              </v:rect>
            </w:pict>
          </mc:Fallback>
        </mc:AlternateContent>
      </w:r>
      <w:r w:rsidR="00FA2661">
        <w:rPr>
          <w:noProof/>
        </w:rPr>
        <w:drawing>
          <wp:inline distT="0" distB="0" distL="0" distR="0">
            <wp:extent cx="2447544"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im logo_final_1inc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7544" cy="914400"/>
                    </a:xfrm>
                    <a:prstGeom prst="rect">
                      <a:avLst/>
                    </a:prstGeom>
                  </pic:spPr>
                </pic:pic>
              </a:graphicData>
            </a:graphic>
          </wp:inline>
        </w:drawing>
      </w:r>
      <w:r w:rsidR="00CA513B">
        <w:t xml:space="preserve">                                                      </w:t>
      </w:r>
      <w:r w:rsidR="002A71DC">
        <w:t xml:space="preserve">                                   </w:t>
      </w:r>
      <w:r w:rsidR="00CA513B">
        <w:t xml:space="preserve">   </w:t>
      </w:r>
    </w:p>
    <w:p w:rsidR="00AD5607" w:rsidRDefault="00AD5607" w:rsidP="008C516A">
      <w:r>
        <w:t xml:space="preserve">   </w:t>
      </w:r>
    </w:p>
    <w:p w:rsidR="00B360D6" w:rsidRDefault="00B360D6" w:rsidP="00B360D6">
      <w:r>
        <w:rPr>
          <w:noProof/>
        </w:rPr>
        <w:drawing>
          <wp:inline distT="0" distB="0" distL="0" distR="0" wp14:anchorId="6DE46FD1" wp14:editId="6FA28D86">
            <wp:extent cx="2343150" cy="340191"/>
            <wp:effectExtent l="0" t="0" r="0" b="3175"/>
            <wp:docPr id="3" name="Picture 3" descr="C:\Users\Lisa Tuttle\AppData\Local\Microsoft\Windows\Temporary Internet Files\Content.Outlook\PRDJM42I\Q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 Tuttle\AppData\Local\Microsoft\Windows\Temporary Internet Files\Content.Outlook\PRDJM42I\QC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1" cy="340191"/>
                    </a:xfrm>
                    <a:prstGeom prst="rect">
                      <a:avLst/>
                    </a:prstGeom>
                    <a:noFill/>
                    <a:ln>
                      <a:noFill/>
                    </a:ln>
                  </pic:spPr>
                </pic:pic>
              </a:graphicData>
            </a:graphic>
          </wp:inline>
        </w:drawing>
      </w:r>
      <w:r>
        <w:t xml:space="preserve">    </w:t>
      </w:r>
    </w:p>
    <w:p w:rsidR="00B360D6" w:rsidRPr="00382C14" w:rsidRDefault="00B360D6" w:rsidP="00B360D6">
      <w:r w:rsidRPr="00382C14">
        <w:rPr>
          <w:b/>
        </w:rPr>
        <w:t xml:space="preserve">Chair: Lisa Tuttle, </w:t>
      </w:r>
      <w:r w:rsidRPr="00220051">
        <w:t>Maine Quality Counts</w:t>
      </w:r>
      <w:r w:rsidRPr="00382C14">
        <w:t xml:space="preserve"> </w:t>
      </w:r>
      <w:hyperlink r:id="rId11" w:history="1">
        <w:r w:rsidRPr="00382C14">
          <w:rPr>
            <w:rStyle w:val="Hyperlink"/>
          </w:rPr>
          <w:t>ltuttle@mainequalitycounts.org</w:t>
        </w:r>
      </w:hyperlink>
    </w:p>
    <w:p w:rsidR="00585463" w:rsidRDefault="00B360D6" w:rsidP="00B360D6">
      <w:pPr>
        <w:pStyle w:val="NoSpacing"/>
      </w:pPr>
      <w:r w:rsidRPr="00382C14">
        <w:rPr>
          <w:b/>
        </w:rPr>
        <w:t>Core Member Attendance:</w:t>
      </w:r>
      <w:r w:rsidR="009F7035" w:rsidRPr="00382C14">
        <w:t xml:space="preserve"> </w:t>
      </w:r>
      <w:r w:rsidRPr="00382C14">
        <w:t xml:space="preserve"> </w:t>
      </w:r>
      <w:r w:rsidR="00C05E37" w:rsidRPr="00382C14">
        <w:t xml:space="preserve"> </w:t>
      </w:r>
      <w:r w:rsidR="00051E6B">
        <w:t xml:space="preserve"> </w:t>
      </w:r>
      <w:r w:rsidR="008E4589">
        <w:t xml:space="preserve">Greg Bowers, Kathryn Brandt, </w:t>
      </w:r>
      <w:proofErr w:type="spellStart"/>
      <w:r w:rsidR="008E4589">
        <w:t>Becca</w:t>
      </w:r>
      <w:proofErr w:type="spellEnd"/>
      <w:r w:rsidR="008E4589">
        <w:t xml:space="preserve"> Emmons,</w:t>
      </w:r>
      <w:r w:rsidR="008E4589" w:rsidRPr="008E4589">
        <w:t xml:space="preserve"> </w:t>
      </w:r>
      <w:r w:rsidR="008E4589">
        <w:t xml:space="preserve">Joe Everett ,  Jud Knox, Jim Leonard, Chris </w:t>
      </w:r>
      <w:proofErr w:type="spellStart"/>
      <w:r w:rsidR="008E4589">
        <w:t>Pezzullo</w:t>
      </w:r>
      <w:proofErr w:type="spellEnd"/>
      <w:r w:rsidR="008E4589">
        <w:t xml:space="preserve">, Lydia Richard, Lyndsay Sanborn, Katie </w:t>
      </w:r>
      <w:proofErr w:type="spellStart"/>
      <w:r w:rsidR="008E4589">
        <w:t>Sendze</w:t>
      </w:r>
      <w:proofErr w:type="spellEnd"/>
      <w:r w:rsidR="008E4589">
        <w:t>, Betty St. Hilaire</w:t>
      </w:r>
    </w:p>
    <w:p w:rsidR="008E4589" w:rsidRPr="00382C14" w:rsidRDefault="008E4589" w:rsidP="00B360D6">
      <w:pPr>
        <w:pStyle w:val="NoSpacing"/>
      </w:pPr>
    </w:p>
    <w:p w:rsidR="00051E6B" w:rsidRDefault="00B360D6" w:rsidP="00B360D6">
      <w:r w:rsidRPr="00382C14">
        <w:rPr>
          <w:b/>
        </w:rPr>
        <w:t>Ad-Hoc Members</w:t>
      </w:r>
      <w:r w:rsidR="00585463" w:rsidRPr="00382C14">
        <w:rPr>
          <w:b/>
        </w:rPr>
        <w:t xml:space="preserve">: </w:t>
      </w:r>
      <w:r w:rsidR="00F03098">
        <w:t xml:space="preserve"> </w:t>
      </w:r>
      <w:r w:rsidR="00051E6B">
        <w:t xml:space="preserve"> </w:t>
      </w:r>
      <w:r w:rsidR="00EB3D4C">
        <w:t xml:space="preserve"> </w:t>
      </w:r>
      <w:r w:rsidR="008E4589">
        <w:t xml:space="preserve">Becky Hayes Boober  </w:t>
      </w:r>
    </w:p>
    <w:p w:rsidR="008E4589" w:rsidRDefault="00B360D6" w:rsidP="008C516A">
      <w:r w:rsidRPr="00382C14">
        <w:rPr>
          <w:b/>
        </w:rPr>
        <w:t>Interested Parties &amp; Guests</w:t>
      </w:r>
      <w:r w:rsidR="00B10C95" w:rsidRPr="00382C14">
        <w:rPr>
          <w:b/>
        </w:rPr>
        <w:t xml:space="preserve">: </w:t>
      </w:r>
      <w:r w:rsidR="00C05E37" w:rsidRPr="00382C14">
        <w:rPr>
          <w:b/>
        </w:rPr>
        <w:t xml:space="preserve"> </w:t>
      </w:r>
      <w:r w:rsidR="00F03098">
        <w:t xml:space="preserve"> </w:t>
      </w:r>
      <w:r w:rsidR="008E4589">
        <w:t xml:space="preserve">Amy Dix, Randy </w:t>
      </w:r>
      <w:proofErr w:type="spellStart"/>
      <w:r w:rsidR="008E4589">
        <w:t>Chenard</w:t>
      </w:r>
      <w:proofErr w:type="spellEnd"/>
      <w:r w:rsidR="008E4589">
        <w:t xml:space="preserve">, Gloria Aponte Clark, Loretta Dutill, Dennis Fitzgibbons, David Hanig, Jessica Newman </w:t>
      </w:r>
      <w:r w:rsidR="00D36D52">
        <w:t xml:space="preserve">Sandra Parker, </w:t>
      </w:r>
      <w:r w:rsidR="008E4589">
        <w:t xml:space="preserve">Helena Peterson, Rhonda </w:t>
      </w:r>
      <w:proofErr w:type="gramStart"/>
      <w:r w:rsidR="008E4589">
        <w:t>Selvin ,</w:t>
      </w:r>
      <w:proofErr w:type="gramEnd"/>
      <w:r w:rsidR="008E4589" w:rsidRPr="008E4589">
        <w:t xml:space="preserve"> </w:t>
      </w:r>
      <w:r w:rsidR="008E4589">
        <w:t xml:space="preserve">Patricia </w:t>
      </w:r>
      <w:proofErr w:type="spellStart"/>
      <w:r w:rsidR="008E4589">
        <w:t>Thorsen</w:t>
      </w:r>
      <w:proofErr w:type="spellEnd"/>
      <w:r w:rsidR="008E4589">
        <w:t>,  Katherine Woods</w:t>
      </w:r>
    </w:p>
    <w:p w:rsidR="00AD5607" w:rsidRPr="00382C14" w:rsidRDefault="00B360D6" w:rsidP="008C516A">
      <w:r w:rsidRPr="00382C14">
        <w:rPr>
          <w:b/>
        </w:rPr>
        <w:t>Staff:</w:t>
      </w:r>
      <w:r w:rsidRPr="00382C14">
        <w:t xml:space="preserve"> Lise Tancrede</w:t>
      </w:r>
    </w:p>
    <w:tbl>
      <w:tblPr>
        <w:tblStyle w:val="TableGrid"/>
        <w:tblW w:w="0" w:type="auto"/>
        <w:tblLook w:val="04A0" w:firstRow="1" w:lastRow="0" w:firstColumn="1" w:lastColumn="0" w:noHBand="0" w:noVBand="1"/>
      </w:tblPr>
      <w:tblGrid>
        <w:gridCol w:w="3708"/>
        <w:gridCol w:w="1620"/>
        <w:gridCol w:w="4050"/>
        <w:gridCol w:w="2790"/>
      </w:tblGrid>
      <w:tr w:rsidR="000A6C66" w:rsidRPr="00382C14" w:rsidTr="001D798E">
        <w:trPr>
          <w:tblHeader/>
        </w:trPr>
        <w:tc>
          <w:tcPr>
            <w:tcW w:w="3708" w:type="dxa"/>
          </w:tcPr>
          <w:p w:rsidR="000A6C66" w:rsidRPr="00382C14" w:rsidRDefault="000A6C66" w:rsidP="004C2832">
            <w:pPr>
              <w:pStyle w:val="Formal1"/>
              <w:spacing w:after="0"/>
              <w:rPr>
                <w:rFonts w:asciiTheme="minorHAnsi" w:hAnsiTheme="minorHAnsi" w:cstheme="minorHAnsi"/>
                <w:b/>
                <w:sz w:val="22"/>
                <w:szCs w:val="22"/>
              </w:rPr>
            </w:pPr>
            <w:r w:rsidRPr="00382C14">
              <w:rPr>
                <w:rFonts w:asciiTheme="minorHAnsi" w:hAnsiTheme="minorHAnsi" w:cstheme="minorHAnsi"/>
                <w:b/>
                <w:sz w:val="22"/>
                <w:szCs w:val="22"/>
              </w:rPr>
              <w:t>Topics</w:t>
            </w:r>
          </w:p>
        </w:tc>
        <w:tc>
          <w:tcPr>
            <w:tcW w:w="1620" w:type="dxa"/>
          </w:tcPr>
          <w:p w:rsidR="000A6C66" w:rsidRPr="00382C14" w:rsidRDefault="000A6C66" w:rsidP="004C2832">
            <w:pPr>
              <w:pStyle w:val="Formal1"/>
              <w:rPr>
                <w:rFonts w:asciiTheme="minorHAnsi" w:hAnsiTheme="minorHAnsi" w:cstheme="minorHAnsi"/>
                <w:b/>
                <w:sz w:val="22"/>
                <w:szCs w:val="22"/>
              </w:rPr>
            </w:pPr>
            <w:r w:rsidRPr="00382C14">
              <w:rPr>
                <w:rFonts w:asciiTheme="minorHAnsi" w:hAnsiTheme="minorHAnsi" w:cstheme="minorHAnsi"/>
                <w:b/>
                <w:sz w:val="22"/>
                <w:szCs w:val="22"/>
              </w:rPr>
              <w:t>Lead</w:t>
            </w:r>
          </w:p>
        </w:tc>
        <w:tc>
          <w:tcPr>
            <w:tcW w:w="4050" w:type="dxa"/>
          </w:tcPr>
          <w:p w:rsidR="000A6C66" w:rsidRPr="00382C14" w:rsidRDefault="000A6C66" w:rsidP="004C2832">
            <w:pPr>
              <w:rPr>
                <w:b/>
              </w:rPr>
            </w:pPr>
            <w:r w:rsidRPr="00382C14">
              <w:rPr>
                <w:b/>
              </w:rPr>
              <w:t>Notes</w:t>
            </w:r>
          </w:p>
        </w:tc>
        <w:tc>
          <w:tcPr>
            <w:tcW w:w="2790" w:type="dxa"/>
          </w:tcPr>
          <w:p w:rsidR="000A6C66" w:rsidRPr="00382C14" w:rsidRDefault="000A6C66" w:rsidP="004C2832">
            <w:pPr>
              <w:pStyle w:val="Formal1"/>
              <w:rPr>
                <w:rFonts w:asciiTheme="minorHAnsi" w:hAnsiTheme="minorHAnsi" w:cstheme="minorHAnsi"/>
                <w:b/>
                <w:sz w:val="22"/>
                <w:szCs w:val="22"/>
              </w:rPr>
            </w:pPr>
            <w:r w:rsidRPr="00382C14">
              <w:rPr>
                <w:rFonts w:asciiTheme="minorHAnsi" w:hAnsiTheme="minorHAnsi" w:cstheme="minorHAnsi"/>
                <w:b/>
                <w:sz w:val="22"/>
                <w:szCs w:val="22"/>
              </w:rPr>
              <w:t>Actions/Decisions</w:t>
            </w:r>
          </w:p>
        </w:tc>
      </w:tr>
      <w:tr w:rsidR="000A6C66" w:rsidRPr="00382C14" w:rsidTr="001D798E">
        <w:tc>
          <w:tcPr>
            <w:tcW w:w="3708" w:type="dxa"/>
          </w:tcPr>
          <w:p w:rsidR="000A6C66" w:rsidRPr="00382C14" w:rsidRDefault="000A6C66" w:rsidP="00B562FE">
            <w:pPr>
              <w:pStyle w:val="Formal1"/>
              <w:numPr>
                <w:ilvl w:val="0"/>
                <w:numId w:val="1"/>
              </w:numPr>
              <w:spacing w:after="0"/>
              <w:rPr>
                <w:rFonts w:asciiTheme="minorHAnsi" w:hAnsiTheme="minorHAnsi" w:cstheme="minorHAnsi"/>
                <w:b/>
                <w:sz w:val="22"/>
                <w:szCs w:val="22"/>
              </w:rPr>
            </w:pPr>
            <w:r w:rsidRPr="00382C14">
              <w:rPr>
                <w:rFonts w:asciiTheme="minorHAnsi" w:hAnsiTheme="minorHAnsi" w:cstheme="minorHAnsi"/>
                <w:b/>
                <w:sz w:val="22"/>
                <w:szCs w:val="22"/>
              </w:rPr>
              <w:t xml:space="preserve">Welcome! </w:t>
            </w:r>
            <w:r w:rsidR="00317EB4">
              <w:rPr>
                <w:rFonts w:asciiTheme="minorHAnsi" w:hAnsiTheme="minorHAnsi" w:cstheme="minorHAnsi"/>
                <w:b/>
                <w:sz w:val="22"/>
                <w:szCs w:val="22"/>
              </w:rPr>
              <w:t xml:space="preserve"> </w:t>
            </w:r>
            <w:r w:rsidRPr="00382C14">
              <w:rPr>
                <w:rFonts w:asciiTheme="minorHAnsi" w:hAnsiTheme="minorHAnsi" w:cstheme="minorHAnsi"/>
                <w:b/>
                <w:sz w:val="22"/>
                <w:szCs w:val="22"/>
              </w:rPr>
              <w:t xml:space="preserve">Agenda Review </w:t>
            </w:r>
          </w:p>
        </w:tc>
        <w:tc>
          <w:tcPr>
            <w:tcW w:w="1620" w:type="dxa"/>
          </w:tcPr>
          <w:p w:rsidR="000A6C66" w:rsidRDefault="000A6C66" w:rsidP="0061044D">
            <w:pPr>
              <w:pStyle w:val="Formal1"/>
              <w:rPr>
                <w:rFonts w:asciiTheme="minorHAnsi" w:hAnsiTheme="minorHAnsi" w:cstheme="minorHAnsi"/>
                <w:b/>
                <w:sz w:val="22"/>
                <w:szCs w:val="22"/>
              </w:rPr>
            </w:pPr>
            <w:r w:rsidRPr="00382C14">
              <w:rPr>
                <w:rFonts w:asciiTheme="minorHAnsi" w:hAnsiTheme="minorHAnsi" w:cstheme="minorHAnsi"/>
                <w:b/>
                <w:sz w:val="22"/>
                <w:szCs w:val="22"/>
              </w:rPr>
              <w:t>Lisa Tuttle</w:t>
            </w:r>
          </w:p>
          <w:p w:rsidR="00046DB0" w:rsidRPr="00382C14" w:rsidRDefault="00366684" w:rsidP="0061044D">
            <w:pPr>
              <w:pStyle w:val="Formal1"/>
              <w:rPr>
                <w:rFonts w:asciiTheme="minorHAnsi" w:hAnsiTheme="minorHAnsi" w:cstheme="minorHAnsi"/>
                <w:b/>
                <w:sz w:val="22"/>
                <w:szCs w:val="22"/>
              </w:rPr>
            </w:pPr>
            <w:r>
              <w:rPr>
                <w:rFonts w:asciiTheme="minorHAnsi" w:hAnsiTheme="minorHAnsi" w:cstheme="minorHAnsi"/>
                <w:b/>
                <w:sz w:val="22"/>
                <w:szCs w:val="22"/>
              </w:rPr>
              <w:t>10:00 (5 min)</w:t>
            </w:r>
          </w:p>
        </w:tc>
        <w:tc>
          <w:tcPr>
            <w:tcW w:w="4050" w:type="dxa"/>
          </w:tcPr>
          <w:p w:rsidR="00DE01B4" w:rsidRDefault="00234602" w:rsidP="00737F54">
            <w:r>
              <w:t xml:space="preserve">The group discussed the </w:t>
            </w:r>
            <w:r w:rsidR="00D36D52">
              <w:t xml:space="preserve">most meaningful </w:t>
            </w:r>
            <w:r>
              <w:t xml:space="preserve">process to </w:t>
            </w:r>
            <w:r w:rsidR="00D36D52">
              <w:t xml:space="preserve">keep track of status of </w:t>
            </w:r>
            <w:r w:rsidR="00DE01B4">
              <w:t>initiatives</w:t>
            </w:r>
            <w:r w:rsidR="00D36D52">
              <w:t xml:space="preserve"> along with the Charge of the </w:t>
            </w:r>
            <w:r w:rsidR="00DE01B4">
              <w:t>Subcommittee</w:t>
            </w:r>
          </w:p>
          <w:p w:rsidR="00DE01B4" w:rsidRPr="00923960" w:rsidRDefault="00DE01B4" w:rsidP="00737F54">
            <w:pPr>
              <w:rPr>
                <w:u w:val="single"/>
              </w:rPr>
            </w:pPr>
            <w:r w:rsidRPr="00923960">
              <w:rPr>
                <w:u w:val="single"/>
              </w:rPr>
              <w:t>Discussion and Suggestions:</w:t>
            </w:r>
          </w:p>
          <w:p w:rsidR="00D36D52" w:rsidRDefault="00D36D52" w:rsidP="00737F54">
            <w:r>
              <w:t>As part of package</w:t>
            </w:r>
            <w:r w:rsidR="00DE01B4">
              <w:t>, would like</w:t>
            </w:r>
            <w:r>
              <w:t xml:space="preserve"> to see how projects are interfacing with other groups.  I.e. dependency on payment reform and how does that interact with each project.</w:t>
            </w:r>
          </w:p>
          <w:p w:rsidR="00D36D52" w:rsidRDefault="00D36D52" w:rsidP="00737F54">
            <w:r>
              <w:t xml:space="preserve">We can review dependencies and risks and try to follow those threads through </w:t>
            </w:r>
            <w:r>
              <w:lastRenderedPageBreak/>
              <w:t>history.</w:t>
            </w:r>
          </w:p>
          <w:p w:rsidR="00D36D52" w:rsidRDefault="00DE01B4" w:rsidP="00737F54">
            <w:r>
              <w:t>Some members p</w:t>
            </w:r>
            <w:r w:rsidR="00D36D52">
              <w:t>refer updates to come thru written form and use our time in facilitated work on the ground.</w:t>
            </w:r>
          </w:p>
          <w:p w:rsidR="00366684" w:rsidRDefault="00366684" w:rsidP="00737F54"/>
          <w:p w:rsidR="00366684" w:rsidRDefault="00D36D52" w:rsidP="00737F54">
            <w:r>
              <w:t xml:space="preserve">Katie </w:t>
            </w:r>
            <w:proofErr w:type="spellStart"/>
            <w:r>
              <w:t>Sendze</w:t>
            </w:r>
            <w:proofErr w:type="spellEnd"/>
            <w:r>
              <w:t xml:space="preserve"> gave an update </w:t>
            </w:r>
            <w:r w:rsidR="00234602">
              <w:t xml:space="preserve">changes in the charge and composition of the </w:t>
            </w:r>
            <w:r>
              <w:t>Data Infrastructure</w:t>
            </w:r>
            <w:r w:rsidR="00234602">
              <w:t xml:space="preserve"> Subcommittee</w:t>
            </w:r>
            <w:r>
              <w:t>.</w:t>
            </w:r>
            <w:r w:rsidR="009309AC">
              <w:t xml:space="preserve">  </w:t>
            </w:r>
            <w:r w:rsidR="00234602">
              <w:t>They are changing to a focus on leveraging integrated data solutions broadly for activities under SIM.</w:t>
            </w:r>
          </w:p>
          <w:p w:rsidR="00366684" w:rsidRDefault="00366684" w:rsidP="00737F54"/>
          <w:p w:rsidR="003E67C2" w:rsidRDefault="009309AC" w:rsidP="00737F54">
            <w:r>
              <w:t xml:space="preserve">Helena </w:t>
            </w:r>
            <w:r w:rsidR="00923960">
              <w:t xml:space="preserve">Peterson </w:t>
            </w:r>
            <w:r>
              <w:t>volunteered to join the Data Infr</w:t>
            </w:r>
            <w:r w:rsidR="00923960">
              <w:t>astructure subcommittee meetings.</w:t>
            </w:r>
          </w:p>
          <w:p w:rsidR="003E67C2" w:rsidRPr="00382C14" w:rsidRDefault="003E67C2" w:rsidP="00737F54"/>
        </w:tc>
        <w:tc>
          <w:tcPr>
            <w:tcW w:w="2790" w:type="dxa"/>
          </w:tcPr>
          <w:p w:rsidR="009309AC" w:rsidRDefault="008E4589" w:rsidP="0061044D">
            <w:pPr>
              <w:pStyle w:val="Formal1"/>
              <w:rPr>
                <w:rFonts w:asciiTheme="minorHAnsi" w:hAnsiTheme="minorHAnsi" w:cstheme="minorHAnsi"/>
                <w:b/>
                <w:sz w:val="22"/>
                <w:szCs w:val="22"/>
              </w:rPr>
            </w:pPr>
            <w:r>
              <w:rPr>
                <w:rFonts w:asciiTheme="minorHAnsi" w:hAnsiTheme="minorHAnsi" w:cstheme="minorHAnsi"/>
                <w:b/>
                <w:sz w:val="22"/>
                <w:szCs w:val="22"/>
              </w:rPr>
              <w:lastRenderedPageBreak/>
              <w:t>Agenda Reviewed and Accepted</w:t>
            </w:r>
          </w:p>
          <w:p w:rsidR="009309AC" w:rsidRDefault="009309AC" w:rsidP="0061044D">
            <w:pPr>
              <w:pStyle w:val="Formal1"/>
              <w:rPr>
                <w:rFonts w:asciiTheme="minorHAnsi" w:hAnsiTheme="minorHAnsi" w:cstheme="minorHAnsi"/>
                <w:b/>
                <w:sz w:val="22"/>
                <w:szCs w:val="22"/>
              </w:rPr>
            </w:pPr>
          </w:p>
          <w:p w:rsidR="00923960" w:rsidRDefault="00923960" w:rsidP="009309AC">
            <w:pPr>
              <w:pStyle w:val="Formal1"/>
              <w:tabs>
                <w:tab w:val="center" w:pos="1287"/>
              </w:tabs>
              <w:rPr>
                <w:rFonts w:asciiTheme="minorHAnsi" w:hAnsiTheme="minorHAnsi" w:cstheme="minorHAnsi"/>
                <w:b/>
                <w:sz w:val="22"/>
                <w:szCs w:val="22"/>
              </w:rPr>
            </w:pPr>
          </w:p>
          <w:p w:rsidR="00923960" w:rsidRDefault="00923960" w:rsidP="009309AC">
            <w:pPr>
              <w:pStyle w:val="Formal1"/>
              <w:tabs>
                <w:tab w:val="center" w:pos="1287"/>
              </w:tabs>
              <w:rPr>
                <w:rFonts w:asciiTheme="minorHAnsi" w:hAnsiTheme="minorHAnsi" w:cstheme="minorHAnsi"/>
                <w:b/>
                <w:sz w:val="22"/>
                <w:szCs w:val="22"/>
              </w:rPr>
            </w:pPr>
          </w:p>
          <w:p w:rsidR="00923960" w:rsidRDefault="00923960" w:rsidP="009309AC">
            <w:pPr>
              <w:pStyle w:val="Formal1"/>
              <w:tabs>
                <w:tab w:val="center" w:pos="1287"/>
              </w:tabs>
              <w:rPr>
                <w:rFonts w:asciiTheme="minorHAnsi" w:hAnsiTheme="minorHAnsi" w:cstheme="minorHAnsi"/>
                <w:b/>
                <w:sz w:val="22"/>
                <w:szCs w:val="22"/>
              </w:rPr>
            </w:pPr>
          </w:p>
          <w:p w:rsidR="00923960" w:rsidRDefault="00923960" w:rsidP="009309AC">
            <w:pPr>
              <w:pStyle w:val="Formal1"/>
              <w:tabs>
                <w:tab w:val="center" w:pos="1287"/>
              </w:tabs>
              <w:rPr>
                <w:rFonts w:asciiTheme="minorHAnsi" w:hAnsiTheme="minorHAnsi" w:cstheme="minorHAnsi"/>
                <w:b/>
                <w:sz w:val="22"/>
                <w:szCs w:val="22"/>
              </w:rPr>
            </w:pPr>
          </w:p>
          <w:p w:rsidR="00923960" w:rsidRDefault="00923960" w:rsidP="009309AC">
            <w:pPr>
              <w:pStyle w:val="Formal1"/>
              <w:tabs>
                <w:tab w:val="center" w:pos="1287"/>
              </w:tabs>
              <w:rPr>
                <w:rFonts w:asciiTheme="minorHAnsi" w:hAnsiTheme="minorHAnsi" w:cstheme="minorHAnsi"/>
                <w:b/>
                <w:sz w:val="22"/>
                <w:szCs w:val="22"/>
              </w:rPr>
            </w:pPr>
          </w:p>
          <w:p w:rsidR="00923960" w:rsidRDefault="00923960" w:rsidP="009309AC">
            <w:pPr>
              <w:pStyle w:val="Formal1"/>
              <w:tabs>
                <w:tab w:val="center" w:pos="1287"/>
              </w:tabs>
              <w:rPr>
                <w:rFonts w:asciiTheme="minorHAnsi" w:hAnsiTheme="minorHAnsi" w:cstheme="minorHAnsi"/>
                <w:b/>
                <w:sz w:val="22"/>
                <w:szCs w:val="22"/>
              </w:rPr>
            </w:pPr>
          </w:p>
          <w:p w:rsidR="00DE01B4" w:rsidRDefault="009309AC" w:rsidP="009309AC">
            <w:pPr>
              <w:pStyle w:val="Formal1"/>
              <w:tabs>
                <w:tab w:val="center" w:pos="1287"/>
              </w:tabs>
              <w:rPr>
                <w:rFonts w:asciiTheme="minorHAnsi" w:hAnsiTheme="minorHAnsi" w:cstheme="minorHAnsi"/>
                <w:b/>
                <w:sz w:val="22"/>
                <w:szCs w:val="22"/>
              </w:rPr>
            </w:pPr>
            <w:r>
              <w:rPr>
                <w:rFonts w:asciiTheme="minorHAnsi" w:hAnsiTheme="minorHAnsi" w:cstheme="minorHAnsi"/>
                <w:b/>
                <w:sz w:val="22"/>
                <w:szCs w:val="22"/>
              </w:rPr>
              <w:lastRenderedPageBreak/>
              <w:t xml:space="preserve">Action: </w:t>
            </w:r>
            <w:r w:rsidR="00DE01B4">
              <w:rPr>
                <w:rFonts w:asciiTheme="minorHAnsi" w:hAnsiTheme="minorHAnsi" w:cstheme="minorHAnsi"/>
                <w:b/>
                <w:sz w:val="22"/>
                <w:szCs w:val="22"/>
              </w:rPr>
              <w:t>Lise/Lisa T.</w:t>
            </w:r>
          </w:p>
          <w:p w:rsidR="009309AC" w:rsidRDefault="009309AC" w:rsidP="009309AC">
            <w:pPr>
              <w:pStyle w:val="Formal1"/>
              <w:tabs>
                <w:tab w:val="center" w:pos="1287"/>
              </w:tabs>
              <w:rPr>
                <w:rFonts w:asciiTheme="minorHAnsi" w:hAnsiTheme="minorHAnsi" w:cstheme="minorHAnsi"/>
                <w:b/>
                <w:sz w:val="22"/>
                <w:szCs w:val="22"/>
              </w:rPr>
            </w:pPr>
            <w:r>
              <w:rPr>
                <w:rFonts w:asciiTheme="minorHAnsi" w:hAnsiTheme="minorHAnsi" w:cstheme="minorHAnsi"/>
                <w:b/>
                <w:sz w:val="22"/>
                <w:szCs w:val="22"/>
              </w:rPr>
              <w:t>At May Meeting will incorporate suggestions from the subcommittee on a different approach to reviewing the initiative updates</w:t>
            </w:r>
          </w:p>
          <w:p w:rsidR="000A6C66" w:rsidRPr="00382C14" w:rsidRDefault="009309AC" w:rsidP="009309AC">
            <w:pPr>
              <w:pStyle w:val="Formal1"/>
              <w:tabs>
                <w:tab w:val="center" w:pos="1287"/>
              </w:tabs>
              <w:rPr>
                <w:rFonts w:asciiTheme="minorHAnsi" w:hAnsiTheme="minorHAnsi" w:cstheme="minorHAnsi"/>
                <w:b/>
                <w:sz w:val="22"/>
                <w:szCs w:val="22"/>
              </w:rPr>
            </w:pPr>
            <w:r>
              <w:rPr>
                <w:rFonts w:asciiTheme="minorHAnsi" w:hAnsiTheme="minorHAnsi" w:cstheme="minorHAnsi"/>
                <w:b/>
                <w:sz w:val="22"/>
                <w:szCs w:val="22"/>
              </w:rPr>
              <w:tab/>
            </w:r>
          </w:p>
        </w:tc>
      </w:tr>
      <w:tr w:rsidR="000A6C66" w:rsidRPr="00382C14" w:rsidTr="001D798E">
        <w:tc>
          <w:tcPr>
            <w:tcW w:w="3708" w:type="dxa"/>
          </w:tcPr>
          <w:p w:rsidR="00F80216" w:rsidRDefault="00307654" w:rsidP="0019691C">
            <w:pPr>
              <w:pStyle w:val="ListParagraph"/>
              <w:numPr>
                <w:ilvl w:val="0"/>
                <w:numId w:val="1"/>
              </w:numPr>
              <w:rPr>
                <w:rFonts w:asciiTheme="minorHAnsi" w:hAnsiTheme="minorHAnsi" w:cstheme="minorHAnsi"/>
                <w:b/>
              </w:rPr>
            </w:pPr>
            <w:r>
              <w:rPr>
                <w:rFonts w:asciiTheme="minorHAnsi" w:hAnsiTheme="minorHAnsi" w:cstheme="minorHAnsi"/>
                <w:b/>
              </w:rPr>
              <w:lastRenderedPageBreak/>
              <w:t xml:space="preserve">Approval of </w:t>
            </w:r>
            <w:r w:rsidR="00F80216">
              <w:rPr>
                <w:rFonts w:asciiTheme="minorHAnsi" w:hAnsiTheme="minorHAnsi" w:cstheme="minorHAnsi"/>
                <w:b/>
              </w:rPr>
              <w:t xml:space="preserve">1-7-15 </w:t>
            </w:r>
            <w:r>
              <w:rPr>
                <w:rFonts w:asciiTheme="minorHAnsi" w:hAnsiTheme="minorHAnsi" w:cstheme="minorHAnsi"/>
                <w:b/>
              </w:rPr>
              <w:t>DSR SIM Notes</w:t>
            </w:r>
          </w:p>
          <w:p w:rsidR="00F80216" w:rsidRPr="00F80216" w:rsidRDefault="00F80216" w:rsidP="00F80216">
            <w:pPr>
              <w:pStyle w:val="ListParagraph"/>
              <w:numPr>
                <w:ilvl w:val="0"/>
                <w:numId w:val="1"/>
              </w:numPr>
              <w:rPr>
                <w:rFonts w:cstheme="minorHAnsi"/>
                <w:b/>
              </w:rPr>
            </w:pPr>
            <w:r w:rsidRPr="00F80216">
              <w:rPr>
                <w:rFonts w:cstheme="minorHAnsi"/>
                <w:b/>
              </w:rPr>
              <w:t xml:space="preserve">Payment Reform 2-17-15 Minutes </w:t>
            </w:r>
          </w:p>
          <w:p w:rsidR="00366684" w:rsidRDefault="00F80216" w:rsidP="00F80216">
            <w:pPr>
              <w:pStyle w:val="ListParagraph"/>
              <w:ind w:left="360"/>
              <w:rPr>
                <w:rFonts w:cstheme="minorHAnsi"/>
                <w:b/>
              </w:rPr>
            </w:pPr>
            <w:r>
              <w:rPr>
                <w:rFonts w:asciiTheme="minorHAnsi" w:hAnsiTheme="minorHAnsi" w:cstheme="minorHAnsi"/>
                <w:b/>
              </w:rPr>
              <w:t>No DI subcommittee meeting</w:t>
            </w:r>
          </w:p>
          <w:p w:rsidR="00366684" w:rsidRPr="00366684" w:rsidRDefault="00366684" w:rsidP="00366684">
            <w:pPr>
              <w:rPr>
                <w:rFonts w:cstheme="minorHAnsi"/>
                <w:b/>
              </w:rPr>
            </w:pPr>
          </w:p>
        </w:tc>
        <w:tc>
          <w:tcPr>
            <w:tcW w:w="1620" w:type="dxa"/>
          </w:tcPr>
          <w:p w:rsidR="00205ACD" w:rsidRDefault="000A6C66" w:rsidP="00CA513B">
            <w:pPr>
              <w:rPr>
                <w:b/>
              </w:rPr>
            </w:pPr>
            <w:r w:rsidRPr="00382C14">
              <w:rPr>
                <w:b/>
              </w:rPr>
              <w:t>All</w:t>
            </w:r>
          </w:p>
          <w:p w:rsidR="000A6C66" w:rsidRPr="00382C14" w:rsidRDefault="00F80216" w:rsidP="00CA513B">
            <w:pPr>
              <w:rPr>
                <w:b/>
              </w:rPr>
            </w:pPr>
            <w:r>
              <w:rPr>
                <w:b/>
              </w:rPr>
              <w:t xml:space="preserve">10:05 (5 </w:t>
            </w:r>
            <w:r w:rsidR="00366684">
              <w:rPr>
                <w:b/>
              </w:rPr>
              <w:t>min)</w:t>
            </w:r>
          </w:p>
          <w:p w:rsidR="00046DB0" w:rsidRPr="00382C14" w:rsidRDefault="006C2122" w:rsidP="00CA513B">
            <w:pPr>
              <w:rPr>
                <w:b/>
              </w:rPr>
            </w:pPr>
            <w:r>
              <w:rPr>
                <w:b/>
              </w:rPr>
              <w:t xml:space="preserve"> </w:t>
            </w:r>
          </w:p>
          <w:p w:rsidR="000C5E04" w:rsidRPr="00382C14" w:rsidRDefault="000C5E04" w:rsidP="00CA513B">
            <w:pPr>
              <w:rPr>
                <w:b/>
              </w:rPr>
            </w:pPr>
          </w:p>
        </w:tc>
        <w:tc>
          <w:tcPr>
            <w:tcW w:w="4050" w:type="dxa"/>
          </w:tcPr>
          <w:p w:rsidR="000C5E04" w:rsidRDefault="00890898" w:rsidP="00D939BC">
            <w:pPr>
              <w:spacing w:after="200" w:line="276" w:lineRule="auto"/>
              <w:rPr>
                <w:rFonts w:cstheme="minorHAnsi"/>
              </w:rPr>
            </w:pPr>
            <w:r>
              <w:rPr>
                <w:rFonts w:cstheme="minorHAnsi"/>
              </w:rPr>
              <w:t>No edits to the SIM DSR notes from 1-7-15</w:t>
            </w:r>
          </w:p>
          <w:p w:rsidR="003E67C2" w:rsidRPr="00382C14" w:rsidRDefault="00220AC6" w:rsidP="00D939BC">
            <w:pPr>
              <w:spacing w:after="200" w:line="276" w:lineRule="auto"/>
              <w:rPr>
                <w:rFonts w:cstheme="minorHAnsi"/>
              </w:rPr>
            </w:pPr>
            <w:r>
              <w:rPr>
                <w:rFonts w:cstheme="minorHAnsi"/>
              </w:rPr>
              <w:t>No additional comments on Payment Reform minutes</w:t>
            </w:r>
          </w:p>
        </w:tc>
        <w:tc>
          <w:tcPr>
            <w:tcW w:w="2790" w:type="dxa"/>
          </w:tcPr>
          <w:p w:rsidR="007824F0" w:rsidRPr="00382C14" w:rsidRDefault="00220AC6" w:rsidP="00220AC6">
            <w:pPr>
              <w:spacing w:after="200" w:line="276" w:lineRule="auto"/>
              <w:rPr>
                <w:rFonts w:cstheme="minorHAnsi"/>
                <w:b/>
              </w:rPr>
            </w:pPr>
            <w:r>
              <w:rPr>
                <w:rFonts w:cstheme="minorHAnsi"/>
                <w:b/>
              </w:rPr>
              <w:t xml:space="preserve">DSR Subcommittee approved the 1-7-15 SIM DSR subcommittee meeting notes </w:t>
            </w:r>
            <w:r w:rsidR="00890898">
              <w:rPr>
                <w:rFonts w:cstheme="minorHAnsi"/>
                <w:b/>
              </w:rPr>
              <w:t xml:space="preserve"> as presented</w:t>
            </w:r>
          </w:p>
        </w:tc>
      </w:tr>
      <w:tr w:rsidR="00890898" w:rsidRPr="00382C14" w:rsidTr="001D798E">
        <w:tc>
          <w:tcPr>
            <w:tcW w:w="3708" w:type="dxa"/>
          </w:tcPr>
          <w:p w:rsidR="00890898" w:rsidRDefault="00890898" w:rsidP="00317EB4">
            <w:pPr>
              <w:pStyle w:val="ListParagraph"/>
              <w:numPr>
                <w:ilvl w:val="0"/>
                <w:numId w:val="1"/>
              </w:numPr>
              <w:rPr>
                <w:rFonts w:cstheme="minorHAnsi"/>
                <w:b/>
              </w:rPr>
            </w:pPr>
            <w:r>
              <w:rPr>
                <w:rFonts w:cstheme="minorHAnsi"/>
                <w:b/>
              </w:rPr>
              <w:t>Steering Committee Updates</w:t>
            </w:r>
          </w:p>
          <w:p w:rsidR="00890898" w:rsidRPr="00F80216" w:rsidRDefault="00890898" w:rsidP="00F80216">
            <w:pPr>
              <w:pStyle w:val="ListParagraph"/>
              <w:numPr>
                <w:ilvl w:val="0"/>
                <w:numId w:val="19"/>
              </w:numPr>
              <w:rPr>
                <w:rFonts w:cstheme="minorHAnsi"/>
                <w:b/>
              </w:rPr>
            </w:pPr>
            <w:r w:rsidRPr="00F80216">
              <w:rPr>
                <w:rFonts w:cstheme="minorHAnsi"/>
                <w:b/>
              </w:rPr>
              <w:t>Disabilities risk (Convene Small Group)</w:t>
            </w:r>
          </w:p>
          <w:p w:rsidR="00890898" w:rsidRDefault="00890898" w:rsidP="00307654">
            <w:pPr>
              <w:pStyle w:val="ListParagraph"/>
              <w:ind w:left="360"/>
              <w:rPr>
                <w:rFonts w:cstheme="minorHAnsi"/>
                <w:b/>
              </w:rPr>
            </w:pPr>
          </w:p>
          <w:p w:rsidR="00890898" w:rsidRPr="00317EB4" w:rsidRDefault="00890898" w:rsidP="00307654">
            <w:pPr>
              <w:pStyle w:val="ListParagraph"/>
              <w:ind w:left="360"/>
              <w:rPr>
                <w:rFonts w:cstheme="minorHAnsi"/>
                <w:b/>
              </w:rPr>
            </w:pPr>
          </w:p>
        </w:tc>
        <w:tc>
          <w:tcPr>
            <w:tcW w:w="1620" w:type="dxa"/>
          </w:tcPr>
          <w:p w:rsidR="00890898" w:rsidRDefault="00890898" w:rsidP="00CA513B">
            <w:pPr>
              <w:rPr>
                <w:b/>
              </w:rPr>
            </w:pPr>
            <w:r>
              <w:rPr>
                <w:b/>
              </w:rPr>
              <w:t xml:space="preserve">Randy </w:t>
            </w:r>
            <w:proofErr w:type="spellStart"/>
            <w:r>
              <w:rPr>
                <w:b/>
              </w:rPr>
              <w:t>Chenard</w:t>
            </w:r>
            <w:proofErr w:type="spellEnd"/>
            <w:r>
              <w:rPr>
                <w:b/>
              </w:rPr>
              <w:t>, Gloria Aponte Clark, All</w:t>
            </w:r>
          </w:p>
          <w:p w:rsidR="00890898" w:rsidRDefault="00890898" w:rsidP="00CA513B">
            <w:pPr>
              <w:rPr>
                <w:b/>
              </w:rPr>
            </w:pPr>
            <w:r>
              <w:rPr>
                <w:b/>
              </w:rPr>
              <w:t>10:10 (10</w:t>
            </w:r>
            <w:r w:rsidRPr="00F80216">
              <w:rPr>
                <w:b/>
                <w:color w:val="FF0000"/>
              </w:rPr>
              <w:t xml:space="preserve"> </w:t>
            </w:r>
            <w:r>
              <w:rPr>
                <w:b/>
              </w:rPr>
              <w:t>min)</w:t>
            </w:r>
          </w:p>
          <w:p w:rsidR="00890898" w:rsidRDefault="00890898" w:rsidP="00CA513B">
            <w:pPr>
              <w:rPr>
                <w:b/>
              </w:rPr>
            </w:pPr>
          </w:p>
          <w:p w:rsidR="00890898" w:rsidRDefault="00890898" w:rsidP="00CA513B">
            <w:pPr>
              <w:rPr>
                <w:b/>
              </w:rPr>
            </w:pPr>
          </w:p>
          <w:p w:rsidR="00890898" w:rsidRPr="00382C14" w:rsidRDefault="00890898" w:rsidP="00CA513B">
            <w:pPr>
              <w:rPr>
                <w:b/>
              </w:rPr>
            </w:pPr>
          </w:p>
          <w:p w:rsidR="00890898" w:rsidRPr="00382C14" w:rsidRDefault="00890898" w:rsidP="00CA513B">
            <w:pPr>
              <w:rPr>
                <w:b/>
              </w:rPr>
            </w:pPr>
          </w:p>
        </w:tc>
        <w:tc>
          <w:tcPr>
            <w:tcW w:w="4050" w:type="dxa"/>
          </w:tcPr>
          <w:p w:rsidR="00220AC6" w:rsidRDefault="00220AC6" w:rsidP="009E21FE">
            <w:pPr>
              <w:rPr>
                <w:rFonts w:cstheme="minorHAnsi"/>
                <w:u w:val="single"/>
              </w:rPr>
            </w:pPr>
            <w:r w:rsidRPr="00923960">
              <w:rPr>
                <w:rFonts w:cstheme="minorHAnsi"/>
                <w:u w:val="single"/>
              </w:rPr>
              <w:t>Steering Committee Updates:</w:t>
            </w:r>
          </w:p>
          <w:p w:rsidR="00923960" w:rsidRPr="00923960" w:rsidRDefault="00923960" w:rsidP="009E21FE">
            <w:pPr>
              <w:rPr>
                <w:rFonts w:cstheme="minorHAnsi"/>
                <w:u w:val="single"/>
              </w:rPr>
            </w:pPr>
          </w:p>
          <w:p w:rsidR="00890898" w:rsidRPr="00923960" w:rsidRDefault="00890898" w:rsidP="00923960">
            <w:pPr>
              <w:pStyle w:val="ListParagraph"/>
              <w:numPr>
                <w:ilvl w:val="0"/>
                <w:numId w:val="20"/>
              </w:numPr>
              <w:rPr>
                <w:rFonts w:cstheme="minorHAnsi"/>
              </w:rPr>
            </w:pPr>
            <w:r w:rsidRPr="00923960">
              <w:rPr>
                <w:rFonts w:cstheme="minorHAnsi"/>
              </w:rPr>
              <w:t>A working group</w:t>
            </w:r>
            <w:r w:rsidR="00220AC6" w:rsidRPr="00923960">
              <w:rPr>
                <w:rFonts w:cstheme="minorHAnsi"/>
              </w:rPr>
              <w:t xml:space="preserve"> has been established to review</w:t>
            </w:r>
            <w:r w:rsidRPr="00923960">
              <w:rPr>
                <w:rFonts w:cstheme="minorHAnsi"/>
              </w:rPr>
              <w:t xml:space="preserve"> all SIM Objectives</w:t>
            </w:r>
            <w:r w:rsidR="00220AC6" w:rsidRPr="00923960">
              <w:rPr>
                <w:rFonts w:cstheme="minorHAnsi"/>
              </w:rPr>
              <w:t xml:space="preserve"> with a focus on looking at the objectives that are</w:t>
            </w:r>
            <w:r w:rsidRPr="00923960">
              <w:rPr>
                <w:rFonts w:cstheme="minorHAnsi"/>
              </w:rPr>
              <w:t xml:space="preserve"> currently funded</w:t>
            </w:r>
            <w:r w:rsidR="00220AC6" w:rsidRPr="00923960">
              <w:rPr>
                <w:rFonts w:cstheme="minorHAnsi"/>
              </w:rPr>
              <w:t xml:space="preserve"> and</w:t>
            </w:r>
            <w:r w:rsidRPr="00923960">
              <w:rPr>
                <w:rFonts w:cstheme="minorHAnsi"/>
              </w:rPr>
              <w:t xml:space="preserve"> are the</w:t>
            </w:r>
            <w:r w:rsidR="00220AC6" w:rsidRPr="00923960">
              <w:rPr>
                <w:rFonts w:cstheme="minorHAnsi"/>
              </w:rPr>
              <w:t>y the</w:t>
            </w:r>
            <w:r w:rsidRPr="00923960">
              <w:rPr>
                <w:rFonts w:cstheme="minorHAnsi"/>
              </w:rPr>
              <w:t xml:space="preserve"> right ones to be funded.  </w:t>
            </w:r>
            <w:r w:rsidR="00220AC6" w:rsidRPr="00923960">
              <w:rPr>
                <w:rFonts w:cstheme="minorHAnsi"/>
              </w:rPr>
              <w:t>The working group will also review</w:t>
            </w:r>
            <w:r w:rsidRPr="00923960">
              <w:rPr>
                <w:rFonts w:cstheme="minorHAnsi"/>
              </w:rPr>
              <w:t xml:space="preserve"> </w:t>
            </w:r>
            <w:r w:rsidR="00220AC6" w:rsidRPr="00923960">
              <w:rPr>
                <w:rFonts w:cstheme="minorHAnsi"/>
              </w:rPr>
              <w:t xml:space="preserve">the </w:t>
            </w:r>
            <w:r w:rsidRPr="00923960">
              <w:rPr>
                <w:rFonts w:cstheme="minorHAnsi"/>
              </w:rPr>
              <w:t>six strategic levels.</w:t>
            </w:r>
            <w:r w:rsidR="00220AC6" w:rsidRPr="00923960">
              <w:rPr>
                <w:rFonts w:cstheme="minorHAnsi"/>
              </w:rPr>
              <w:t xml:space="preserve">  They will be l</w:t>
            </w:r>
            <w:r w:rsidR="008B23C9" w:rsidRPr="00923960">
              <w:rPr>
                <w:rFonts w:cstheme="minorHAnsi"/>
              </w:rPr>
              <w:t>ooking at the things that are not going as planned and why are they not progressing as expected.</w:t>
            </w:r>
          </w:p>
          <w:p w:rsidR="00FC5EE6" w:rsidRDefault="00FC5EE6" w:rsidP="009E21FE">
            <w:pPr>
              <w:rPr>
                <w:rFonts w:cstheme="minorHAnsi"/>
              </w:rPr>
            </w:pPr>
          </w:p>
          <w:p w:rsidR="00FC5EE6" w:rsidRPr="00923960" w:rsidRDefault="00401C9F" w:rsidP="00923960">
            <w:pPr>
              <w:pStyle w:val="ListParagraph"/>
              <w:numPr>
                <w:ilvl w:val="0"/>
                <w:numId w:val="20"/>
              </w:numPr>
              <w:rPr>
                <w:rFonts w:cstheme="minorHAnsi"/>
              </w:rPr>
            </w:pPr>
            <w:r w:rsidRPr="00923960">
              <w:rPr>
                <w:rFonts w:cstheme="minorHAnsi"/>
              </w:rPr>
              <w:t xml:space="preserve">The </w:t>
            </w:r>
            <w:r w:rsidR="00FC5EE6" w:rsidRPr="00923960">
              <w:rPr>
                <w:rFonts w:cstheme="minorHAnsi"/>
              </w:rPr>
              <w:t>Total cost of care measure was endorsed by the Steering Committee for broad public reporting.</w:t>
            </w:r>
          </w:p>
          <w:p w:rsidR="00FC5EE6" w:rsidRDefault="00FC5EE6" w:rsidP="009E21FE">
            <w:pPr>
              <w:rPr>
                <w:rFonts w:cstheme="minorHAnsi"/>
              </w:rPr>
            </w:pPr>
          </w:p>
          <w:p w:rsidR="00FC5EE6" w:rsidRPr="00923960" w:rsidRDefault="00FC5EE6" w:rsidP="00923960">
            <w:pPr>
              <w:pStyle w:val="ListParagraph"/>
              <w:numPr>
                <w:ilvl w:val="0"/>
                <w:numId w:val="20"/>
              </w:numPr>
              <w:rPr>
                <w:rFonts w:cstheme="minorHAnsi"/>
              </w:rPr>
            </w:pPr>
            <w:r w:rsidRPr="00923960">
              <w:rPr>
                <w:rFonts w:cstheme="minorHAnsi"/>
              </w:rPr>
              <w:t>Upcoming for</w:t>
            </w:r>
            <w:r w:rsidR="00401C9F" w:rsidRPr="00923960">
              <w:rPr>
                <w:rFonts w:cstheme="minorHAnsi"/>
              </w:rPr>
              <w:t xml:space="preserve"> the Steering Committee</w:t>
            </w:r>
            <w:r w:rsidRPr="00923960">
              <w:rPr>
                <w:rFonts w:cstheme="minorHAnsi"/>
              </w:rPr>
              <w:t xml:space="preserve"> is the development of targets for all SIM core measures</w:t>
            </w:r>
            <w:r w:rsidR="00401C9F" w:rsidRPr="00923960">
              <w:rPr>
                <w:rFonts w:cstheme="minorHAnsi"/>
              </w:rPr>
              <w:t>.</w:t>
            </w:r>
          </w:p>
          <w:p w:rsidR="00FC5EE6" w:rsidRDefault="00FC5EE6" w:rsidP="009E21FE">
            <w:pPr>
              <w:rPr>
                <w:rFonts w:cstheme="minorHAnsi"/>
              </w:rPr>
            </w:pPr>
          </w:p>
          <w:p w:rsidR="00FC5EE6" w:rsidRPr="00923960" w:rsidRDefault="00401C9F" w:rsidP="00923960">
            <w:pPr>
              <w:pStyle w:val="ListParagraph"/>
              <w:numPr>
                <w:ilvl w:val="0"/>
                <w:numId w:val="20"/>
              </w:numPr>
              <w:rPr>
                <w:rFonts w:cstheme="minorHAnsi"/>
              </w:rPr>
            </w:pPr>
            <w:r w:rsidRPr="00923960">
              <w:rPr>
                <w:rFonts w:cstheme="minorHAnsi"/>
              </w:rPr>
              <w:t xml:space="preserve">The </w:t>
            </w:r>
            <w:r w:rsidR="00FC5EE6" w:rsidRPr="00923960">
              <w:rPr>
                <w:rFonts w:cstheme="minorHAnsi"/>
              </w:rPr>
              <w:t>Leadership Dev</w:t>
            </w:r>
            <w:r w:rsidRPr="00923960">
              <w:rPr>
                <w:rFonts w:cstheme="minorHAnsi"/>
              </w:rPr>
              <w:t>elopment</w:t>
            </w:r>
            <w:r w:rsidR="00FC5EE6" w:rsidRPr="00923960">
              <w:rPr>
                <w:rFonts w:cstheme="minorHAnsi"/>
              </w:rPr>
              <w:t xml:space="preserve"> Program is off and running.  </w:t>
            </w:r>
            <w:r w:rsidRPr="00923960">
              <w:rPr>
                <w:rFonts w:cstheme="minorHAnsi"/>
              </w:rPr>
              <w:t xml:space="preserve">On </w:t>
            </w:r>
            <w:r w:rsidR="00FC5EE6" w:rsidRPr="00923960">
              <w:rPr>
                <w:rFonts w:cstheme="minorHAnsi"/>
              </w:rPr>
              <w:t>June 2</w:t>
            </w:r>
            <w:r w:rsidR="00FC5EE6" w:rsidRPr="00923960">
              <w:rPr>
                <w:rFonts w:cstheme="minorHAnsi"/>
                <w:vertAlign w:val="superscript"/>
              </w:rPr>
              <w:t>nd</w:t>
            </w:r>
            <w:r w:rsidR="00FC5EE6" w:rsidRPr="00923960">
              <w:rPr>
                <w:rFonts w:cstheme="minorHAnsi"/>
              </w:rPr>
              <w:t xml:space="preserve"> a CEO visioning forum will be held.</w:t>
            </w:r>
          </w:p>
          <w:p w:rsidR="008B23C9" w:rsidRPr="00382C14" w:rsidRDefault="008B23C9" w:rsidP="009E21FE">
            <w:pPr>
              <w:rPr>
                <w:rFonts w:cstheme="minorHAnsi"/>
              </w:rPr>
            </w:pPr>
          </w:p>
        </w:tc>
        <w:tc>
          <w:tcPr>
            <w:tcW w:w="2790" w:type="dxa"/>
          </w:tcPr>
          <w:p w:rsidR="00220AC6" w:rsidRDefault="00220AC6" w:rsidP="00442893">
            <w:pPr>
              <w:rPr>
                <w:rFonts w:cstheme="minorHAnsi"/>
              </w:rPr>
            </w:pPr>
          </w:p>
          <w:p w:rsidR="00220AC6" w:rsidRDefault="00220AC6" w:rsidP="00442893">
            <w:pPr>
              <w:rPr>
                <w:rFonts w:cstheme="minorHAnsi"/>
              </w:rPr>
            </w:pPr>
          </w:p>
          <w:p w:rsidR="00220AC6" w:rsidRDefault="00220AC6" w:rsidP="00442893">
            <w:pPr>
              <w:rPr>
                <w:rFonts w:cstheme="minorHAnsi"/>
              </w:rPr>
            </w:pPr>
          </w:p>
          <w:p w:rsidR="00220AC6" w:rsidRDefault="00220AC6" w:rsidP="00442893">
            <w:pPr>
              <w:rPr>
                <w:rFonts w:cstheme="minorHAnsi"/>
              </w:rPr>
            </w:pPr>
          </w:p>
          <w:p w:rsidR="00220AC6" w:rsidRDefault="00220AC6" w:rsidP="00442893">
            <w:pPr>
              <w:rPr>
                <w:rFonts w:cstheme="minorHAnsi"/>
              </w:rPr>
            </w:pPr>
          </w:p>
          <w:p w:rsidR="00220AC6" w:rsidRDefault="00220AC6" w:rsidP="00442893">
            <w:pPr>
              <w:rPr>
                <w:rFonts w:cstheme="minorHAnsi"/>
              </w:rPr>
            </w:pPr>
          </w:p>
          <w:p w:rsidR="00890898" w:rsidRPr="00382C14" w:rsidRDefault="00890898" w:rsidP="00401C9F">
            <w:pPr>
              <w:rPr>
                <w:rFonts w:cstheme="minorHAnsi"/>
              </w:rPr>
            </w:pPr>
          </w:p>
        </w:tc>
      </w:tr>
      <w:tr w:rsidR="00890898" w:rsidRPr="00382C14" w:rsidTr="001D798E">
        <w:tc>
          <w:tcPr>
            <w:tcW w:w="3708" w:type="dxa"/>
          </w:tcPr>
          <w:p w:rsidR="00890898" w:rsidRDefault="00890898" w:rsidP="00F80216">
            <w:pPr>
              <w:pStyle w:val="ListParagraph"/>
              <w:numPr>
                <w:ilvl w:val="0"/>
                <w:numId w:val="1"/>
              </w:numPr>
              <w:rPr>
                <w:rFonts w:cstheme="minorHAnsi"/>
                <w:b/>
              </w:rPr>
            </w:pPr>
            <w:r>
              <w:rPr>
                <w:rFonts w:cstheme="minorHAnsi"/>
                <w:b/>
              </w:rPr>
              <w:lastRenderedPageBreak/>
              <w:t>Risk/Dependencies:</w:t>
            </w:r>
          </w:p>
          <w:p w:rsidR="00890898" w:rsidRPr="00F80216" w:rsidRDefault="00890898" w:rsidP="00F80216">
            <w:pPr>
              <w:pStyle w:val="ListParagraph"/>
              <w:numPr>
                <w:ilvl w:val="0"/>
                <w:numId w:val="19"/>
              </w:numPr>
              <w:rPr>
                <w:rFonts w:cstheme="minorHAnsi"/>
                <w:b/>
              </w:rPr>
            </w:pPr>
            <w:r w:rsidRPr="00F80216">
              <w:rPr>
                <w:rFonts w:cstheme="minorHAnsi"/>
                <w:b/>
              </w:rPr>
              <w:t>Care Coordination</w:t>
            </w:r>
          </w:p>
          <w:p w:rsidR="00890898" w:rsidRDefault="00890898" w:rsidP="00F80216">
            <w:pPr>
              <w:rPr>
                <w:rFonts w:cstheme="minorHAnsi"/>
                <w:b/>
              </w:rPr>
            </w:pPr>
          </w:p>
          <w:p w:rsidR="00890898" w:rsidRPr="00F80216" w:rsidRDefault="00890898" w:rsidP="00F80216">
            <w:pPr>
              <w:rPr>
                <w:rFonts w:cstheme="minorHAnsi"/>
                <w:b/>
              </w:rPr>
            </w:pPr>
            <w:r w:rsidRPr="00F80216">
              <w:rPr>
                <w:rFonts w:cstheme="minorHAnsi"/>
                <w:b/>
              </w:rPr>
              <w:t>Expected Actions</w:t>
            </w:r>
            <w:r>
              <w:rPr>
                <w:rFonts w:cstheme="minorHAnsi"/>
                <w:b/>
              </w:rPr>
              <w:t>: Status Updates</w:t>
            </w:r>
            <w:r w:rsidRPr="00F80216">
              <w:rPr>
                <w:rFonts w:cstheme="minorHAnsi"/>
                <w:b/>
              </w:rPr>
              <w:t xml:space="preserve"> </w:t>
            </w:r>
          </w:p>
          <w:p w:rsidR="00890898" w:rsidRDefault="00890898" w:rsidP="00317EB4">
            <w:pPr>
              <w:pStyle w:val="ListParagraph"/>
              <w:ind w:left="360"/>
              <w:rPr>
                <w:rFonts w:cstheme="minorHAnsi"/>
                <w:b/>
              </w:rPr>
            </w:pPr>
          </w:p>
          <w:p w:rsidR="00890898" w:rsidRPr="006C2122" w:rsidRDefault="00890898" w:rsidP="006C2122">
            <w:pPr>
              <w:rPr>
                <w:rFonts w:cstheme="minorHAnsi"/>
                <w:b/>
              </w:rPr>
            </w:pPr>
            <w:r>
              <w:rPr>
                <w:rFonts w:cstheme="minorHAnsi"/>
                <w:b/>
              </w:rPr>
              <w:t xml:space="preserve"> </w:t>
            </w:r>
          </w:p>
          <w:p w:rsidR="00890898" w:rsidRPr="00366684" w:rsidRDefault="00890898" w:rsidP="00366684">
            <w:pPr>
              <w:rPr>
                <w:rFonts w:cstheme="minorHAnsi"/>
                <w:b/>
              </w:rPr>
            </w:pPr>
          </w:p>
        </w:tc>
        <w:tc>
          <w:tcPr>
            <w:tcW w:w="1620" w:type="dxa"/>
          </w:tcPr>
          <w:p w:rsidR="00890898" w:rsidRDefault="00890898" w:rsidP="00CA513B">
            <w:pPr>
              <w:rPr>
                <w:b/>
              </w:rPr>
            </w:pPr>
            <w:r>
              <w:rPr>
                <w:b/>
              </w:rPr>
              <w:t xml:space="preserve"> Committee Sub-Group</w:t>
            </w:r>
          </w:p>
          <w:p w:rsidR="00890898" w:rsidRPr="00382C14" w:rsidRDefault="00890898" w:rsidP="00CA513B">
            <w:pPr>
              <w:rPr>
                <w:b/>
              </w:rPr>
            </w:pPr>
            <w:r>
              <w:rPr>
                <w:b/>
              </w:rPr>
              <w:t>10:20 (15 min)</w:t>
            </w:r>
          </w:p>
          <w:p w:rsidR="00890898" w:rsidRPr="00382C14" w:rsidRDefault="00890898" w:rsidP="00CA513B">
            <w:pPr>
              <w:rPr>
                <w:b/>
              </w:rPr>
            </w:pPr>
          </w:p>
        </w:tc>
        <w:tc>
          <w:tcPr>
            <w:tcW w:w="4050" w:type="dxa"/>
          </w:tcPr>
          <w:p w:rsidR="00923960" w:rsidRPr="00923960" w:rsidRDefault="00401C9F" w:rsidP="006F2FDF">
            <w:pPr>
              <w:rPr>
                <w:rFonts w:cstheme="minorHAnsi"/>
                <w:u w:val="single"/>
              </w:rPr>
            </w:pPr>
            <w:r w:rsidRPr="00923960">
              <w:rPr>
                <w:rFonts w:cstheme="minorHAnsi"/>
                <w:u w:val="single"/>
              </w:rPr>
              <w:t xml:space="preserve">Discussion on next steps for moving the Disabilities risk forward.  </w:t>
            </w:r>
          </w:p>
          <w:p w:rsidR="00401C9F" w:rsidRDefault="00401C9F" w:rsidP="006F2FDF">
            <w:pPr>
              <w:rPr>
                <w:rFonts w:cstheme="minorHAnsi"/>
              </w:rPr>
            </w:pPr>
            <w:proofErr w:type="spellStart"/>
            <w:r>
              <w:rPr>
                <w:rFonts w:cstheme="minorHAnsi"/>
              </w:rPr>
              <w:t>Becca</w:t>
            </w:r>
            <w:proofErr w:type="spellEnd"/>
            <w:r>
              <w:rPr>
                <w:rFonts w:cstheme="minorHAnsi"/>
              </w:rPr>
              <w:t xml:space="preserve"> Emmons would like to help support this risk and has ideas to share.  A small group consisting of </w:t>
            </w:r>
            <w:proofErr w:type="spellStart"/>
            <w:r>
              <w:rPr>
                <w:rFonts w:cstheme="minorHAnsi"/>
              </w:rPr>
              <w:t>Becca</w:t>
            </w:r>
            <w:proofErr w:type="spellEnd"/>
            <w:r>
              <w:rPr>
                <w:rFonts w:cstheme="minorHAnsi"/>
              </w:rPr>
              <w:t>, Dennis Fitzgibbons, and Gloria Aponte Clark will connect to identify the SIM Objectives</w:t>
            </w:r>
            <w:r w:rsidR="00923960">
              <w:rPr>
                <w:rFonts w:cstheme="minorHAnsi"/>
              </w:rPr>
              <w:t>, accountability Targets, and calculating risk score.</w:t>
            </w:r>
            <w:r>
              <w:rPr>
                <w:rFonts w:cstheme="minorHAnsi"/>
              </w:rPr>
              <w:t xml:space="preserve"> </w:t>
            </w:r>
          </w:p>
          <w:p w:rsidR="00401C9F" w:rsidRDefault="00401C9F" w:rsidP="006F2FDF">
            <w:pPr>
              <w:rPr>
                <w:rFonts w:cstheme="minorHAnsi"/>
              </w:rPr>
            </w:pPr>
          </w:p>
          <w:p w:rsidR="00890898" w:rsidRDefault="008B23C9" w:rsidP="006F2FDF">
            <w:pPr>
              <w:rPr>
                <w:rFonts w:cstheme="minorHAnsi"/>
              </w:rPr>
            </w:pPr>
            <w:r>
              <w:rPr>
                <w:rFonts w:cstheme="minorHAnsi"/>
              </w:rPr>
              <w:t xml:space="preserve">Katie </w:t>
            </w:r>
            <w:proofErr w:type="spellStart"/>
            <w:r>
              <w:rPr>
                <w:rFonts w:cstheme="minorHAnsi"/>
              </w:rPr>
              <w:t>Sendze</w:t>
            </w:r>
            <w:proofErr w:type="spellEnd"/>
            <w:r>
              <w:rPr>
                <w:rFonts w:cstheme="minorHAnsi"/>
              </w:rPr>
              <w:t xml:space="preserve"> gave an update on the status </w:t>
            </w:r>
            <w:r w:rsidR="00923960">
              <w:rPr>
                <w:rFonts w:cstheme="minorHAnsi"/>
              </w:rPr>
              <w:t xml:space="preserve">of the Care Coordination pilot on behalf of Julie Shackley </w:t>
            </w:r>
            <w:r>
              <w:rPr>
                <w:rFonts w:cstheme="minorHAnsi"/>
              </w:rPr>
              <w:t xml:space="preserve">(see handout)  </w:t>
            </w:r>
          </w:p>
          <w:p w:rsidR="005B6F3C" w:rsidRDefault="008B23C9" w:rsidP="00401C9F">
            <w:pPr>
              <w:rPr>
                <w:rFonts w:cstheme="minorHAnsi"/>
              </w:rPr>
            </w:pPr>
            <w:r w:rsidRPr="005B6F3C">
              <w:rPr>
                <w:rFonts w:cstheme="minorHAnsi"/>
                <w:u w:val="single"/>
              </w:rPr>
              <w:t>Recommendation</w:t>
            </w:r>
            <w:r w:rsidR="00401C9F" w:rsidRPr="005B6F3C">
              <w:rPr>
                <w:rFonts w:cstheme="minorHAnsi"/>
                <w:u w:val="single"/>
              </w:rPr>
              <w:t>s</w:t>
            </w:r>
            <w:r w:rsidR="005B6F3C" w:rsidRPr="005B6F3C">
              <w:rPr>
                <w:rFonts w:cstheme="minorHAnsi"/>
                <w:u w:val="single"/>
              </w:rPr>
              <w:t xml:space="preserve"> to the pilot</w:t>
            </w:r>
            <w:r w:rsidRPr="005B6F3C">
              <w:rPr>
                <w:rFonts w:cstheme="minorHAnsi"/>
                <w:u w:val="single"/>
              </w:rPr>
              <w:t>:</w:t>
            </w:r>
            <w:r>
              <w:rPr>
                <w:rFonts w:cstheme="minorHAnsi"/>
              </w:rPr>
              <w:t xml:space="preserve"> </w:t>
            </w:r>
          </w:p>
          <w:p w:rsidR="005B6F3C" w:rsidRDefault="005B6F3C" w:rsidP="00401C9F">
            <w:pPr>
              <w:rPr>
                <w:rFonts w:cstheme="minorHAnsi"/>
              </w:rPr>
            </w:pPr>
          </w:p>
          <w:p w:rsidR="00FC5EE6" w:rsidRPr="00382C14" w:rsidRDefault="008B23C9" w:rsidP="00401C9F">
            <w:pPr>
              <w:rPr>
                <w:rFonts w:cstheme="minorHAnsi"/>
              </w:rPr>
            </w:pPr>
            <w:r>
              <w:rPr>
                <w:rFonts w:cstheme="minorHAnsi"/>
              </w:rPr>
              <w:t xml:space="preserve">Add a </w:t>
            </w:r>
            <w:r w:rsidR="00401C9F">
              <w:rPr>
                <w:rFonts w:cstheme="minorHAnsi"/>
              </w:rPr>
              <w:t>more global function assessment around community resources. Some Examples Shared: Dartmouth Assessments;</w:t>
            </w:r>
            <w:r>
              <w:rPr>
                <w:rFonts w:cstheme="minorHAnsi"/>
              </w:rPr>
              <w:t xml:space="preserve"> How is your </w:t>
            </w:r>
            <w:r w:rsidR="00401C9F">
              <w:rPr>
                <w:rFonts w:cstheme="minorHAnsi"/>
              </w:rPr>
              <w:t xml:space="preserve">Health.org; </w:t>
            </w:r>
            <w:r w:rsidR="00401C9F">
              <w:rPr>
                <w:rFonts w:cstheme="minorHAnsi"/>
              </w:rPr>
              <w:lastRenderedPageBreak/>
              <w:t xml:space="preserve">Keepmewell.org; and </w:t>
            </w:r>
            <w:r w:rsidR="00FC5EE6">
              <w:rPr>
                <w:rFonts w:cstheme="minorHAnsi"/>
              </w:rPr>
              <w:t>Health Leads program out of Mass.</w:t>
            </w:r>
          </w:p>
        </w:tc>
        <w:tc>
          <w:tcPr>
            <w:tcW w:w="2790" w:type="dxa"/>
          </w:tcPr>
          <w:p w:rsidR="00401C9F" w:rsidRPr="00923960" w:rsidRDefault="00401C9F" w:rsidP="00401C9F">
            <w:pPr>
              <w:rPr>
                <w:rFonts w:cstheme="minorHAnsi"/>
                <w:b/>
              </w:rPr>
            </w:pPr>
            <w:r w:rsidRPr="00923960">
              <w:rPr>
                <w:rFonts w:cstheme="minorHAnsi"/>
                <w:b/>
              </w:rPr>
              <w:lastRenderedPageBreak/>
              <w:t xml:space="preserve">Action: </w:t>
            </w:r>
            <w:r w:rsidR="00923960" w:rsidRPr="00923960">
              <w:rPr>
                <w:rFonts w:cstheme="minorHAnsi"/>
                <w:b/>
              </w:rPr>
              <w:t xml:space="preserve">Small group consisting of </w:t>
            </w:r>
            <w:proofErr w:type="spellStart"/>
            <w:r w:rsidRPr="00923960">
              <w:rPr>
                <w:rFonts w:cstheme="minorHAnsi"/>
                <w:b/>
              </w:rPr>
              <w:t>Becca</w:t>
            </w:r>
            <w:proofErr w:type="spellEnd"/>
            <w:r w:rsidR="00923960" w:rsidRPr="00923960">
              <w:rPr>
                <w:rFonts w:cstheme="minorHAnsi"/>
                <w:b/>
              </w:rPr>
              <w:t xml:space="preserve"> Emmons,</w:t>
            </w:r>
            <w:r w:rsidRPr="00923960">
              <w:rPr>
                <w:rFonts w:cstheme="minorHAnsi"/>
                <w:b/>
              </w:rPr>
              <w:t xml:space="preserve"> Dennis Fitzgibbons</w:t>
            </w:r>
            <w:r w:rsidR="00923960" w:rsidRPr="00923960">
              <w:rPr>
                <w:rFonts w:cstheme="minorHAnsi"/>
                <w:b/>
              </w:rPr>
              <w:t>, and Gloria Aponte Clark to convene and move the risk forward</w:t>
            </w:r>
          </w:p>
          <w:p w:rsidR="00890898" w:rsidRPr="00923960" w:rsidRDefault="00401C9F" w:rsidP="00A3329A">
            <w:pPr>
              <w:rPr>
                <w:rFonts w:cstheme="minorHAnsi"/>
                <w:b/>
              </w:rPr>
            </w:pPr>
            <w:proofErr w:type="gramStart"/>
            <w:r w:rsidRPr="00923960">
              <w:rPr>
                <w:rFonts w:cstheme="minorHAnsi"/>
                <w:b/>
              </w:rPr>
              <w:t>and</w:t>
            </w:r>
            <w:proofErr w:type="gramEnd"/>
            <w:r w:rsidRPr="00923960">
              <w:rPr>
                <w:rFonts w:cstheme="minorHAnsi"/>
                <w:b/>
              </w:rPr>
              <w:t xml:space="preserve"> bring back into the May meeting.  Gloria will be willing to facilitate the discussion</w:t>
            </w:r>
            <w:r w:rsidR="00923960">
              <w:rPr>
                <w:rFonts w:cstheme="minorHAnsi"/>
                <w:b/>
              </w:rPr>
              <w:t xml:space="preserve"> and will send</w:t>
            </w:r>
            <w:r w:rsidR="00923960" w:rsidRPr="00923960">
              <w:rPr>
                <w:b/>
              </w:rPr>
              <w:t xml:space="preserve"> out materials to small group</w:t>
            </w:r>
          </w:p>
          <w:p w:rsidR="00890898" w:rsidRDefault="00890898" w:rsidP="0061044D">
            <w:pPr>
              <w:rPr>
                <w:rFonts w:cstheme="minorHAnsi"/>
                <w:b/>
              </w:rPr>
            </w:pPr>
          </w:p>
          <w:p w:rsidR="00923960" w:rsidRDefault="00923960" w:rsidP="0061044D">
            <w:pPr>
              <w:rPr>
                <w:rFonts w:cstheme="minorHAnsi"/>
                <w:b/>
              </w:rPr>
            </w:pPr>
          </w:p>
          <w:p w:rsidR="008B23C9" w:rsidRDefault="008B23C9" w:rsidP="0061044D">
            <w:pPr>
              <w:rPr>
                <w:rFonts w:cstheme="minorHAnsi"/>
                <w:b/>
              </w:rPr>
            </w:pPr>
            <w:r>
              <w:rPr>
                <w:rFonts w:cstheme="minorHAnsi"/>
                <w:b/>
              </w:rPr>
              <w:t xml:space="preserve">Action: </w:t>
            </w:r>
            <w:r w:rsidR="00401C9F">
              <w:rPr>
                <w:rFonts w:cstheme="minorHAnsi"/>
                <w:b/>
              </w:rPr>
              <w:t xml:space="preserve">Forward recommendation on global assessment process to Julie and have her come prepared to discuss at May meeting. </w:t>
            </w:r>
          </w:p>
          <w:p w:rsidR="00FC5EE6" w:rsidRDefault="00FC5EE6" w:rsidP="0061044D">
            <w:pPr>
              <w:rPr>
                <w:rFonts w:cstheme="minorHAnsi"/>
                <w:b/>
              </w:rPr>
            </w:pPr>
          </w:p>
          <w:p w:rsidR="00FC5EE6" w:rsidRDefault="00FC5EE6" w:rsidP="0061044D">
            <w:pPr>
              <w:rPr>
                <w:rFonts w:cstheme="minorHAnsi"/>
                <w:b/>
              </w:rPr>
            </w:pPr>
            <w:r>
              <w:rPr>
                <w:rFonts w:cstheme="minorHAnsi"/>
                <w:b/>
              </w:rPr>
              <w:t>Kathryn Brandt:  Send additional assessment tool</w:t>
            </w:r>
          </w:p>
          <w:p w:rsidR="00FC5EE6" w:rsidRDefault="00FC5EE6" w:rsidP="0061044D">
            <w:pPr>
              <w:rPr>
                <w:rFonts w:cstheme="minorHAnsi"/>
                <w:b/>
              </w:rPr>
            </w:pPr>
          </w:p>
          <w:p w:rsidR="00FC5EE6" w:rsidRDefault="00FC5EE6" w:rsidP="00FC5EE6">
            <w:pPr>
              <w:rPr>
                <w:rFonts w:cstheme="minorHAnsi"/>
                <w:b/>
              </w:rPr>
            </w:pPr>
            <w:r>
              <w:rPr>
                <w:rFonts w:cstheme="minorHAnsi"/>
                <w:b/>
              </w:rPr>
              <w:t xml:space="preserve">Helena will forward the electronic version of  Care Plan Domain and </w:t>
            </w:r>
            <w:r w:rsidR="00401C9F">
              <w:rPr>
                <w:rFonts w:cstheme="minorHAnsi"/>
                <w:b/>
              </w:rPr>
              <w:t>D</w:t>
            </w:r>
            <w:r>
              <w:rPr>
                <w:rFonts w:cstheme="minorHAnsi"/>
                <w:b/>
              </w:rPr>
              <w:t>efinitions  and</w:t>
            </w:r>
            <w:r w:rsidR="005B6F3C">
              <w:rPr>
                <w:rFonts w:cstheme="minorHAnsi"/>
                <w:b/>
              </w:rPr>
              <w:t xml:space="preserve"> Lise will</w:t>
            </w:r>
            <w:r>
              <w:rPr>
                <w:rFonts w:cstheme="minorHAnsi"/>
                <w:b/>
              </w:rPr>
              <w:t xml:space="preserve"> send out to subcommittee</w:t>
            </w:r>
          </w:p>
          <w:p w:rsidR="00401C9F" w:rsidRDefault="00401C9F" w:rsidP="00FC5EE6">
            <w:pPr>
              <w:rPr>
                <w:rFonts w:cstheme="minorHAnsi"/>
                <w:b/>
              </w:rPr>
            </w:pPr>
          </w:p>
          <w:p w:rsidR="00FC5EE6" w:rsidRDefault="00FC5EE6" w:rsidP="00FC5EE6">
            <w:pPr>
              <w:rPr>
                <w:rFonts w:cstheme="minorHAnsi"/>
                <w:b/>
              </w:rPr>
            </w:pPr>
            <w:r>
              <w:rPr>
                <w:rFonts w:cstheme="minorHAnsi"/>
                <w:b/>
              </w:rPr>
              <w:t>Chris P.</w:t>
            </w:r>
            <w:r w:rsidR="00401C9F">
              <w:rPr>
                <w:rFonts w:cstheme="minorHAnsi"/>
                <w:b/>
              </w:rPr>
              <w:t xml:space="preserve"> will</w:t>
            </w:r>
            <w:r>
              <w:rPr>
                <w:rFonts w:cstheme="minorHAnsi"/>
                <w:b/>
              </w:rPr>
              <w:t xml:space="preserve"> send out Keepmewe</w:t>
            </w:r>
            <w:r w:rsidR="00401C9F">
              <w:rPr>
                <w:rFonts w:cstheme="minorHAnsi"/>
                <w:b/>
              </w:rPr>
              <w:t>ll.org to Lise to share with subcommittee</w:t>
            </w:r>
          </w:p>
          <w:p w:rsidR="00401C9F" w:rsidRPr="00382C14" w:rsidRDefault="00401C9F" w:rsidP="00FC5EE6">
            <w:pPr>
              <w:rPr>
                <w:rFonts w:cstheme="minorHAnsi"/>
                <w:b/>
              </w:rPr>
            </w:pPr>
          </w:p>
        </w:tc>
      </w:tr>
      <w:tr w:rsidR="00890898" w:rsidRPr="00382C14" w:rsidTr="001D798E">
        <w:tc>
          <w:tcPr>
            <w:tcW w:w="3708" w:type="dxa"/>
          </w:tcPr>
          <w:p w:rsidR="00890898" w:rsidRDefault="00890898" w:rsidP="00752238">
            <w:pPr>
              <w:pStyle w:val="ListParagraph"/>
              <w:numPr>
                <w:ilvl w:val="0"/>
                <w:numId w:val="1"/>
              </w:numPr>
              <w:rPr>
                <w:rFonts w:asciiTheme="minorHAnsi" w:hAnsiTheme="minorHAnsi"/>
                <w:b/>
              </w:rPr>
            </w:pPr>
            <w:proofErr w:type="spellStart"/>
            <w:r>
              <w:rPr>
                <w:rFonts w:asciiTheme="minorHAnsi" w:hAnsiTheme="minorHAnsi"/>
                <w:b/>
              </w:rPr>
              <w:lastRenderedPageBreak/>
              <w:t>MaineCare</w:t>
            </w:r>
            <w:proofErr w:type="spellEnd"/>
            <w:r>
              <w:rPr>
                <w:rFonts w:asciiTheme="minorHAnsi" w:hAnsiTheme="minorHAnsi"/>
                <w:b/>
              </w:rPr>
              <w:t xml:space="preserve"> Accountable Communities</w:t>
            </w:r>
          </w:p>
          <w:p w:rsidR="00890898" w:rsidRDefault="00890898" w:rsidP="003E67C2">
            <w:pPr>
              <w:pStyle w:val="ListParagraph"/>
              <w:ind w:left="360"/>
              <w:rPr>
                <w:rFonts w:asciiTheme="minorHAnsi" w:hAnsiTheme="minorHAnsi"/>
                <w:b/>
              </w:rPr>
            </w:pPr>
          </w:p>
          <w:p w:rsidR="00890898" w:rsidRPr="003E67C2" w:rsidRDefault="00890898" w:rsidP="003E67C2">
            <w:pPr>
              <w:rPr>
                <w:b/>
              </w:rPr>
            </w:pPr>
            <w:r w:rsidRPr="003E67C2">
              <w:rPr>
                <w:b/>
              </w:rPr>
              <w:t>Expected Action</w:t>
            </w:r>
            <w:r>
              <w:rPr>
                <w:b/>
              </w:rPr>
              <w:t>: Status Update</w:t>
            </w:r>
          </w:p>
        </w:tc>
        <w:tc>
          <w:tcPr>
            <w:tcW w:w="1620" w:type="dxa"/>
          </w:tcPr>
          <w:p w:rsidR="00890898" w:rsidRDefault="00890898" w:rsidP="00CA513B">
            <w:pPr>
              <w:rPr>
                <w:b/>
              </w:rPr>
            </w:pPr>
            <w:r>
              <w:rPr>
                <w:b/>
              </w:rPr>
              <w:t>Amy Dix</w:t>
            </w:r>
          </w:p>
          <w:p w:rsidR="00890898" w:rsidRPr="00382C14" w:rsidRDefault="00890898" w:rsidP="00CA513B">
            <w:pPr>
              <w:rPr>
                <w:b/>
              </w:rPr>
            </w:pPr>
            <w:r>
              <w:rPr>
                <w:b/>
              </w:rPr>
              <w:t>10:35 (40 min)</w:t>
            </w:r>
          </w:p>
          <w:p w:rsidR="00890898" w:rsidRPr="00382C14" w:rsidRDefault="00890898" w:rsidP="00CA513B">
            <w:pPr>
              <w:rPr>
                <w:b/>
              </w:rPr>
            </w:pPr>
          </w:p>
        </w:tc>
        <w:tc>
          <w:tcPr>
            <w:tcW w:w="4050" w:type="dxa"/>
          </w:tcPr>
          <w:p w:rsidR="00FC5EE6" w:rsidRDefault="00FC5EE6" w:rsidP="00F43A91">
            <w:pPr>
              <w:contextualSpacing/>
            </w:pPr>
            <w:r>
              <w:t>Amy Dix reviewed the</w:t>
            </w:r>
            <w:r w:rsidR="00F43A91">
              <w:t xml:space="preserve"> Accountable Communities</w:t>
            </w:r>
            <w:r>
              <w:t xml:space="preserve"> Executive Summary</w:t>
            </w:r>
            <w:r w:rsidR="00F43A91">
              <w:t>.  She said that all</w:t>
            </w:r>
            <w:r>
              <w:t xml:space="preserve"> </w:t>
            </w:r>
            <w:r w:rsidR="00F43A91">
              <w:t>contracts have been signed and that</w:t>
            </w:r>
            <w:r>
              <w:t xml:space="preserve"> AC should start receiving data sometime next week</w:t>
            </w:r>
            <w:r w:rsidR="00F43A91">
              <w:t xml:space="preserve">.  </w:t>
            </w:r>
          </w:p>
          <w:p w:rsidR="00F43A91" w:rsidRDefault="00F43A91" w:rsidP="00F43A91">
            <w:pPr>
              <w:contextualSpacing/>
            </w:pPr>
          </w:p>
          <w:p w:rsidR="00F43A91" w:rsidRDefault="00F43A91" w:rsidP="00F43A91">
            <w:pPr>
              <w:contextualSpacing/>
            </w:pPr>
            <w:r>
              <w:t xml:space="preserve">The Definition of AC: </w:t>
            </w:r>
          </w:p>
          <w:p w:rsidR="00F43A91" w:rsidRDefault="00F43A91" w:rsidP="00F43A91">
            <w:pPr>
              <w:contextualSpacing/>
            </w:pPr>
          </w:p>
          <w:p w:rsidR="00F43A91" w:rsidRPr="00F43A91" w:rsidRDefault="00F43A91" w:rsidP="00F43A91">
            <w:r w:rsidRPr="00F43A91">
              <w:t>An entity responsible for population’s health and health care costs that:</w:t>
            </w:r>
          </w:p>
          <w:p w:rsidR="00075BC3" w:rsidRPr="00F43A91" w:rsidRDefault="00F43A91" w:rsidP="00F43A91">
            <w:pPr>
              <w:pStyle w:val="ListParagraph"/>
              <w:numPr>
                <w:ilvl w:val="0"/>
                <w:numId w:val="19"/>
              </w:numPr>
            </w:pPr>
            <w:r w:rsidRPr="00F43A91">
              <w:t>Is provider-owned and driven</w:t>
            </w:r>
          </w:p>
          <w:p w:rsidR="00075BC3" w:rsidRPr="00F43A91" w:rsidRDefault="00F43A91" w:rsidP="00F43A91">
            <w:pPr>
              <w:pStyle w:val="ListParagraph"/>
              <w:numPr>
                <w:ilvl w:val="0"/>
                <w:numId w:val="19"/>
              </w:numPr>
            </w:pPr>
            <w:r w:rsidRPr="00F43A91">
              <w:t>Is characterized by community collaboration and a strong consumer component</w:t>
            </w:r>
          </w:p>
          <w:p w:rsidR="00075BC3" w:rsidRPr="00F43A91" w:rsidRDefault="00F43A91" w:rsidP="00F43A91">
            <w:pPr>
              <w:pStyle w:val="ListParagraph"/>
              <w:numPr>
                <w:ilvl w:val="0"/>
                <w:numId w:val="19"/>
              </w:numPr>
            </w:pPr>
            <w:r w:rsidRPr="00F43A91">
              <w:t>Includes shared accountability for both cost and quality</w:t>
            </w:r>
          </w:p>
          <w:p w:rsidR="00F43A91" w:rsidRDefault="00F43A91" w:rsidP="00F43A91">
            <w:r w:rsidRPr="00F43A91">
              <w:t>In traditional managed care, a managed care organization is responsible for care and cost that is delivered through providers</w:t>
            </w:r>
            <w:r>
              <w:t xml:space="preserve">. </w:t>
            </w:r>
          </w:p>
          <w:p w:rsidR="00F43A91" w:rsidRDefault="00F43A91" w:rsidP="00F43A91"/>
          <w:p w:rsidR="00F43A91" w:rsidRPr="00F43A91" w:rsidRDefault="00F43A91" w:rsidP="00F43A91">
            <w:r w:rsidRPr="00F43A91">
              <w:t>Choice of two models (in both models, Fee for Service continues unchanged):</w:t>
            </w:r>
          </w:p>
          <w:p w:rsidR="00075BC3" w:rsidRPr="00F43A91" w:rsidRDefault="00F43A91" w:rsidP="00F43A91">
            <w:r w:rsidRPr="00F43A91">
              <w:t xml:space="preserve">Model </w:t>
            </w:r>
            <w:proofErr w:type="gramStart"/>
            <w:r w:rsidRPr="00F43A91">
              <w:t>I  -</w:t>
            </w:r>
            <w:proofErr w:type="gramEnd"/>
            <w:r w:rsidRPr="00F43A91">
              <w:t xml:space="preserve"> requires minimum of 1,000 members</w:t>
            </w:r>
            <w:r>
              <w:t>.</w:t>
            </w:r>
          </w:p>
          <w:p w:rsidR="00075BC3" w:rsidRPr="00F43A91" w:rsidRDefault="00F43A91" w:rsidP="00F43A91">
            <w:pPr>
              <w:pStyle w:val="ListParagraph"/>
              <w:numPr>
                <w:ilvl w:val="0"/>
                <w:numId w:val="23"/>
              </w:numPr>
            </w:pPr>
            <w:r w:rsidRPr="00F43A91">
              <w:t>Share in a maximum of 50% of savings, based on quality performance, with cap at 10% of benchmark TCOC</w:t>
            </w:r>
          </w:p>
          <w:p w:rsidR="00075BC3" w:rsidRPr="00F43A91" w:rsidRDefault="00F43A91" w:rsidP="00F43A91">
            <w:pPr>
              <w:pStyle w:val="ListParagraph"/>
              <w:numPr>
                <w:ilvl w:val="0"/>
                <w:numId w:val="23"/>
              </w:numPr>
            </w:pPr>
            <w:r w:rsidRPr="00F43A91">
              <w:t>No downside risk in any of the three performance years</w:t>
            </w:r>
          </w:p>
          <w:p w:rsidR="00075BC3" w:rsidRPr="00F43A91" w:rsidRDefault="00F43A91" w:rsidP="00F43A91">
            <w:r w:rsidRPr="00F43A91">
              <w:t>Model II  - requires minimum of 2,000 members</w:t>
            </w:r>
          </w:p>
          <w:p w:rsidR="00075BC3" w:rsidRPr="00F43A91" w:rsidRDefault="00F43A91" w:rsidP="00F43A91">
            <w:pPr>
              <w:pStyle w:val="ListParagraph"/>
              <w:numPr>
                <w:ilvl w:val="0"/>
                <w:numId w:val="24"/>
              </w:numPr>
            </w:pPr>
            <w:r w:rsidRPr="00F43A91">
              <w:t>Share in a maximum of 60% of savings, based on quality performance, with cap at 15% of benchmark TCOC</w:t>
            </w:r>
          </w:p>
          <w:p w:rsidR="00075BC3" w:rsidRPr="00F43A91" w:rsidRDefault="00F43A91" w:rsidP="00F43A91">
            <w:pPr>
              <w:pStyle w:val="ListParagraph"/>
              <w:numPr>
                <w:ilvl w:val="0"/>
                <w:numId w:val="24"/>
              </w:numPr>
            </w:pPr>
            <w:r w:rsidRPr="00F43A91">
              <w:t>No downside risk in first performance year</w:t>
            </w:r>
          </w:p>
          <w:p w:rsidR="00075BC3" w:rsidRPr="00F43A91" w:rsidRDefault="00F43A91" w:rsidP="00F43A91">
            <w:pPr>
              <w:pStyle w:val="ListParagraph"/>
              <w:numPr>
                <w:ilvl w:val="0"/>
                <w:numId w:val="24"/>
              </w:numPr>
            </w:pPr>
            <w:r w:rsidRPr="00F43A91">
              <w:t>Liable for 40-60% of losses, based on quality performance, in years two and three, with cap at 5% of benchmark TCOC in Year 2 and 10% of benchmark TCOC in Year 3</w:t>
            </w:r>
          </w:p>
          <w:p w:rsidR="00F43A91" w:rsidRDefault="00F43A91" w:rsidP="00F43A91"/>
          <w:p w:rsidR="00F43A91" w:rsidRDefault="00F43A91" w:rsidP="00F43A91">
            <w:r>
              <w:t>She explained what the requirements were to be considered an Accountable Community.</w:t>
            </w:r>
          </w:p>
          <w:p w:rsidR="00F43A91" w:rsidRDefault="00F43A91" w:rsidP="00F43A91">
            <w:r>
              <w:t>Program Timing:</w:t>
            </w:r>
          </w:p>
          <w:p w:rsidR="00F43A91" w:rsidRPr="00F43A91" w:rsidRDefault="00F43A91" w:rsidP="00F43A91">
            <w:r>
              <w:rPr>
                <w:b/>
                <w:bCs/>
              </w:rPr>
              <w:t>R</w:t>
            </w:r>
            <w:r w:rsidRPr="00F43A91">
              <w:rPr>
                <w:b/>
                <w:bCs/>
              </w:rPr>
              <w:t>ound 1: Four ACs Covering 30,000 Members</w:t>
            </w:r>
          </w:p>
          <w:p w:rsidR="00F43A91" w:rsidRPr="00F43A91" w:rsidRDefault="00F43A91" w:rsidP="00F43A91">
            <w:r w:rsidRPr="00F43A91">
              <w:rPr>
                <w:b/>
                <w:bCs/>
              </w:rPr>
              <w:t xml:space="preserve">Year 1:  </w:t>
            </w:r>
            <w:r w:rsidRPr="00F43A91">
              <w:t>8/1/14 – 7/30/15</w:t>
            </w:r>
          </w:p>
          <w:p w:rsidR="00F43A91" w:rsidRPr="00F43A91" w:rsidRDefault="00F43A91" w:rsidP="00F43A91">
            <w:r w:rsidRPr="00F43A91">
              <w:rPr>
                <w:b/>
                <w:bCs/>
              </w:rPr>
              <w:t xml:space="preserve">Year 2:  </w:t>
            </w:r>
            <w:r w:rsidRPr="00F43A91">
              <w:t>8/1/15 – 7/30/16</w:t>
            </w:r>
          </w:p>
          <w:p w:rsidR="00F43A91" w:rsidRPr="00F43A91" w:rsidRDefault="00F43A91" w:rsidP="00F43A91">
            <w:r w:rsidRPr="00F43A91">
              <w:rPr>
                <w:b/>
                <w:bCs/>
              </w:rPr>
              <w:t xml:space="preserve">Year 3:  </w:t>
            </w:r>
            <w:r w:rsidRPr="00F43A91">
              <w:t>8/1/16 – 7/30/17</w:t>
            </w:r>
          </w:p>
          <w:p w:rsidR="00F43A91" w:rsidRPr="00F43A91" w:rsidRDefault="00F43A91" w:rsidP="00F43A91">
            <w:r w:rsidRPr="00F43A91">
              <w:rPr>
                <w:b/>
                <w:bCs/>
              </w:rPr>
              <w:lastRenderedPageBreak/>
              <w:t>Round 2: Will start 8/1/16</w:t>
            </w:r>
          </w:p>
          <w:p w:rsidR="00F43A91" w:rsidRPr="00F43A91" w:rsidRDefault="00F43A91" w:rsidP="00F43A91">
            <w:r w:rsidRPr="00F43A91">
              <w:rPr>
                <w:b/>
                <w:bCs/>
              </w:rPr>
              <w:t xml:space="preserve">Request for Applications released: </w:t>
            </w:r>
            <w:r w:rsidRPr="00F43A91">
              <w:t>Fall 2015</w:t>
            </w:r>
          </w:p>
          <w:p w:rsidR="00F43A91" w:rsidRPr="00F43A91" w:rsidRDefault="00F43A91" w:rsidP="00F43A91">
            <w:r w:rsidRPr="00F43A91">
              <w:rPr>
                <w:b/>
                <w:bCs/>
              </w:rPr>
              <w:t xml:space="preserve">Applications due: </w:t>
            </w:r>
            <w:r w:rsidRPr="00F43A91">
              <w:t>Winter 2015-16</w:t>
            </w:r>
          </w:p>
          <w:p w:rsidR="00F43A91" w:rsidRPr="00F43A91" w:rsidRDefault="00F43A91" w:rsidP="00F43A91">
            <w:r w:rsidRPr="00F43A91">
              <w:rPr>
                <w:b/>
                <w:bCs/>
              </w:rPr>
              <w:t xml:space="preserve">Notification of Approval: </w:t>
            </w:r>
            <w:r w:rsidRPr="00F43A91">
              <w:t>Early 2016</w:t>
            </w:r>
          </w:p>
          <w:p w:rsidR="00F43A91" w:rsidRPr="00F43A91" w:rsidRDefault="00F43A91" w:rsidP="00F43A91"/>
          <w:p w:rsidR="001F34FE" w:rsidRDefault="001F34FE" w:rsidP="00F43A91">
            <w:pPr>
              <w:contextualSpacing/>
            </w:pPr>
            <w:r>
              <w:t>The 4 current systems participating:</w:t>
            </w:r>
          </w:p>
          <w:p w:rsidR="001F34FE" w:rsidRDefault="001F34FE" w:rsidP="009D0255">
            <w:pPr>
              <w:contextualSpacing/>
            </w:pPr>
            <w:r>
              <w:t>Penobscot Community Health Center (PCHC)</w:t>
            </w:r>
            <w:r w:rsidR="00F43A91">
              <w:t xml:space="preserve">; </w:t>
            </w:r>
            <w:proofErr w:type="spellStart"/>
            <w:r>
              <w:t>MaineGeneral</w:t>
            </w:r>
            <w:proofErr w:type="spellEnd"/>
            <w:r w:rsidR="00F43A91">
              <w:t xml:space="preserve">; </w:t>
            </w:r>
            <w:proofErr w:type="spellStart"/>
            <w:r>
              <w:t>MaineHealth</w:t>
            </w:r>
            <w:proofErr w:type="spellEnd"/>
            <w:r w:rsidR="00F43A91">
              <w:t>;</w:t>
            </w:r>
          </w:p>
          <w:p w:rsidR="00890898" w:rsidRDefault="001F34FE" w:rsidP="009D0255">
            <w:pPr>
              <w:contextualSpacing/>
            </w:pPr>
            <w:r>
              <w:t xml:space="preserve">Beacon </w:t>
            </w:r>
          </w:p>
          <w:p w:rsidR="00D4133C" w:rsidRPr="00382C14" w:rsidRDefault="00F43A91" w:rsidP="009D0255">
            <w:pPr>
              <w:contextualSpacing/>
            </w:pPr>
            <w:r>
              <w:t>(</w:t>
            </w:r>
            <w:proofErr w:type="gramStart"/>
            <w:r>
              <w:t>see</w:t>
            </w:r>
            <w:proofErr w:type="gramEnd"/>
            <w:r>
              <w:t xml:space="preserve"> ppt.)</w:t>
            </w:r>
          </w:p>
        </w:tc>
        <w:tc>
          <w:tcPr>
            <w:tcW w:w="2790" w:type="dxa"/>
          </w:tcPr>
          <w:p w:rsidR="00890898" w:rsidRDefault="00FC5EE6" w:rsidP="00CA513B">
            <w:pPr>
              <w:rPr>
                <w:b/>
              </w:rPr>
            </w:pPr>
            <w:r>
              <w:rPr>
                <w:b/>
              </w:rPr>
              <w:lastRenderedPageBreak/>
              <w:t xml:space="preserve">Amy Dix:  will send ACO presentation </w:t>
            </w:r>
            <w:r w:rsidR="008E2D32">
              <w:rPr>
                <w:b/>
              </w:rPr>
              <w:t xml:space="preserve">slides </w:t>
            </w:r>
            <w:r>
              <w:rPr>
                <w:b/>
              </w:rPr>
              <w:t xml:space="preserve">and </w:t>
            </w:r>
            <w:r w:rsidR="008E2D32">
              <w:rPr>
                <w:b/>
              </w:rPr>
              <w:t xml:space="preserve">Lise </w:t>
            </w:r>
            <w:r>
              <w:rPr>
                <w:b/>
              </w:rPr>
              <w:t>will forward to group</w:t>
            </w:r>
          </w:p>
          <w:p w:rsidR="00D4133C" w:rsidRDefault="00D4133C" w:rsidP="00CA513B">
            <w:pPr>
              <w:rPr>
                <w:b/>
              </w:rPr>
            </w:pPr>
          </w:p>
          <w:p w:rsidR="00D4133C" w:rsidRDefault="00D4133C" w:rsidP="00CA513B">
            <w:pPr>
              <w:rPr>
                <w:b/>
              </w:rPr>
            </w:pPr>
            <w:r>
              <w:rPr>
                <w:b/>
              </w:rPr>
              <w:t>Jim Leonard:  Will identify the practices involved in the AC</w:t>
            </w:r>
          </w:p>
          <w:p w:rsidR="00D4133C" w:rsidRDefault="00D4133C" w:rsidP="00CA513B">
            <w:pPr>
              <w:rPr>
                <w:b/>
              </w:rPr>
            </w:pPr>
          </w:p>
          <w:p w:rsidR="00D4133C" w:rsidRPr="00382C14" w:rsidRDefault="00D4133C" w:rsidP="00CA513B">
            <w:pPr>
              <w:rPr>
                <w:b/>
              </w:rPr>
            </w:pPr>
            <w:r>
              <w:rPr>
                <w:b/>
              </w:rPr>
              <w:t>MHMC:  Present to DSR on how the index is calculated and bring in Primary Care Practice Reports</w:t>
            </w:r>
          </w:p>
        </w:tc>
      </w:tr>
      <w:tr w:rsidR="00890898" w:rsidRPr="00382C14" w:rsidTr="001D798E">
        <w:tc>
          <w:tcPr>
            <w:tcW w:w="3708" w:type="dxa"/>
          </w:tcPr>
          <w:p w:rsidR="00890898" w:rsidRDefault="00890898" w:rsidP="00752238">
            <w:pPr>
              <w:pStyle w:val="ListParagraph"/>
              <w:numPr>
                <w:ilvl w:val="0"/>
                <w:numId w:val="1"/>
              </w:numPr>
              <w:rPr>
                <w:rFonts w:asciiTheme="minorHAnsi" w:hAnsiTheme="minorHAnsi"/>
                <w:b/>
              </w:rPr>
            </w:pPr>
            <w:r>
              <w:rPr>
                <w:rFonts w:asciiTheme="minorHAnsi" w:hAnsiTheme="minorHAnsi"/>
                <w:b/>
              </w:rPr>
              <w:lastRenderedPageBreak/>
              <w:t>SIM Evaluators</w:t>
            </w:r>
          </w:p>
          <w:p w:rsidR="00890898" w:rsidRDefault="00890898" w:rsidP="003E67C2">
            <w:pPr>
              <w:rPr>
                <w:b/>
              </w:rPr>
            </w:pPr>
          </w:p>
          <w:p w:rsidR="00890898" w:rsidRPr="003E67C2" w:rsidRDefault="00890898" w:rsidP="003E67C2">
            <w:pPr>
              <w:rPr>
                <w:b/>
              </w:rPr>
            </w:pPr>
            <w:r>
              <w:rPr>
                <w:b/>
              </w:rPr>
              <w:t>Expected Action: Status Update</w:t>
            </w:r>
          </w:p>
          <w:p w:rsidR="00890898" w:rsidRDefault="00890898" w:rsidP="00205ACD">
            <w:pPr>
              <w:pStyle w:val="ListParagraph"/>
              <w:ind w:left="360"/>
              <w:rPr>
                <w:rFonts w:asciiTheme="minorHAnsi" w:hAnsiTheme="minorHAnsi"/>
                <w:b/>
              </w:rPr>
            </w:pPr>
          </w:p>
          <w:p w:rsidR="00890898" w:rsidRPr="00CC6A19" w:rsidRDefault="00890898" w:rsidP="00CC6A19">
            <w:pPr>
              <w:rPr>
                <w:b/>
              </w:rPr>
            </w:pPr>
          </w:p>
          <w:p w:rsidR="00890898" w:rsidRPr="00382C14" w:rsidRDefault="00890898" w:rsidP="00205ACD">
            <w:pPr>
              <w:pStyle w:val="ListParagraph"/>
              <w:ind w:left="360"/>
              <w:rPr>
                <w:rFonts w:asciiTheme="minorHAnsi" w:hAnsiTheme="minorHAnsi"/>
                <w:b/>
              </w:rPr>
            </w:pPr>
          </w:p>
        </w:tc>
        <w:tc>
          <w:tcPr>
            <w:tcW w:w="1620" w:type="dxa"/>
          </w:tcPr>
          <w:p w:rsidR="00890898" w:rsidRPr="00382C14" w:rsidRDefault="00890898" w:rsidP="00CA513B">
            <w:pPr>
              <w:rPr>
                <w:b/>
              </w:rPr>
            </w:pPr>
            <w:r>
              <w:rPr>
                <w:b/>
              </w:rPr>
              <w:t>David Hanig, Katherine Woods 11:15 (30 min)</w:t>
            </w:r>
          </w:p>
        </w:tc>
        <w:tc>
          <w:tcPr>
            <w:tcW w:w="4050" w:type="dxa"/>
          </w:tcPr>
          <w:p w:rsidR="005B6F3C" w:rsidRDefault="005B6F3C" w:rsidP="005B6F3C">
            <w:pPr>
              <w:pStyle w:val="Default"/>
            </w:pPr>
            <w:r w:rsidRPr="005B6F3C">
              <w:t xml:space="preserve">David Hanig </w:t>
            </w:r>
            <w:r>
              <w:t xml:space="preserve">presented an evaluation overview and activities to date.  </w:t>
            </w:r>
          </w:p>
          <w:p w:rsidR="005B6F3C" w:rsidRDefault="005B6F3C" w:rsidP="005B6F3C">
            <w:pPr>
              <w:pStyle w:val="Default"/>
              <w:rPr>
                <w:rFonts w:cstheme="minorBidi"/>
                <w:color w:val="auto"/>
              </w:rPr>
            </w:pPr>
          </w:p>
          <w:p w:rsidR="005B6F3C" w:rsidRPr="005B6F3C" w:rsidRDefault="005B6F3C" w:rsidP="005B6F3C">
            <w:pPr>
              <w:rPr>
                <w:sz w:val="24"/>
                <w:szCs w:val="24"/>
              </w:rPr>
            </w:pPr>
            <w:r w:rsidRPr="005B6F3C">
              <w:rPr>
                <w:sz w:val="24"/>
                <w:szCs w:val="24"/>
              </w:rPr>
              <w:t xml:space="preserve">Lewin is partnering with Maine DHHS to conduct a multi-year evaluation of SIM with 3 key components: </w:t>
            </w:r>
          </w:p>
          <w:p w:rsidR="005B6F3C" w:rsidRPr="005B6F3C" w:rsidRDefault="005B6F3C" w:rsidP="005B6F3C">
            <w:pPr>
              <w:rPr>
                <w:sz w:val="24"/>
                <w:szCs w:val="24"/>
              </w:rPr>
            </w:pPr>
            <w:r w:rsidRPr="005B6F3C">
              <w:rPr>
                <w:rFonts w:cs="Arial"/>
                <w:sz w:val="24"/>
                <w:szCs w:val="24"/>
              </w:rPr>
              <w:t xml:space="preserve">• </w:t>
            </w:r>
            <w:r w:rsidRPr="005B6F3C">
              <w:rPr>
                <w:sz w:val="24"/>
                <w:szCs w:val="24"/>
              </w:rPr>
              <w:t xml:space="preserve">Implementation/Process Evaluation </w:t>
            </w:r>
          </w:p>
          <w:p w:rsidR="005B6F3C" w:rsidRPr="005B6F3C" w:rsidRDefault="005B6F3C" w:rsidP="005B6F3C">
            <w:pPr>
              <w:rPr>
                <w:sz w:val="24"/>
                <w:szCs w:val="24"/>
              </w:rPr>
            </w:pPr>
            <w:r w:rsidRPr="005B6F3C">
              <w:rPr>
                <w:rFonts w:cs="Arial"/>
                <w:sz w:val="24"/>
                <w:szCs w:val="24"/>
              </w:rPr>
              <w:t xml:space="preserve">• </w:t>
            </w:r>
            <w:r w:rsidRPr="005B6F3C">
              <w:rPr>
                <w:sz w:val="24"/>
                <w:szCs w:val="24"/>
              </w:rPr>
              <w:t xml:space="preserve">Cost Effectiveness Evaluation </w:t>
            </w:r>
          </w:p>
          <w:p w:rsidR="005B6F3C" w:rsidRPr="005B6F3C" w:rsidRDefault="005B6F3C" w:rsidP="005B6F3C">
            <w:pPr>
              <w:rPr>
                <w:sz w:val="24"/>
                <w:szCs w:val="24"/>
              </w:rPr>
            </w:pPr>
            <w:r w:rsidRPr="005B6F3C">
              <w:rPr>
                <w:rFonts w:cs="Arial"/>
                <w:sz w:val="24"/>
                <w:szCs w:val="24"/>
              </w:rPr>
              <w:t xml:space="preserve">• </w:t>
            </w:r>
            <w:r w:rsidRPr="005B6F3C">
              <w:rPr>
                <w:sz w:val="24"/>
                <w:szCs w:val="24"/>
              </w:rPr>
              <w:t xml:space="preserve">Impact/Effectiveness Evaluation </w:t>
            </w:r>
          </w:p>
          <w:p w:rsidR="00890898" w:rsidRDefault="005B6F3C" w:rsidP="00DC45C1">
            <w:pPr>
              <w:rPr>
                <w:b/>
              </w:rPr>
            </w:pPr>
            <w:r>
              <w:rPr>
                <w:sz w:val="24"/>
                <w:szCs w:val="24"/>
              </w:rPr>
              <w:t>(See ppt.)</w:t>
            </w:r>
          </w:p>
          <w:p w:rsidR="00890898" w:rsidRDefault="00890898" w:rsidP="00DC45C1">
            <w:pPr>
              <w:rPr>
                <w:b/>
              </w:rPr>
            </w:pPr>
          </w:p>
        </w:tc>
        <w:tc>
          <w:tcPr>
            <w:tcW w:w="2790" w:type="dxa"/>
          </w:tcPr>
          <w:p w:rsidR="00890898" w:rsidRPr="00382C14" w:rsidRDefault="00890898" w:rsidP="00CA513B">
            <w:pPr>
              <w:rPr>
                <w:b/>
              </w:rPr>
            </w:pPr>
          </w:p>
        </w:tc>
      </w:tr>
      <w:tr w:rsidR="00890898" w:rsidRPr="00382C14" w:rsidTr="001D798E">
        <w:tc>
          <w:tcPr>
            <w:tcW w:w="3708" w:type="dxa"/>
          </w:tcPr>
          <w:p w:rsidR="00890898" w:rsidRPr="00382C14" w:rsidRDefault="00890898" w:rsidP="00752238">
            <w:pPr>
              <w:pStyle w:val="ListParagraph"/>
              <w:numPr>
                <w:ilvl w:val="0"/>
                <w:numId w:val="1"/>
              </w:numPr>
              <w:rPr>
                <w:rFonts w:asciiTheme="minorHAnsi" w:hAnsiTheme="minorHAnsi"/>
                <w:b/>
              </w:rPr>
            </w:pPr>
            <w:r>
              <w:rPr>
                <w:rFonts w:asciiTheme="minorHAnsi" w:hAnsiTheme="minorHAnsi"/>
                <w:b/>
              </w:rPr>
              <w:t>Interested Parties Public Comment</w:t>
            </w:r>
          </w:p>
        </w:tc>
        <w:tc>
          <w:tcPr>
            <w:tcW w:w="1620" w:type="dxa"/>
          </w:tcPr>
          <w:p w:rsidR="00890898" w:rsidRPr="00382C14" w:rsidRDefault="00890898" w:rsidP="00CA513B">
            <w:pPr>
              <w:rPr>
                <w:b/>
              </w:rPr>
            </w:pPr>
            <w:r w:rsidRPr="00382C14">
              <w:rPr>
                <w:b/>
              </w:rPr>
              <w:t>All</w:t>
            </w:r>
            <w:r>
              <w:rPr>
                <w:b/>
              </w:rPr>
              <w:t xml:space="preserve"> 11:45 (10 min)</w:t>
            </w:r>
          </w:p>
          <w:p w:rsidR="00890898" w:rsidRPr="00382C14" w:rsidRDefault="00890898" w:rsidP="00CA513B">
            <w:pPr>
              <w:rPr>
                <w:b/>
              </w:rPr>
            </w:pPr>
            <w:r>
              <w:rPr>
                <w:b/>
              </w:rPr>
              <w:t xml:space="preserve"> </w:t>
            </w:r>
          </w:p>
          <w:p w:rsidR="00890898" w:rsidRPr="00382C14" w:rsidRDefault="00890898" w:rsidP="00CA513B">
            <w:pPr>
              <w:rPr>
                <w:b/>
              </w:rPr>
            </w:pPr>
          </w:p>
        </w:tc>
        <w:tc>
          <w:tcPr>
            <w:tcW w:w="4050" w:type="dxa"/>
          </w:tcPr>
          <w:p w:rsidR="00890898" w:rsidRPr="00382C14" w:rsidRDefault="00890898" w:rsidP="0096790D"/>
        </w:tc>
        <w:tc>
          <w:tcPr>
            <w:tcW w:w="2790" w:type="dxa"/>
          </w:tcPr>
          <w:p w:rsidR="00890898" w:rsidRPr="00382C14" w:rsidRDefault="00890898" w:rsidP="00CA513B">
            <w:pPr>
              <w:rPr>
                <w:b/>
              </w:rPr>
            </w:pPr>
          </w:p>
        </w:tc>
      </w:tr>
      <w:tr w:rsidR="00890898" w:rsidRPr="00382C14" w:rsidTr="001D798E">
        <w:tc>
          <w:tcPr>
            <w:tcW w:w="3708" w:type="dxa"/>
          </w:tcPr>
          <w:p w:rsidR="00890898" w:rsidRDefault="00890898" w:rsidP="00752238">
            <w:pPr>
              <w:pStyle w:val="ListParagraph"/>
              <w:numPr>
                <w:ilvl w:val="0"/>
                <w:numId w:val="1"/>
              </w:numPr>
              <w:rPr>
                <w:rFonts w:asciiTheme="minorHAnsi" w:hAnsiTheme="minorHAnsi"/>
                <w:b/>
              </w:rPr>
            </w:pPr>
            <w:r>
              <w:rPr>
                <w:rFonts w:asciiTheme="minorHAnsi" w:hAnsiTheme="minorHAnsi"/>
                <w:b/>
              </w:rPr>
              <w:t>Evaluation/Action Recap</w:t>
            </w:r>
          </w:p>
        </w:tc>
        <w:tc>
          <w:tcPr>
            <w:tcW w:w="1620" w:type="dxa"/>
          </w:tcPr>
          <w:p w:rsidR="00890898" w:rsidRPr="00382C14" w:rsidRDefault="00890898" w:rsidP="00CA513B">
            <w:pPr>
              <w:rPr>
                <w:b/>
              </w:rPr>
            </w:pPr>
            <w:r>
              <w:rPr>
                <w:b/>
              </w:rPr>
              <w:t>All 11:55 (5 min)</w:t>
            </w:r>
          </w:p>
        </w:tc>
        <w:tc>
          <w:tcPr>
            <w:tcW w:w="4050" w:type="dxa"/>
          </w:tcPr>
          <w:p w:rsidR="00890898" w:rsidRDefault="005B6F3C" w:rsidP="00CA513B">
            <w:pPr>
              <w:rPr>
                <w:b/>
              </w:rPr>
            </w:pPr>
            <w:r>
              <w:rPr>
                <w:b/>
              </w:rPr>
              <w:t xml:space="preserve">There were 25 participants in the meeting.  Evaluation results scored </w:t>
            </w:r>
            <w:r w:rsidR="00B74654">
              <w:rPr>
                <w:b/>
              </w:rPr>
              <w:t xml:space="preserve">at </w:t>
            </w:r>
            <w:r>
              <w:rPr>
                <w:b/>
              </w:rPr>
              <w:t>8</w:t>
            </w:r>
            <w:r w:rsidR="00B74654">
              <w:rPr>
                <w:b/>
              </w:rPr>
              <w:t xml:space="preserve"> and 9. Subcommittee members felt there was good discussion in the meeting and group stayed on task.  </w:t>
            </w:r>
          </w:p>
          <w:p w:rsidR="00890898" w:rsidRDefault="00B74654" w:rsidP="00CA513B">
            <w:pPr>
              <w:rPr>
                <w:b/>
              </w:rPr>
            </w:pPr>
            <w:r>
              <w:rPr>
                <w:b/>
              </w:rPr>
              <w:t>Some members would like more background info on some of the topics.</w:t>
            </w:r>
          </w:p>
          <w:p w:rsidR="00890898" w:rsidRDefault="00890898" w:rsidP="00CA513B">
            <w:pPr>
              <w:rPr>
                <w:b/>
              </w:rPr>
            </w:pPr>
          </w:p>
        </w:tc>
        <w:tc>
          <w:tcPr>
            <w:tcW w:w="2790" w:type="dxa"/>
          </w:tcPr>
          <w:p w:rsidR="00890898" w:rsidRPr="00382C14" w:rsidRDefault="00890898" w:rsidP="00CA513B">
            <w:pPr>
              <w:rPr>
                <w:b/>
              </w:rPr>
            </w:pPr>
          </w:p>
        </w:tc>
      </w:tr>
      <w:tr w:rsidR="00890898" w:rsidRPr="00382C14" w:rsidTr="001D798E">
        <w:tc>
          <w:tcPr>
            <w:tcW w:w="3708" w:type="dxa"/>
          </w:tcPr>
          <w:p w:rsidR="00890898" w:rsidRDefault="00890898" w:rsidP="009D0255">
            <w:pPr>
              <w:rPr>
                <w:b/>
              </w:rPr>
            </w:pPr>
            <w:r>
              <w:rPr>
                <w:b/>
              </w:rPr>
              <w:lastRenderedPageBreak/>
              <w:t>May Meeting: I/DD Status Update</w:t>
            </w:r>
          </w:p>
          <w:p w:rsidR="00890898" w:rsidRPr="00382C14" w:rsidRDefault="001F6B59" w:rsidP="009D0255">
            <w:pPr>
              <w:rPr>
                <w:b/>
              </w:rPr>
            </w:pPr>
            <w:r>
              <w:rPr>
                <w:b/>
              </w:rPr>
              <w:t>June meeting P3 Wrap Up (LML or Dr. Ryan)</w:t>
            </w:r>
          </w:p>
        </w:tc>
        <w:tc>
          <w:tcPr>
            <w:tcW w:w="1620" w:type="dxa"/>
          </w:tcPr>
          <w:p w:rsidR="00890898" w:rsidRPr="00382C14" w:rsidRDefault="00890898" w:rsidP="00CA513B">
            <w:pPr>
              <w:rPr>
                <w:b/>
              </w:rPr>
            </w:pPr>
          </w:p>
          <w:p w:rsidR="00890898" w:rsidRPr="00382C14" w:rsidRDefault="00890898" w:rsidP="00CA513B">
            <w:pPr>
              <w:rPr>
                <w:b/>
              </w:rPr>
            </w:pPr>
          </w:p>
        </w:tc>
        <w:tc>
          <w:tcPr>
            <w:tcW w:w="4050" w:type="dxa"/>
          </w:tcPr>
          <w:p w:rsidR="00890898" w:rsidRDefault="00890898" w:rsidP="00CA513B">
            <w:pPr>
              <w:rPr>
                <w:b/>
              </w:rPr>
            </w:pPr>
            <w:r>
              <w:rPr>
                <w:b/>
              </w:rPr>
              <w:t xml:space="preserve"> </w:t>
            </w:r>
          </w:p>
          <w:p w:rsidR="00890898" w:rsidRDefault="00890898" w:rsidP="00CA513B">
            <w:pPr>
              <w:rPr>
                <w:b/>
              </w:rPr>
            </w:pPr>
          </w:p>
          <w:p w:rsidR="00890898" w:rsidRPr="00382C14" w:rsidRDefault="00890898" w:rsidP="00CA513B">
            <w:pPr>
              <w:rPr>
                <w:b/>
              </w:rPr>
            </w:pPr>
          </w:p>
        </w:tc>
        <w:tc>
          <w:tcPr>
            <w:tcW w:w="2790" w:type="dxa"/>
          </w:tcPr>
          <w:p w:rsidR="00890898" w:rsidRPr="00382C14" w:rsidRDefault="00890898" w:rsidP="00CA513B">
            <w:pPr>
              <w:rPr>
                <w:b/>
              </w:rPr>
            </w:pPr>
          </w:p>
        </w:tc>
      </w:tr>
    </w:tbl>
    <w:p w:rsidR="002E77E0" w:rsidRPr="00382C14" w:rsidRDefault="002E77E0" w:rsidP="00205ACD">
      <w:pPr>
        <w:spacing w:after="0" w:line="240" w:lineRule="auto"/>
        <w:rPr>
          <w:rFonts w:eastAsia="Times New Roman" w:cs="Times New Roman"/>
          <w:b/>
        </w:rPr>
      </w:pPr>
    </w:p>
    <w:p w:rsidR="00205ACD" w:rsidRDefault="00205ACD" w:rsidP="00752238">
      <w:pPr>
        <w:spacing w:after="0" w:line="240" w:lineRule="auto"/>
        <w:jc w:val="center"/>
        <w:rPr>
          <w:rFonts w:eastAsia="Times New Roman" w:cs="Times New Roman"/>
          <w:b/>
        </w:rPr>
      </w:pPr>
    </w:p>
    <w:p w:rsidR="003E67C2" w:rsidRDefault="00752238" w:rsidP="00752238">
      <w:pPr>
        <w:spacing w:after="0" w:line="240" w:lineRule="auto"/>
        <w:jc w:val="center"/>
        <w:rPr>
          <w:rFonts w:eastAsia="Times New Roman" w:cs="Times New Roman"/>
          <w:b/>
        </w:rPr>
      </w:pPr>
      <w:r w:rsidRPr="00382C14">
        <w:rPr>
          <w:rFonts w:eastAsia="Times New Roman" w:cs="Times New Roman"/>
          <w:b/>
        </w:rPr>
        <w:t>Next Meet</w:t>
      </w:r>
      <w:r w:rsidR="00CE623A" w:rsidRPr="00382C14">
        <w:rPr>
          <w:rFonts w:eastAsia="Times New Roman" w:cs="Times New Roman"/>
          <w:b/>
        </w:rPr>
        <w:t xml:space="preserve">ing: </w:t>
      </w:r>
      <w:r w:rsidR="00317EB4">
        <w:rPr>
          <w:rFonts w:eastAsia="Times New Roman" w:cs="Times New Roman"/>
          <w:b/>
        </w:rPr>
        <w:t xml:space="preserve"> </w:t>
      </w:r>
      <w:r w:rsidR="00F43A91">
        <w:rPr>
          <w:rFonts w:eastAsia="Times New Roman" w:cs="Times New Roman"/>
          <w:b/>
        </w:rPr>
        <w:t>May 6</w:t>
      </w:r>
      <w:r w:rsidR="003E67C2">
        <w:rPr>
          <w:rFonts w:eastAsia="Times New Roman" w:cs="Times New Roman"/>
          <w:b/>
        </w:rPr>
        <w:t xml:space="preserve">, 2015 </w:t>
      </w:r>
    </w:p>
    <w:p w:rsidR="00317EB4" w:rsidRDefault="00317EB4" w:rsidP="00752238">
      <w:pPr>
        <w:spacing w:after="0" w:line="240" w:lineRule="auto"/>
        <w:jc w:val="center"/>
        <w:rPr>
          <w:rFonts w:eastAsia="Times New Roman" w:cs="Times New Roman"/>
          <w:b/>
        </w:rPr>
      </w:pPr>
      <w:r>
        <w:rPr>
          <w:rFonts w:eastAsia="Times New Roman" w:cs="Times New Roman"/>
          <w:b/>
        </w:rPr>
        <w:t xml:space="preserve">10:00 </w:t>
      </w:r>
      <w:proofErr w:type="gramStart"/>
      <w:r>
        <w:rPr>
          <w:rFonts w:eastAsia="Times New Roman" w:cs="Times New Roman"/>
          <w:b/>
        </w:rPr>
        <w:t>am</w:t>
      </w:r>
      <w:proofErr w:type="gramEnd"/>
      <w:r>
        <w:rPr>
          <w:rFonts w:eastAsia="Times New Roman" w:cs="Times New Roman"/>
          <w:b/>
        </w:rPr>
        <w:t xml:space="preserve"> to </w:t>
      </w:r>
      <w:r w:rsidR="003E67C2">
        <w:rPr>
          <w:rFonts w:eastAsia="Times New Roman" w:cs="Times New Roman"/>
          <w:b/>
        </w:rPr>
        <w:t>Noon</w:t>
      </w:r>
    </w:p>
    <w:p w:rsidR="003E67C2" w:rsidRDefault="003E67C2" w:rsidP="00752238">
      <w:pPr>
        <w:spacing w:after="0" w:line="240" w:lineRule="auto"/>
        <w:jc w:val="center"/>
        <w:rPr>
          <w:rFonts w:eastAsia="Times New Roman" w:cs="Times New Roman"/>
          <w:b/>
        </w:rPr>
      </w:pPr>
      <w:r>
        <w:rPr>
          <w:rFonts w:eastAsia="Times New Roman" w:cs="Times New Roman"/>
          <w:b/>
        </w:rPr>
        <w:t>221 State Street, Augusta, ME</w:t>
      </w:r>
    </w:p>
    <w:p w:rsidR="001D1B62" w:rsidRDefault="001D1B62" w:rsidP="00DC7D65">
      <w:pPr>
        <w:spacing w:after="0" w:line="240" w:lineRule="auto"/>
        <w:rPr>
          <w:rFonts w:eastAsia="Times New Roman" w:cs="Times New Roman"/>
          <w:b/>
        </w:rPr>
      </w:pPr>
    </w:p>
    <w:p w:rsidR="003E67C2" w:rsidRDefault="003E67C2" w:rsidP="00DC7D65">
      <w:pPr>
        <w:spacing w:after="0" w:line="240" w:lineRule="auto"/>
        <w:rPr>
          <w:rFonts w:eastAsia="Times New Roman" w:cs="Times New Roman"/>
          <w:b/>
        </w:rPr>
      </w:pPr>
    </w:p>
    <w:p w:rsidR="003E67C2" w:rsidRPr="00382C14" w:rsidRDefault="003E67C2" w:rsidP="00DC7D65">
      <w:pPr>
        <w:spacing w:after="0" w:line="240" w:lineRule="auto"/>
        <w:rPr>
          <w:rFonts w:eastAsia="Times New Roman" w:cs="Times New Roman"/>
          <w:b/>
        </w:rPr>
      </w:pPr>
    </w:p>
    <w:p w:rsidR="001D1B62" w:rsidRPr="00382C14" w:rsidRDefault="001D1B62" w:rsidP="001F1605">
      <w:pPr>
        <w:spacing w:after="0" w:line="240" w:lineRule="auto"/>
        <w:jc w:val="center"/>
        <w:rPr>
          <w:rFonts w:eastAsia="Times New Roman" w:cs="Times New Roman"/>
          <w:b/>
        </w:rPr>
      </w:pPr>
    </w:p>
    <w:tbl>
      <w:tblPr>
        <w:tblStyle w:val="TableGrid11"/>
        <w:tblW w:w="0" w:type="auto"/>
        <w:tblLook w:val="04A0" w:firstRow="1" w:lastRow="0" w:firstColumn="1" w:lastColumn="0" w:noHBand="0" w:noVBand="1"/>
      </w:tblPr>
      <w:tblGrid>
        <w:gridCol w:w="1068"/>
        <w:gridCol w:w="4844"/>
        <w:gridCol w:w="2942"/>
        <w:gridCol w:w="2085"/>
        <w:gridCol w:w="2323"/>
      </w:tblGrid>
      <w:tr w:rsidR="00DC2ABE" w:rsidRPr="00382C14" w:rsidTr="001521D1">
        <w:tc>
          <w:tcPr>
            <w:tcW w:w="13262" w:type="dxa"/>
            <w:gridSpan w:val="5"/>
            <w:tcBorders>
              <w:top w:val="single" w:sz="4" w:space="0" w:color="auto"/>
            </w:tcBorders>
            <w:shd w:val="clear" w:color="auto" w:fill="D9D9D9" w:themeFill="background1" w:themeFillShade="D9"/>
          </w:tcPr>
          <w:p w:rsidR="00DC2ABE" w:rsidRPr="00382C14" w:rsidRDefault="00DC2ABE" w:rsidP="00DC2ABE">
            <w:pPr>
              <w:rPr>
                <w:rFonts w:asciiTheme="minorHAnsi" w:hAnsiTheme="minorHAnsi"/>
                <w:b/>
                <w:sz w:val="22"/>
                <w:szCs w:val="22"/>
              </w:rPr>
            </w:pPr>
            <w:r w:rsidRPr="00382C14">
              <w:rPr>
                <w:rFonts w:asciiTheme="minorHAnsi" w:hAnsiTheme="minorHAnsi"/>
                <w:b/>
                <w:sz w:val="22"/>
                <w:szCs w:val="22"/>
              </w:rPr>
              <w:t>Delivery System Reform Subcommittee Risks Tracking</w:t>
            </w:r>
          </w:p>
        </w:tc>
      </w:tr>
      <w:tr w:rsidR="00DC2ABE" w:rsidRPr="00382C14" w:rsidTr="00A25DD8">
        <w:tc>
          <w:tcPr>
            <w:tcW w:w="1068" w:type="dxa"/>
            <w:shd w:val="clear" w:color="auto" w:fill="D9D9D9" w:themeFill="background1" w:themeFillShade="D9"/>
          </w:tcPr>
          <w:p w:rsidR="00DC2ABE" w:rsidRPr="00382C14" w:rsidRDefault="00DC2ABE" w:rsidP="00DC2ABE">
            <w:pPr>
              <w:rPr>
                <w:rFonts w:asciiTheme="minorHAnsi" w:hAnsiTheme="minorHAnsi"/>
                <w:b/>
                <w:sz w:val="22"/>
                <w:szCs w:val="22"/>
              </w:rPr>
            </w:pPr>
            <w:r w:rsidRPr="00382C14">
              <w:rPr>
                <w:rFonts w:asciiTheme="minorHAnsi" w:hAnsiTheme="minorHAnsi"/>
                <w:b/>
                <w:sz w:val="22"/>
                <w:szCs w:val="22"/>
              </w:rPr>
              <w:t>Date</w:t>
            </w:r>
          </w:p>
        </w:tc>
        <w:tc>
          <w:tcPr>
            <w:tcW w:w="4844" w:type="dxa"/>
            <w:shd w:val="clear" w:color="auto" w:fill="D9D9D9" w:themeFill="background1" w:themeFillShade="D9"/>
          </w:tcPr>
          <w:p w:rsidR="00DC2ABE" w:rsidRPr="00382C14" w:rsidRDefault="00DC2ABE" w:rsidP="00DC2ABE">
            <w:pPr>
              <w:rPr>
                <w:rFonts w:asciiTheme="minorHAnsi" w:hAnsiTheme="minorHAnsi"/>
                <w:b/>
                <w:sz w:val="22"/>
                <w:szCs w:val="22"/>
              </w:rPr>
            </w:pPr>
            <w:r w:rsidRPr="00382C14">
              <w:rPr>
                <w:rFonts w:asciiTheme="minorHAnsi" w:hAnsiTheme="minorHAnsi"/>
                <w:b/>
                <w:sz w:val="22"/>
                <w:szCs w:val="22"/>
              </w:rPr>
              <w:t>Risk Definition</w:t>
            </w:r>
          </w:p>
        </w:tc>
        <w:tc>
          <w:tcPr>
            <w:tcW w:w="2942" w:type="dxa"/>
            <w:shd w:val="clear" w:color="auto" w:fill="D9D9D9" w:themeFill="background1" w:themeFillShade="D9"/>
          </w:tcPr>
          <w:p w:rsidR="00DC2ABE" w:rsidRPr="00382C14" w:rsidRDefault="00DC2ABE" w:rsidP="00DC2ABE">
            <w:pPr>
              <w:rPr>
                <w:rFonts w:asciiTheme="minorHAnsi" w:hAnsiTheme="minorHAnsi"/>
                <w:b/>
                <w:sz w:val="22"/>
                <w:szCs w:val="22"/>
              </w:rPr>
            </w:pPr>
            <w:r w:rsidRPr="00382C14">
              <w:rPr>
                <w:rFonts w:asciiTheme="minorHAnsi" w:hAnsiTheme="minorHAnsi"/>
                <w:b/>
                <w:sz w:val="22"/>
                <w:szCs w:val="22"/>
              </w:rPr>
              <w:t>Mitigation Options</w:t>
            </w:r>
          </w:p>
        </w:tc>
        <w:tc>
          <w:tcPr>
            <w:tcW w:w="2085" w:type="dxa"/>
            <w:shd w:val="clear" w:color="auto" w:fill="D9D9D9" w:themeFill="background1" w:themeFillShade="D9"/>
          </w:tcPr>
          <w:p w:rsidR="00DC2ABE" w:rsidRPr="00382C14" w:rsidRDefault="00DC2ABE" w:rsidP="00DC2ABE">
            <w:pPr>
              <w:rPr>
                <w:rFonts w:asciiTheme="minorHAnsi" w:hAnsiTheme="minorHAnsi"/>
                <w:b/>
                <w:sz w:val="22"/>
                <w:szCs w:val="22"/>
              </w:rPr>
            </w:pPr>
            <w:r w:rsidRPr="00382C14">
              <w:rPr>
                <w:rFonts w:asciiTheme="minorHAnsi" w:hAnsiTheme="minorHAnsi"/>
                <w:b/>
                <w:sz w:val="22"/>
                <w:szCs w:val="22"/>
              </w:rPr>
              <w:t>Pros/Cons</w:t>
            </w:r>
          </w:p>
        </w:tc>
        <w:tc>
          <w:tcPr>
            <w:tcW w:w="2323" w:type="dxa"/>
            <w:shd w:val="clear" w:color="auto" w:fill="D9D9D9" w:themeFill="background1" w:themeFillShade="D9"/>
          </w:tcPr>
          <w:p w:rsidR="00DC2ABE" w:rsidRPr="00382C14" w:rsidRDefault="00DC2ABE" w:rsidP="00DC2ABE">
            <w:pPr>
              <w:rPr>
                <w:rFonts w:asciiTheme="minorHAnsi" w:hAnsiTheme="minorHAnsi"/>
                <w:b/>
                <w:sz w:val="22"/>
                <w:szCs w:val="22"/>
              </w:rPr>
            </w:pPr>
            <w:r w:rsidRPr="00382C14">
              <w:rPr>
                <w:rFonts w:asciiTheme="minorHAnsi" w:hAnsiTheme="minorHAnsi"/>
                <w:b/>
                <w:sz w:val="22"/>
                <w:szCs w:val="22"/>
              </w:rPr>
              <w:t>Assigned To</w:t>
            </w:r>
          </w:p>
        </w:tc>
      </w:tr>
      <w:tr w:rsidR="000E6F2C" w:rsidRPr="008E38A8" w:rsidTr="00925C0A">
        <w:tc>
          <w:tcPr>
            <w:tcW w:w="1068" w:type="dxa"/>
          </w:tcPr>
          <w:p w:rsidR="000E6F2C" w:rsidRDefault="000E6F2C" w:rsidP="00925C0A"/>
          <w:p w:rsidR="000E6F2C" w:rsidRDefault="000E6F2C" w:rsidP="00925C0A"/>
          <w:p w:rsidR="000E6F2C" w:rsidRDefault="000E6F2C" w:rsidP="00925C0A"/>
        </w:tc>
        <w:tc>
          <w:tcPr>
            <w:tcW w:w="4844" w:type="dxa"/>
          </w:tcPr>
          <w:p w:rsidR="000E6F2C" w:rsidRDefault="000E6F2C" w:rsidP="00925C0A"/>
        </w:tc>
        <w:tc>
          <w:tcPr>
            <w:tcW w:w="2942" w:type="dxa"/>
          </w:tcPr>
          <w:p w:rsidR="000E6F2C" w:rsidRPr="008E38A8" w:rsidRDefault="000E6F2C" w:rsidP="00925C0A"/>
        </w:tc>
        <w:tc>
          <w:tcPr>
            <w:tcW w:w="2085" w:type="dxa"/>
          </w:tcPr>
          <w:p w:rsidR="000E6F2C" w:rsidRPr="008E38A8" w:rsidRDefault="000E6F2C" w:rsidP="00925C0A">
            <w:pPr>
              <w:rPr>
                <w:b/>
              </w:rPr>
            </w:pPr>
          </w:p>
        </w:tc>
        <w:tc>
          <w:tcPr>
            <w:tcW w:w="2323" w:type="dxa"/>
          </w:tcPr>
          <w:p w:rsidR="000E6F2C" w:rsidRDefault="000E6F2C" w:rsidP="00925C0A">
            <w:pPr>
              <w:rPr>
                <w:b/>
              </w:rPr>
            </w:pPr>
          </w:p>
        </w:tc>
      </w:tr>
      <w:tr w:rsidR="000153C7" w:rsidRPr="008E38A8" w:rsidTr="00925C0A">
        <w:tc>
          <w:tcPr>
            <w:tcW w:w="1068" w:type="dxa"/>
          </w:tcPr>
          <w:p w:rsidR="000153C7" w:rsidRPr="008E38A8" w:rsidRDefault="000153C7" w:rsidP="00925C0A">
            <w:pPr>
              <w:rPr>
                <w:rFonts w:asciiTheme="minorHAnsi" w:hAnsiTheme="minorHAnsi"/>
                <w:sz w:val="22"/>
                <w:szCs w:val="22"/>
              </w:rPr>
            </w:pPr>
            <w:r>
              <w:rPr>
                <w:rFonts w:asciiTheme="minorHAnsi" w:hAnsiTheme="minorHAnsi"/>
                <w:sz w:val="22"/>
                <w:szCs w:val="22"/>
              </w:rPr>
              <w:t>11/5/14</w:t>
            </w:r>
          </w:p>
          <w:p w:rsidR="000153C7" w:rsidRPr="008E38A8" w:rsidRDefault="000153C7" w:rsidP="00925C0A">
            <w:pPr>
              <w:rPr>
                <w:rFonts w:asciiTheme="minorHAnsi" w:hAnsiTheme="minorHAnsi"/>
                <w:sz w:val="22"/>
                <w:szCs w:val="22"/>
              </w:rPr>
            </w:pPr>
          </w:p>
          <w:p w:rsidR="000153C7" w:rsidRPr="008E38A8" w:rsidRDefault="000153C7" w:rsidP="00925C0A">
            <w:pPr>
              <w:rPr>
                <w:rFonts w:asciiTheme="minorHAnsi" w:hAnsiTheme="minorHAnsi"/>
                <w:sz w:val="22"/>
                <w:szCs w:val="22"/>
              </w:rPr>
            </w:pPr>
          </w:p>
        </w:tc>
        <w:tc>
          <w:tcPr>
            <w:tcW w:w="4844" w:type="dxa"/>
          </w:tcPr>
          <w:p w:rsidR="000153C7" w:rsidRPr="009F1633" w:rsidRDefault="000153C7" w:rsidP="00925C0A">
            <w:pPr>
              <w:rPr>
                <w:rFonts w:asciiTheme="minorHAnsi" w:hAnsiTheme="minorHAnsi"/>
                <w:sz w:val="22"/>
                <w:szCs w:val="22"/>
              </w:rPr>
            </w:pPr>
            <w:r>
              <w:rPr>
                <w:rFonts w:asciiTheme="minorHAnsi" w:hAnsiTheme="minorHAnsi"/>
                <w:sz w:val="22"/>
                <w:szCs w:val="22"/>
              </w:rPr>
              <w:t>S</w:t>
            </w:r>
            <w:r w:rsidRPr="009F1633">
              <w:rPr>
                <w:rFonts w:asciiTheme="minorHAnsi" w:hAnsiTheme="minorHAnsi"/>
                <w:sz w:val="22"/>
                <w:szCs w:val="22"/>
              </w:rPr>
              <w:t xml:space="preserve">ystemic risk of the health care system of not offering adequate and equal care to people with disabilities.  </w:t>
            </w:r>
          </w:p>
        </w:tc>
        <w:tc>
          <w:tcPr>
            <w:tcW w:w="2942" w:type="dxa"/>
          </w:tcPr>
          <w:p w:rsidR="000153C7" w:rsidRPr="008E38A8" w:rsidRDefault="000153C7" w:rsidP="00925C0A">
            <w:pPr>
              <w:rPr>
                <w:rFonts w:asciiTheme="minorHAnsi" w:hAnsiTheme="minorHAnsi"/>
                <w:sz w:val="22"/>
                <w:szCs w:val="22"/>
              </w:rPr>
            </w:pPr>
          </w:p>
        </w:tc>
        <w:tc>
          <w:tcPr>
            <w:tcW w:w="2085" w:type="dxa"/>
          </w:tcPr>
          <w:p w:rsidR="000153C7" w:rsidRPr="008E38A8" w:rsidRDefault="000153C7" w:rsidP="00925C0A">
            <w:pPr>
              <w:rPr>
                <w:rFonts w:asciiTheme="minorHAnsi" w:hAnsiTheme="minorHAnsi"/>
                <w:b/>
                <w:sz w:val="22"/>
                <w:szCs w:val="22"/>
              </w:rPr>
            </w:pPr>
          </w:p>
        </w:tc>
        <w:tc>
          <w:tcPr>
            <w:tcW w:w="2323" w:type="dxa"/>
          </w:tcPr>
          <w:p w:rsidR="000153C7" w:rsidRPr="008E38A8" w:rsidRDefault="000153C7" w:rsidP="00925C0A">
            <w:pPr>
              <w:rPr>
                <w:rFonts w:asciiTheme="minorHAnsi" w:hAnsiTheme="minorHAnsi"/>
                <w:b/>
                <w:sz w:val="22"/>
                <w:szCs w:val="22"/>
              </w:rPr>
            </w:pPr>
            <w:r>
              <w:rPr>
                <w:rFonts w:asciiTheme="minorHAnsi" w:hAnsiTheme="minorHAnsi"/>
                <w:b/>
                <w:sz w:val="22"/>
                <w:szCs w:val="22"/>
              </w:rPr>
              <w:t>Dennis Fitzgibbons</w:t>
            </w:r>
          </w:p>
        </w:tc>
      </w:tr>
      <w:tr w:rsidR="000153C7" w:rsidRPr="008E38A8" w:rsidTr="00925C0A">
        <w:tc>
          <w:tcPr>
            <w:tcW w:w="1068" w:type="dxa"/>
          </w:tcPr>
          <w:p w:rsidR="000153C7" w:rsidRPr="008E38A8" w:rsidRDefault="000153C7" w:rsidP="00925C0A">
            <w:pPr>
              <w:rPr>
                <w:rFonts w:asciiTheme="minorHAnsi" w:hAnsiTheme="minorHAnsi"/>
                <w:sz w:val="22"/>
                <w:szCs w:val="22"/>
              </w:rPr>
            </w:pPr>
            <w:r w:rsidRPr="008E38A8">
              <w:rPr>
                <w:rFonts w:asciiTheme="minorHAnsi" w:hAnsiTheme="minorHAnsi"/>
                <w:sz w:val="22"/>
                <w:szCs w:val="22"/>
              </w:rPr>
              <w:t>9/3/14</w:t>
            </w:r>
          </w:p>
          <w:p w:rsidR="000153C7" w:rsidRPr="008E38A8" w:rsidRDefault="000153C7" w:rsidP="00925C0A">
            <w:pPr>
              <w:rPr>
                <w:rFonts w:asciiTheme="minorHAnsi" w:hAnsiTheme="minorHAnsi"/>
                <w:sz w:val="22"/>
                <w:szCs w:val="22"/>
              </w:rPr>
            </w:pPr>
          </w:p>
          <w:p w:rsidR="000153C7" w:rsidRPr="008E38A8" w:rsidRDefault="000153C7" w:rsidP="00925C0A">
            <w:pPr>
              <w:rPr>
                <w:rFonts w:asciiTheme="minorHAnsi" w:hAnsiTheme="minorHAnsi"/>
                <w:sz w:val="22"/>
                <w:szCs w:val="22"/>
              </w:rPr>
            </w:pPr>
          </w:p>
        </w:tc>
        <w:tc>
          <w:tcPr>
            <w:tcW w:w="4844" w:type="dxa"/>
          </w:tcPr>
          <w:p w:rsidR="000153C7" w:rsidRPr="008E38A8" w:rsidRDefault="000153C7" w:rsidP="00925C0A">
            <w:pPr>
              <w:rPr>
                <w:rFonts w:asciiTheme="minorHAnsi" w:hAnsiTheme="minorHAnsi"/>
                <w:sz w:val="22"/>
                <w:szCs w:val="22"/>
              </w:rPr>
            </w:pPr>
            <w:r w:rsidRPr="008E38A8">
              <w:rPr>
                <w:rFonts w:asciiTheme="minorHAnsi" w:hAnsiTheme="minorHAnsi"/>
                <w:sz w:val="22"/>
                <w:szCs w:val="22"/>
              </w:rPr>
              <w:t>Behavioral health integration into Primary Care and the issues with coding</w:t>
            </w:r>
          </w:p>
        </w:tc>
        <w:tc>
          <w:tcPr>
            <w:tcW w:w="2942" w:type="dxa"/>
          </w:tcPr>
          <w:p w:rsidR="000153C7" w:rsidRPr="008E38A8" w:rsidRDefault="000153C7" w:rsidP="00925C0A">
            <w:pPr>
              <w:rPr>
                <w:rFonts w:asciiTheme="minorHAnsi" w:hAnsiTheme="minorHAnsi"/>
                <w:sz w:val="22"/>
                <w:szCs w:val="22"/>
              </w:rPr>
            </w:pPr>
          </w:p>
        </w:tc>
        <w:tc>
          <w:tcPr>
            <w:tcW w:w="2085" w:type="dxa"/>
          </w:tcPr>
          <w:p w:rsidR="000153C7" w:rsidRPr="008E38A8" w:rsidRDefault="000153C7" w:rsidP="00925C0A">
            <w:pPr>
              <w:rPr>
                <w:rFonts w:asciiTheme="minorHAnsi" w:hAnsiTheme="minorHAnsi"/>
                <w:b/>
                <w:sz w:val="22"/>
                <w:szCs w:val="22"/>
              </w:rPr>
            </w:pPr>
          </w:p>
        </w:tc>
        <w:tc>
          <w:tcPr>
            <w:tcW w:w="2323" w:type="dxa"/>
          </w:tcPr>
          <w:p w:rsidR="000153C7" w:rsidRPr="008E38A8" w:rsidRDefault="000153C7" w:rsidP="00925C0A">
            <w:pPr>
              <w:rPr>
                <w:rFonts w:asciiTheme="minorHAnsi" w:hAnsiTheme="minorHAnsi"/>
                <w:b/>
                <w:sz w:val="22"/>
                <w:szCs w:val="22"/>
              </w:rPr>
            </w:pPr>
          </w:p>
        </w:tc>
      </w:tr>
      <w:tr w:rsidR="000153C7" w:rsidRPr="008E38A8" w:rsidTr="00925C0A">
        <w:tc>
          <w:tcPr>
            <w:tcW w:w="1068" w:type="dxa"/>
          </w:tcPr>
          <w:p w:rsidR="000153C7" w:rsidRPr="008E38A8" w:rsidRDefault="000153C7" w:rsidP="00925C0A">
            <w:pPr>
              <w:rPr>
                <w:rFonts w:asciiTheme="minorHAnsi" w:hAnsiTheme="minorHAnsi"/>
                <w:sz w:val="22"/>
                <w:szCs w:val="22"/>
              </w:rPr>
            </w:pPr>
            <w:r w:rsidRPr="008E38A8">
              <w:rPr>
                <w:rFonts w:asciiTheme="minorHAnsi" w:hAnsiTheme="minorHAnsi"/>
                <w:sz w:val="22"/>
                <w:szCs w:val="22"/>
              </w:rPr>
              <w:t>8/6/14</w:t>
            </w:r>
          </w:p>
          <w:p w:rsidR="000153C7" w:rsidRPr="008E38A8" w:rsidRDefault="000153C7" w:rsidP="00925C0A">
            <w:pPr>
              <w:rPr>
                <w:rFonts w:asciiTheme="minorHAnsi" w:hAnsiTheme="minorHAnsi"/>
                <w:sz w:val="22"/>
                <w:szCs w:val="22"/>
              </w:rPr>
            </w:pPr>
          </w:p>
          <w:p w:rsidR="000153C7" w:rsidRPr="008E38A8" w:rsidRDefault="000153C7" w:rsidP="00925C0A">
            <w:pPr>
              <w:rPr>
                <w:rFonts w:asciiTheme="minorHAnsi" w:hAnsiTheme="minorHAnsi"/>
                <w:sz w:val="22"/>
                <w:szCs w:val="22"/>
              </w:rPr>
            </w:pPr>
          </w:p>
          <w:p w:rsidR="000153C7" w:rsidRPr="008E38A8" w:rsidRDefault="000153C7" w:rsidP="00925C0A">
            <w:pPr>
              <w:rPr>
                <w:rFonts w:asciiTheme="minorHAnsi" w:hAnsiTheme="minorHAnsi"/>
                <w:sz w:val="22"/>
                <w:szCs w:val="22"/>
              </w:rPr>
            </w:pPr>
          </w:p>
        </w:tc>
        <w:tc>
          <w:tcPr>
            <w:tcW w:w="4844" w:type="dxa"/>
          </w:tcPr>
          <w:p w:rsidR="000153C7" w:rsidRPr="008E38A8" w:rsidRDefault="000153C7" w:rsidP="00925C0A">
            <w:pPr>
              <w:rPr>
                <w:rFonts w:asciiTheme="minorHAnsi" w:hAnsiTheme="minorHAnsi"/>
                <w:sz w:val="22"/>
                <w:szCs w:val="22"/>
              </w:rPr>
            </w:pPr>
            <w:r w:rsidRPr="008E38A8">
              <w:rPr>
                <w:rFonts w:asciiTheme="minorHAnsi" w:hAnsiTheme="minorHAnsi" w:cstheme="minorHAnsi"/>
                <w:sz w:val="22"/>
                <w:szCs w:val="22"/>
              </w:rPr>
              <w:t>The Opportunity to involve SIM in the rewriting of the ACBS Waiver required by March 15</w:t>
            </w:r>
            <w:r w:rsidRPr="008E38A8">
              <w:rPr>
                <w:rFonts w:asciiTheme="minorHAnsi" w:hAnsiTheme="minorHAnsi" w:cstheme="minorHAnsi"/>
                <w:sz w:val="22"/>
                <w:szCs w:val="22"/>
                <w:vertAlign w:val="superscript"/>
              </w:rPr>
              <w:t>th</w:t>
            </w:r>
            <w:r w:rsidRPr="008E38A8">
              <w:rPr>
                <w:rFonts w:asciiTheme="minorHAnsi" w:hAnsiTheme="minorHAnsi" w:cstheme="minorHAnsi"/>
                <w:sz w:val="22"/>
                <w:szCs w:val="22"/>
              </w:rPr>
              <w:t>.</w:t>
            </w:r>
          </w:p>
        </w:tc>
        <w:tc>
          <w:tcPr>
            <w:tcW w:w="2942" w:type="dxa"/>
          </w:tcPr>
          <w:p w:rsidR="000153C7" w:rsidRPr="008E38A8" w:rsidRDefault="000153C7" w:rsidP="00925C0A">
            <w:pPr>
              <w:rPr>
                <w:rFonts w:asciiTheme="minorHAnsi" w:hAnsiTheme="minorHAnsi"/>
                <w:sz w:val="22"/>
                <w:szCs w:val="22"/>
              </w:rPr>
            </w:pPr>
          </w:p>
        </w:tc>
        <w:tc>
          <w:tcPr>
            <w:tcW w:w="2085" w:type="dxa"/>
          </w:tcPr>
          <w:p w:rsidR="000153C7" w:rsidRPr="008E38A8" w:rsidRDefault="000153C7" w:rsidP="00925C0A">
            <w:pPr>
              <w:rPr>
                <w:rFonts w:asciiTheme="minorHAnsi" w:hAnsiTheme="minorHAnsi"/>
                <w:b/>
                <w:sz w:val="22"/>
                <w:szCs w:val="22"/>
              </w:rPr>
            </w:pPr>
          </w:p>
        </w:tc>
        <w:tc>
          <w:tcPr>
            <w:tcW w:w="2323" w:type="dxa"/>
          </w:tcPr>
          <w:p w:rsidR="000153C7" w:rsidRPr="008E38A8" w:rsidRDefault="000153C7" w:rsidP="00925C0A">
            <w:pPr>
              <w:rPr>
                <w:rFonts w:asciiTheme="minorHAnsi" w:hAnsiTheme="minorHAnsi"/>
                <w:b/>
                <w:sz w:val="22"/>
                <w:szCs w:val="22"/>
              </w:rPr>
            </w:pPr>
          </w:p>
        </w:tc>
      </w:tr>
      <w:tr w:rsidR="00A80B89" w:rsidRPr="00382C14" w:rsidTr="00DE28EB">
        <w:tc>
          <w:tcPr>
            <w:tcW w:w="1068" w:type="dxa"/>
          </w:tcPr>
          <w:p w:rsidR="00A80B89" w:rsidRPr="008A58FD" w:rsidRDefault="00A80B89" w:rsidP="00DE28EB">
            <w:pPr>
              <w:rPr>
                <w:rFonts w:asciiTheme="minorHAnsi" w:hAnsiTheme="minorHAnsi"/>
                <w:sz w:val="22"/>
                <w:szCs w:val="22"/>
              </w:rPr>
            </w:pPr>
            <w:r w:rsidRPr="008A58FD">
              <w:rPr>
                <w:rFonts w:asciiTheme="minorHAnsi" w:hAnsiTheme="minorHAnsi"/>
                <w:sz w:val="22"/>
                <w:szCs w:val="22"/>
              </w:rPr>
              <w:t>6/4/14</w:t>
            </w:r>
          </w:p>
          <w:p w:rsidR="00A80B89" w:rsidRPr="008A58FD" w:rsidRDefault="00A80B89" w:rsidP="00DE28EB">
            <w:pPr>
              <w:rPr>
                <w:rFonts w:asciiTheme="minorHAnsi" w:hAnsiTheme="minorHAnsi"/>
                <w:sz w:val="22"/>
                <w:szCs w:val="22"/>
              </w:rPr>
            </w:pPr>
          </w:p>
          <w:p w:rsidR="00A80B89" w:rsidRPr="008A58FD" w:rsidRDefault="00A80B89" w:rsidP="00DE28EB">
            <w:pPr>
              <w:rPr>
                <w:rFonts w:asciiTheme="minorHAnsi" w:hAnsiTheme="minorHAnsi"/>
                <w:sz w:val="22"/>
                <w:szCs w:val="22"/>
              </w:rPr>
            </w:pPr>
          </w:p>
        </w:tc>
        <w:tc>
          <w:tcPr>
            <w:tcW w:w="4844" w:type="dxa"/>
          </w:tcPr>
          <w:p w:rsidR="00A80B89" w:rsidRPr="008A58FD" w:rsidRDefault="00A80B89" w:rsidP="00DE28EB">
            <w:pPr>
              <w:rPr>
                <w:rFonts w:asciiTheme="minorHAnsi" w:hAnsiTheme="minorHAnsi"/>
                <w:sz w:val="22"/>
                <w:szCs w:val="22"/>
              </w:rPr>
            </w:pPr>
            <w:r>
              <w:rPr>
                <w:rFonts w:asciiTheme="minorHAnsi" w:hAnsiTheme="minorHAnsi"/>
                <w:sz w:val="22"/>
                <w:szCs w:val="22"/>
              </w:rPr>
              <w:t xml:space="preserve">The rate structure for the BHHOs presents a risk that services required are not sustainable </w:t>
            </w:r>
          </w:p>
        </w:tc>
        <w:tc>
          <w:tcPr>
            <w:tcW w:w="2942" w:type="dxa"/>
          </w:tcPr>
          <w:p w:rsidR="00A80B89" w:rsidRPr="008A58FD" w:rsidRDefault="00A80B89" w:rsidP="00DE28EB">
            <w:pPr>
              <w:rPr>
                <w:rFonts w:asciiTheme="minorHAnsi" w:hAnsiTheme="minorHAnsi"/>
                <w:sz w:val="22"/>
                <w:szCs w:val="22"/>
              </w:rPr>
            </w:pPr>
            <w:r>
              <w:rPr>
                <w:rFonts w:asciiTheme="minorHAnsi" w:hAnsiTheme="minorHAnsi"/>
                <w:sz w:val="22"/>
                <w:szCs w:val="22"/>
              </w:rPr>
              <w:t xml:space="preserve">Explore with </w:t>
            </w:r>
            <w:proofErr w:type="spellStart"/>
            <w:r>
              <w:rPr>
                <w:rFonts w:asciiTheme="minorHAnsi" w:hAnsiTheme="minorHAnsi"/>
                <w:sz w:val="22"/>
                <w:szCs w:val="22"/>
              </w:rPr>
              <w:t>MaineCare</w:t>
            </w:r>
            <w:proofErr w:type="spellEnd"/>
            <w:r>
              <w:rPr>
                <w:rFonts w:asciiTheme="minorHAnsi" w:hAnsiTheme="minorHAnsi"/>
                <w:sz w:val="22"/>
                <w:szCs w:val="22"/>
              </w:rPr>
              <w:t xml:space="preserve"> and Payment Reform Subcommittee?</w:t>
            </w:r>
          </w:p>
        </w:tc>
        <w:tc>
          <w:tcPr>
            <w:tcW w:w="2085" w:type="dxa"/>
          </w:tcPr>
          <w:p w:rsidR="00A80B89" w:rsidRPr="008A58FD" w:rsidRDefault="00A80B89" w:rsidP="00DE28EB">
            <w:pPr>
              <w:rPr>
                <w:rFonts w:asciiTheme="minorHAnsi" w:hAnsiTheme="minorHAnsi"/>
                <w:b/>
                <w:sz w:val="22"/>
                <w:szCs w:val="22"/>
              </w:rPr>
            </w:pPr>
          </w:p>
        </w:tc>
        <w:tc>
          <w:tcPr>
            <w:tcW w:w="2323" w:type="dxa"/>
          </w:tcPr>
          <w:p w:rsidR="00A80B89" w:rsidRPr="008A58FD" w:rsidRDefault="00A80B89" w:rsidP="00DE28EB">
            <w:pPr>
              <w:rPr>
                <w:rFonts w:asciiTheme="minorHAnsi" w:hAnsiTheme="minorHAnsi"/>
                <w:b/>
                <w:sz w:val="22"/>
                <w:szCs w:val="22"/>
              </w:rPr>
            </w:pPr>
            <w:r>
              <w:rPr>
                <w:rFonts w:asciiTheme="minorHAnsi" w:hAnsiTheme="minorHAnsi"/>
                <w:b/>
                <w:sz w:val="22"/>
                <w:szCs w:val="22"/>
              </w:rPr>
              <w:t xml:space="preserve">Initiative Owners: </w:t>
            </w:r>
            <w:proofErr w:type="spellStart"/>
            <w:r>
              <w:rPr>
                <w:rFonts w:asciiTheme="minorHAnsi" w:hAnsiTheme="minorHAnsi"/>
                <w:b/>
                <w:sz w:val="22"/>
                <w:szCs w:val="22"/>
              </w:rPr>
              <w:t>MaineCare</w:t>
            </w:r>
            <w:proofErr w:type="spellEnd"/>
            <w:r>
              <w:rPr>
                <w:rFonts w:asciiTheme="minorHAnsi" w:hAnsiTheme="minorHAnsi"/>
                <w:b/>
                <w:sz w:val="22"/>
                <w:szCs w:val="22"/>
              </w:rPr>
              <w:t>; Anne Conners</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4/9/14</w:t>
            </w:r>
          </w:p>
        </w:tc>
        <w:tc>
          <w:tcPr>
            <w:tcW w:w="4844" w:type="dxa"/>
          </w:tcPr>
          <w:p w:rsidR="00E57983" w:rsidRPr="00382C14" w:rsidRDefault="00405094" w:rsidP="00E57983">
            <w:pPr>
              <w:rPr>
                <w:rFonts w:asciiTheme="minorHAnsi" w:hAnsiTheme="minorHAnsi"/>
                <w:sz w:val="22"/>
                <w:szCs w:val="22"/>
              </w:rPr>
            </w:pPr>
            <w:r>
              <w:rPr>
                <w:rFonts w:asciiTheme="minorHAnsi" w:hAnsiTheme="minorHAnsi"/>
                <w:sz w:val="22"/>
                <w:szCs w:val="22"/>
              </w:rPr>
              <w:t xml:space="preserve">There are problems with </w:t>
            </w:r>
            <w:proofErr w:type="spellStart"/>
            <w:r>
              <w:rPr>
                <w:rFonts w:asciiTheme="minorHAnsi" w:hAnsiTheme="minorHAnsi"/>
                <w:sz w:val="22"/>
                <w:szCs w:val="22"/>
              </w:rPr>
              <w:t>MaineCare</w:t>
            </w:r>
            <w:proofErr w:type="spellEnd"/>
            <w:r>
              <w:rPr>
                <w:rFonts w:asciiTheme="minorHAnsi" w:hAnsiTheme="minorHAnsi"/>
                <w:sz w:val="22"/>
                <w:szCs w:val="22"/>
              </w:rPr>
              <w:t xml:space="preserve"> reimbursing for behavioral health integration services which could limit the ability of Health Home and BHHO’s </w:t>
            </w:r>
            <w:r>
              <w:rPr>
                <w:rFonts w:asciiTheme="minorHAnsi" w:hAnsiTheme="minorHAnsi"/>
                <w:sz w:val="22"/>
                <w:szCs w:val="22"/>
              </w:rPr>
              <w:lastRenderedPageBreak/>
              <w:t>to accomplish integration.</w:t>
            </w:r>
          </w:p>
        </w:tc>
        <w:tc>
          <w:tcPr>
            <w:tcW w:w="2942" w:type="dxa"/>
          </w:tcPr>
          <w:p w:rsidR="00E57983" w:rsidRPr="00382C14" w:rsidRDefault="00E57983" w:rsidP="00DC2ABE">
            <w:pPr>
              <w:rPr>
                <w:rFonts w:asciiTheme="minorHAnsi" w:hAnsiTheme="minorHAnsi"/>
                <w:sz w:val="22"/>
                <w:szCs w:val="22"/>
              </w:rPr>
            </w:pP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p>
        </w:tc>
      </w:tr>
      <w:tr w:rsidR="001B589D" w:rsidRPr="00382C14" w:rsidTr="00A25DD8">
        <w:tc>
          <w:tcPr>
            <w:tcW w:w="1068" w:type="dxa"/>
          </w:tcPr>
          <w:p w:rsidR="001B589D" w:rsidRPr="00382C14" w:rsidRDefault="001B589D" w:rsidP="00DC2ABE">
            <w:pPr>
              <w:rPr>
                <w:rFonts w:asciiTheme="minorHAnsi" w:hAnsiTheme="minorHAnsi"/>
                <w:sz w:val="22"/>
                <w:szCs w:val="22"/>
              </w:rPr>
            </w:pPr>
            <w:r w:rsidRPr="00382C14">
              <w:rPr>
                <w:rFonts w:asciiTheme="minorHAnsi" w:hAnsiTheme="minorHAnsi"/>
                <w:sz w:val="22"/>
                <w:szCs w:val="22"/>
              </w:rPr>
              <w:lastRenderedPageBreak/>
              <w:t>3/5/14</w:t>
            </w:r>
          </w:p>
        </w:tc>
        <w:tc>
          <w:tcPr>
            <w:tcW w:w="4844" w:type="dxa"/>
          </w:tcPr>
          <w:p w:rsidR="001B589D" w:rsidRPr="00382C14" w:rsidRDefault="00E57983" w:rsidP="00E57983">
            <w:pPr>
              <w:rPr>
                <w:rFonts w:asciiTheme="minorHAnsi" w:hAnsiTheme="minorHAnsi"/>
                <w:sz w:val="22"/>
                <w:szCs w:val="22"/>
              </w:rPr>
            </w:pPr>
            <w:r w:rsidRPr="00382C14">
              <w:rPr>
                <w:rFonts w:asciiTheme="minorHAnsi" w:hAnsiTheme="minorHAnsi"/>
                <w:sz w:val="22"/>
                <w:szCs w:val="22"/>
              </w:rPr>
              <w:t>Consumer engagement across SIM Initiatives and Governance structure may not be sufficient to ensure that consumer recommendations are incorporated into critical aspects of the work.</w:t>
            </w:r>
          </w:p>
        </w:tc>
        <w:tc>
          <w:tcPr>
            <w:tcW w:w="2942" w:type="dxa"/>
          </w:tcPr>
          <w:p w:rsidR="001B589D" w:rsidRPr="00382C14" w:rsidRDefault="001B589D" w:rsidP="00DC2ABE">
            <w:pPr>
              <w:rPr>
                <w:rFonts w:asciiTheme="minorHAnsi" w:hAnsiTheme="minorHAnsi"/>
                <w:sz w:val="22"/>
                <w:szCs w:val="22"/>
              </w:rPr>
            </w:pPr>
          </w:p>
        </w:tc>
        <w:tc>
          <w:tcPr>
            <w:tcW w:w="2085" w:type="dxa"/>
          </w:tcPr>
          <w:p w:rsidR="001B589D" w:rsidRPr="00382C14" w:rsidRDefault="001B589D" w:rsidP="00DC2ABE">
            <w:pPr>
              <w:rPr>
                <w:rFonts w:asciiTheme="minorHAnsi" w:hAnsiTheme="minorHAnsi"/>
                <w:b/>
                <w:sz w:val="22"/>
                <w:szCs w:val="22"/>
              </w:rPr>
            </w:pPr>
          </w:p>
        </w:tc>
        <w:tc>
          <w:tcPr>
            <w:tcW w:w="2323" w:type="dxa"/>
          </w:tcPr>
          <w:p w:rsidR="001B589D" w:rsidRPr="00382C14" w:rsidRDefault="001B589D" w:rsidP="00DC2ABE">
            <w:pPr>
              <w:rPr>
                <w:rFonts w:asciiTheme="minorHAnsi" w:hAnsiTheme="minorHAnsi"/>
                <w:b/>
                <w:sz w:val="22"/>
                <w:szCs w:val="22"/>
              </w:rPr>
            </w:pP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3/5/14</w:t>
            </w:r>
          </w:p>
        </w:tc>
        <w:tc>
          <w:tcPr>
            <w:tcW w:w="4844" w:type="dxa"/>
          </w:tcPr>
          <w:p w:rsidR="00E57983" w:rsidRPr="00382C14" w:rsidRDefault="00E57983" w:rsidP="00E57983">
            <w:pPr>
              <w:rPr>
                <w:rFonts w:asciiTheme="minorHAnsi" w:hAnsiTheme="minorHAnsi"/>
                <w:sz w:val="22"/>
                <w:szCs w:val="22"/>
              </w:rPr>
            </w:pPr>
            <w:r w:rsidRPr="00382C14">
              <w:rPr>
                <w:rFonts w:asciiTheme="minorHAnsi" w:hAnsiTheme="minorHAnsi"/>
                <w:sz w:val="22"/>
                <w:szCs w:val="22"/>
              </w:rPr>
              <w:t>Consumer/member involvement in communications and design of initiatives</w:t>
            </w:r>
          </w:p>
        </w:tc>
        <w:tc>
          <w:tcPr>
            <w:tcW w:w="2942" w:type="dxa"/>
          </w:tcPr>
          <w:p w:rsidR="00E57983" w:rsidRPr="00382C14" w:rsidRDefault="00E57983" w:rsidP="00DC2ABE">
            <w:pPr>
              <w:rPr>
                <w:rFonts w:asciiTheme="minorHAnsi" w:hAnsiTheme="minorHAnsi"/>
                <w:sz w:val="22"/>
                <w:szCs w:val="22"/>
              </w:rPr>
            </w:pP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61044D">
            <w:pPr>
              <w:rPr>
                <w:rFonts w:asciiTheme="minorHAnsi" w:hAnsiTheme="minorHAnsi"/>
                <w:b/>
                <w:sz w:val="22"/>
                <w:szCs w:val="22"/>
              </w:rPr>
            </w:pPr>
            <w:proofErr w:type="spellStart"/>
            <w:r w:rsidRPr="00382C14">
              <w:rPr>
                <w:rFonts w:asciiTheme="minorHAnsi" w:hAnsiTheme="minorHAnsi"/>
                <w:b/>
                <w:sz w:val="22"/>
                <w:szCs w:val="22"/>
              </w:rPr>
              <w:t>MaineCare</w:t>
            </w:r>
            <w:proofErr w:type="spellEnd"/>
            <w:r w:rsidRPr="00382C14">
              <w:rPr>
                <w:rFonts w:asciiTheme="minorHAnsi" w:hAnsiTheme="minorHAnsi"/>
                <w:b/>
                <w:sz w:val="22"/>
                <w:szCs w:val="22"/>
              </w:rPr>
              <w:t>; SIM?</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3/5/14</w:t>
            </w:r>
          </w:p>
        </w:tc>
        <w:tc>
          <w:tcPr>
            <w:tcW w:w="4844" w:type="dxa"/>
          </w:tcPr>
          <w:p w:rsidR="00E57983" w:rsidRPr="00382C14" w:rsidRDefault="00E57983" w:rsidP="00E57983">
            <w:pPr>
              <w:rPr>
                <w:rFonts w:asciiTheme="minorHAnsi" w:hAnsiTheme="minorHAnsi"/>
                <w:sz w:val="22"/>
                <w:szCs w:val="22"/>
              </w:rPr>
            </w:pPr>
            <w:r w:rsidRPr="00382C14">
              <w:rPr>
                <w:rFonts w:asciiTheme="minorHAnsi" w:hAnsiTheme="minorHAnsi"/>
                <w:sz w:val="22"/>
                <w:szCs w:val="22"/>
              </w:rPr>
              <w:t>Patients may feel they are losing something in the Choosing Wisely work</w:t>
            </w:r>
          </w:p>
        </w:tc>
        <w:tc>
          <w:tcPr>
            <w:tcW w:w="2942" w:type="dxa"/>
          </w:tcPr>
          <w:p w:rsidR="00E57983" w:rsidRPr="00382C14" w:rsidRDefault="00E57983" w:rsidP="00DC2ABE">
            <w:pPr>
              <w:rPr>
                <w:rFonts w:asciiTheme="minorHAnsi" w:hAnsiTheme="minorHAnsi"/>
                <w:sz w:val="22"/>
                <w:szCs w:val="22"/>
              </w:rPr>
            </w:pP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P3 Pilots</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2/5/14</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National Diabetes Prevention Program fidelity standards may not be appropriate for populations of complex patients</w:t>
            </w:r>
          </w:p>
          <w:p w:rsidR="00E57983" w:rsidRPr="00382C14" w:rsidRDefault="00E57983" w:rsidP="00DC2ABE">
            <w:pPr>
              <w:rPr>
                <w:rFonts w:asciiTheme="minorHAnsi" w:hAnsiTheme="minorHAnsi"/>
                <w:sz w:val="22"/>
                <w:szCs w:val="22"/>
              </w:rPr>
            </w:pPr>
          </w:p>
        </w:tc>
        <w:tc>
          <w:tcPr>
            <w:tcW w:w="2942" w:type="dxa"/>
          </w:tcPr>
          <w:p w:rsidR="00E57983" w:rsidRPr="00382C14" w:rsidRDefault="00E57983" w:rsidP="00DC2ABE">
            <w:pPr>
              <w:rPr>
                <w:rFonts w:asciiTheme="minorHAnsi" w:hAnsiTheme="minorHAnsi"/>
                <w:sz w:val="22"/>
                <w:szCs w:val="22"/>
              </w:rPr>
            </w:pP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Initiative owner: MCDC</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2/5/14</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Coordination between provider and employer organizations for National Diabetes Prevention Program – the communications must be fluid in order to successfully implement for sustainability</w:t>
            </w:r>
          </w:p>
          <w:p w:rsidR="00E57983" w:rsidRPr="00382C14" w:rsidRDefault="00E57983" w:rsidP="00DC2ABE">
            <w:pPr>
              <w:rPr>
                <w:rFonts w:asciiTheme="minorHAnsi" w:hAnsiTheme="minorHAnsi"/>
                <w:sz w:val="22"/>
                <w:szCs w:val="22"/>
              </w:rPr>
            </w:pPr>
          </w:p>
        </w:tc>
        <w:tc>
          <w:tcPr>
            <w:tcW w:w="2942" w:type="dxa"/>
          </w:tcPr>
          <w:p w:rsidR="00E57983" w:rsidRPr="00382C14" w:rsidRDefault="00E57983" w:rsidP="00DC2ABE">
            <w:pPr>
              <w:rPr>
                <w:rFonts w:asciiTheme="minorHAnsi" w:hAnsiTheme="minorHAnsi"/>
                <w:sz w:val="22"/>
                <w:szCs w:val="22"/>
              </w:rPr>
            </w:pP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Initiative owner: MCDC</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2/5/14</w:t>
            </w:r>
          </w:p>
        </w:tc>
        <w:tc>
          <w:tcPr>
            <w:tcW w:w="4844" w:type="dxa"/>
          </w:tcPr>
          <w:p w:rsidR="00E57983" w:rsidRPr="00382C14" w:rsidRDefault="00E57983" w:rsidP="00A25DD8">
            <w:pPr>
              <w:rPr>
                <w:rFonts w:asciiTheme="minorHAnsi" w:hAnsiTheme="minorHAnsi"/>
                <w:sz w:val="22"/>
                <w:szCs w:val="22"/>
              </w:rPr>
            </w:pPr>
            <w:r w:rsidRPr="00382C14">
              <w:rPr>
                <w:rFonts w:asciiTheme="minorHAnsi" w:hAnsiTheme="minorHAnsi"/>
                <w:sz w:val="22"/>
                <w:szCs w:val="22"/>
              </w:rPr>
              <w:t>Change capacity for provider community may be maxed out – change fatigue – providers may not be able to adopt changes put forth under SIM</w:t>
            </w:r>
          </w:p>
          <w:p w:rsidR="00E57983" w:rsidRPr="00382C14" w:rsidRDefault="00E57983" w:rsidP="00A25DD8">
            <w:pPr>
              <w:rPr>
                <w:rFonts w:asciiTheme="minorHAnsi" w:hAnsiTheme="minorHAnsi"/>
                <w:sz w:val="22"/>
                <w:szCs w:val="22"/>
              </w:rPr>
            </w:pPr>
          </w:p>
        </w:tc>
        <w:tc>
          <w:tcPr>
            <w:tcW w:w="2942" w:type="dxa"/>
          </w:tcPr>
          <w:p w:rsidR="00E57983" w:rsidRPr="00382C14" w:rsidRDefault="00E57983" w:rsidP="00DC2ABE">
            <w:pPr>
              <w:rPr>
                <w:rFonts w:asciiTheme="minorHAnsi" w:hAnsiTheme="minorHAnsi"/>
                <w:sz w:val="22"/>
                <w:szCs w:val="22"/>
              </w:rPr>
            </w:pP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SIM DSR and Leadership team</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2/5/14</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Relationship between all the players in the SIM initiatives, CHW, Peer Support, Care Coordinators, etc., may lead to fragmented care and complications for patients</w:t>
            </w:r>
          </w:p>
          <w:p w:rsidR="00E57983" w:rsidRPr="00382C14" w:rsidRDefault="00E57983" w:rsidP="00DC2ABE">
            <w:pPr>
              <w:rPr>
                <w:rFonts w:asciiTheme="minorHAnsi" w:hAnsiTheme="minorHAnsi"/>
                <w:sz w:val="22"/>
                <w:szCs w:val="22"/>
              </w:rPr>
            </w:pPr>
          </w:p>
        </w:tc>
        <w:tc>
          <w:tcPr>
            <w:tcW w:w="2942" w:type="dxa"/>
          </w:tcPr>
          <w:p w:rsidR="00E57983" w:rsidRPr="00382C14" w:rsidRDefault="00E57983" w:rsidP="00DC2ABE">
            <w:pPr>
              <w:rPr>
                <w:rFonts w:asciiTheme="minorHAnsi" w:hAnsiTheme="minorHAnsi"/>
                <w:sz w:val="22"/>
                <w:szCs w:val="22"/>
              </w:rPr>
            </w:pP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SIM DSR – March meeting will explore</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25 new HH primary care practices applied under Stage B opening – there are no identified mechanisms or decisions on how to support these practices through the learning collaborative</w:t>
            </w:r>
          </w:p>
        </w:tc>
        <w:tc>
          <w:tcPr>
            <w:tcW w:w="2942" w:type="dxa"/>
          </w:tcPr>
          <w:p w:rsidR="00E57983" w:rsidRPr="00382C14" w:rsidRDefault="00E57983" w:rsidP="00DC2ABE">
            <w:pPr>
              <w:rPr>
                <w:rFonts w:asciiTheme="minorHAnsi" w:hAnsiTheme="minorHAnsi"/>
                <w:sz w:val="22"/>
                <w:szCs w:val="22"/>
              </w:rPr>
            </w:pP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Steering Committee</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Data gathering for HH and BHHO measures is not determined</w:t>
            </w:r>
          </w:p>
        </w:tc>
        <w:tc>
          <w:tcPr>
            <w:tcW w:w="2942"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Need to determine CMS timeline for specifications as first step</w:t>
            </w: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SIM Program</w:t>
            </w:r>
          </w:p>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Team/</w:t>
            </w:r>
            <w:proofErr w:type="spellStart"/>
            <w:r w:rsidRPr="00382C14">
              <w:rPr>
                <w:rFonts w:asciiTheme="minorHAnsi" w:hAnsiTheme="minorHAnsi"/>
                <w:b/>
                <w:sz w:val="22"/>
                <w:szCs w:val="22"/>
              </w:rPr>
              <w:t>MaineCare</w:t>
            </w:r>
            <w:proofErr w:type="spellEnd"/>
            <w:r w:rsidRPr="00382C14">
              <w:rPr>
                <w:rFonts w:asciiTheme="minorHAnsi" w:hAnsiTheme="minorHAnsi"/>
                <w:b/>
                <w:sz w:val="22"/>
                <w:szCs w:val="22"/>
              </w:rPr>
              <w:t>/CMS</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 xml:space="preserve">Unclear on the regional capacity to support the </w:t>
            </w:r>
            <w:r w:rsidRPr="00382C14">
              <w:rPr>
                <w:rFonts w:asciiTheme="minorHAnsi" w:hAnsiTheme="minorHAnsi"/>
                <w:sz w:val="22"/>
                <w:szCs w:val="22"/>
              </w:rPr>
              <w:lastRenderedPageBreak/>
              <w:t xml:space="preserve">BHHO structure </w:t>
            </w:r>
          </w:p>
        </w:tc>
        <w:tc>
          <w:tcPr>
            <w:tcW w:w="2942"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lastRenderedPageBreak/>
              <w:t xml:space="preserve">Look at regional capacity </w:t>
            </w:r>
            <w:r w:rsidRPr="00382C14">
              <w:rPr>
                <w:rFonts w:asciiTheme="minorHAnsi" w:hAnsiTheme="minorHAnsi"/>
                <w:sz w:val="22"/>
                <w:szCs w:val="22"/>
              </w:rPr>
              <w:lastRenderedPageBreak/>
              <w:t>through applicants for Stage B;</w:t>
            </w: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proofErr w:type="spellStart"/>
            <w:r w:rsidRPr="00382C14">
              <w:rPr>
                <w:rFonts w:asciiTheme="minorHAnsi" w:hAnsiTheme="minorHAnsi"/>
                <w:b/>
                <w:sz w:val="22"/>
                <w:szCs w:val="22"/>
              </w:rPr>
              <w:t>MaineCare</w:t>
            </w:r>
            <w:proofErr w:type="spellEnd"/>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lastRenderedPageBreak/>
              <w:t>1/8/14</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Barriers to passing certain behavioral health information (e.g., substance abuse) may constrain integrated care</w:t>
            </w:r>
          </w:p>
        </w:tc>
        <w:tc>
          <w:tcPr>
            <w:tcW w:w="2942"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Explore State Waivers; work with Region 1 SAMSHA; Launch consumer engagement efforts to encourage patients to endorse sharing of information for care</w:t>
            </w: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proofErr w:type="spellStart"/>
            <w:r w:rsidRPr="00382C14">
              <w:rPr>
                <w:rFonts w:asciiTheme="minorHAnsi" w:hAnsiTheme="minorHAnsi"/>
                <w:b/>
                <w:sz w:val="22"/>
                <w:szCs w:val="22"/>
              </w:rPr>
              <w:t>MaineCare</w:t>
            </w:r>
            <w:proofErr w:type="spellEnd"/>
            <w:r w:rsidRPr="00382C14">
              <w:rPr>
                <w:rFonts w:asciiTheme="minorHAnsi" w:hAnsiTheme="minorHAnsi"/>
                <w:b/>
                <w:sz w:val="22"/>
                <w:szCs w:val="22"/>
              </w:rPr>
              <w:t>; SIM Leadership Team; BHHO Learning Collaborative; Data Infrastructure Subcommittee</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Patients served by BHHO may not all be in HH primary care practices; Muskie analysis shows about 7000 patients in gag</w:t>
            </w:r>
          </w:p>
        </w:tc>
        <w:tc>
          <w:tcPr>
            <w:tcW w:w="2942"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Work with large providers to apply for HH; Educate members on options</w:t>
            </w: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proofErr w:type="spellStart"/>
            <w:r w:rsidRPr="00382C14">
              <w:rPr>
                <w:rFonts w:asciiTheme="minorHAnsi" w:hAnsiTheme="minorHAnsi"/>
                <w:b/>
                <w:sz w:val="22"/>
                <w:szCs w:val="22"/>
              </w:rPr>
              <w:t>MaineCare</w:t>
            </w:r>
            <w:proofErr w:type="spellEnd"/>
            <w:r w:rsidRPr="00382C14">
              <w:rPr>
                <w:rFonts w:asciiTheme="minorHAnsi" w:hAnsiTheme="minorHAnsi"/>
                <w:b/>
                <w:sz w:val="22"/>
                <w:szCs w:val="22"/>
              </w:rPr>
              <w:t>; SIM Leadership Team</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People living with substance use disorders fall through the cracks between Stage A and Stage B</w:t>
            </w:r>
          </w:p>
          <w:p w:rsidR="00E57983" w:rsidRPr="00382C14" w:rsidRDefault="00E57983" w:rsidP="00DC2ABE">
            <w:pPr>
              <w:rPr>
                <w:rFonts w:asciiTheme="minorHAnsi" w:hAnsiTheme="minorHAnsi"/>
                <w:sz w:val="22"/>
                <w:szCs w:val="22"/>
              </w:rPr>
            </w:pPr>
            <w:r w:rsidRPr="00382C14">
              <w:rPr>
                <w:rFonts w:asciiTheme="minorHAnsi" w:hAnsiTheme="minorHAnsi"/>
                <w:sz w:val="22"/>
                <w:szCs w:val="22"/>
              </w:rPr>
              <w:t>Revised: SIM Stage A includes Substance Abuse as an eligible condition – however continuum of care, payment options; and other issues challenge the ability of this population to receive quality, continuous care across the delivery system</w:t>
            </w:r>
          </w:p>
        </w:tc>
        <w:tc>
          <w:tcPr>
            <w:tcW w:w="2942"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Identify how the HH Learning Collaborative can advance solutions for primary care; identify and assign mitigation to other stakeholders</w:t>
            </w: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HH Learning Collaborative</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Care coordination across SIM Initiatives may become confusing and duplicative; particularly considering specific populations (e.g., people living with intellectual disabilities</w:t>
            </w:r>
          </w:p>
        </w:tc>
        <w:tc>
          <w:tcPr>
            <w:tcW w:w="2942"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Bring into March DSR Subcommittee for recommendations</w:t>
            </w: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Sustainability of BHHO model and payment structure requires broad stakeholder commitment</w:t>
            </w:r>
          </w:p>
        </w:tc>
        <w:tc>
          <w:tcPr>
            <w:tcW w:w="2942" w:type="dxa"/>
          </w:tcPr>
          <w:p w:rsidR="00E57983" w:rsidRPr="00382C14" w:rsidRDefault="00E57983" w:rsidP="00DC2ABE">
            <w:pPr>
              <w:rPr>
                <w:rFonts w:asciiTheme="minorHAnsi" w:hAnsiTheme="minorHAnsi"/>
                <w:sz w:val="22"/>
                <w:szCs w:val="22"/>
              </w:rPr>
            </w:pP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proofErr w:type="spellStart"/>
            <w:r w:rsidRPr="00382C14">
              <w:rPr>
                <w:rFonts w:asciiTheme="minorHAnsi" w:hAnsiTheme="minorHAnsi"/>
                <w:b/>
                <w:sz w:val="22"/>
                <w:szCs w:val="22"/>
              </w:rPr>
              <w:t>MaineCare</w:t>
            </w:r>
            <w:proofErr w:type="spellEnd"/>
            <w:r w:rsidRPr="00382C14">
              <w:rPr>
                <w:rFonts w:asciiTheme="minorHAnsi" w:hAnsiTheme="minorHAnsi"/>
                <w:b/>
                <w:sz w:val="22"/>
                <w:szCs w:val="22"/>
              </w:rPr>
              <w:t>; BHHO Learning Collaborative</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Consumers may not be appropriately educated/prepared for participation in HH/BHHO structures</w:t>
            </w:r>
          </w:p>
        </w:tc>
        <w:tc>
          <w:tcPr>
            <w:tcW w:w="2942"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 xml:space="preserve">Launch consumer engagement campaigns focused on </w:t>
            </w:r>
            <w:proofErr w:type="spellStart"/>
            <w:r w:rsidRPr="00382C14">
              <w:rPr>
                <w:rFonts w:asciiTheme="minorHAnsi" w:hAnsiTheme="minorHAnsi"/>
                <w:sz w:val="22"/>
                <w:szCs w:val="22"/>
              </w:rPr>
              <w:t>MaineCare</w:t>
            </w:r>
            <w:proofErr w:type="spellEnd"/>
            <w:r w:rsidRPr="00382C14">
              <w:rPr>
                <w:rFonts w:asciiTheme="minorHAnsi" w:hAnsiTheme="minorHAnsi"/>
                <w:sz w:val="22"/>
                <w:szCs w:val="22"/>
              </w:rPr>
              <w:t xml:space="preserve"> patients</w:t>
            </w: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proofErr w:type="spellStart"/>
            <w:r w:rsidRPr="00382C14">
              <w:rPr>
                <w:rFonts w:asciiTheme="minorHAnsi" w:hAnsiTheme="minorHAnsi"/>
                <w:b/>
                <w:sz w:val="22"/>
                <w:szCs w:val="22"/>
              </w:rPr>
              <w:t>MaineCare</w:t>
            </w:r>
            <w:proofErr w:type="spellEnd"/>
            <w:r w:rsidRPr="00382C14">
              <w:rPr>
                <w:rFonts w:asciiTheme="minorHAnsi" w:hAnsiTheme="minorHAnsi"/>
                <w:b/>
                <w:sz w:val="22"/>
                <w:szCs w:val="22"/>
              </w:rPr>
              <w:t>; Delivery System Reform Subcommittee; SIM Leadership Team</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 xml:space="preserve">Learning </w:t>
            </w:r>
            <w:proofErr w:type="spellStart"/>
            <w:r w:rsidRPr="00382C14">
              <w:rPr>
                <w:rFonts w:asciiTheme="minorHAnsi" w:hAnsiTheme="minorHAnsi"/>
                <w:sz w:val="22"/>
                <w:szCs w:val="22"/>
              </w:rPr>
              <w:t>Collaboratives</w:t>
            </w:r>
            <w:proofErr w:type="spellEnd"/>
            <w:r w:rsidRPr="00382C14">
              <w:rPr>
                <w:rFonts w:asciiTheme="minorHAnsi" w:hAnsiTheme="minorHAnsi"/>
                <w:sz w:val="22"/>
                <w:szCs w:val="22"/>
              </w:rPr>
              <w:t xml:space="preserve"> for HH and BHHO may require technical innovations to support remote participation</w:t>
            </w:r>
          </w:p>
        </w:tc>
        <w:tc>
          <w:tcPr>
            <w:tcW w:w="2942"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 xml:space="preserve">Review technical capacity for facilitating learning </w:t>
            </w:r>
            <w:proofErr w:type="spellStart"/>
            <w:r w:rsidRPr="00382C14">
              <w:rPr>
                <w:rFonts w:asciiTheme="minorHAnsi" w:hAnsiTheme="minorHAnsi"/>
                <w:sz w:val="22"/>
                <w:szCs w:val="22"/>
              </w:rPr>
              <w:t>collaboratives</w:t>
            </w:r>
            <w:proofErr w:type="spellEnd"/>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Quality Counts</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12/4/13</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 xml:space="preserve">Continuation of enhanced primary care payment to support the PCMH/HH/CCT model is critical to sustaining the transformation in the delivery </w:t>
            </w:r>
            <w:r w:rsidRPr="00382C14">
              <w:rPr>
                <w:rFonts w:asciiTheme="minorHAnsi" w:hAnsiTheme="minorHAnsi"/>
                <w:sz w:val="22"/>
                <w:szCs w:val="22"/>
              </w:rPr>
              <w:lastRenderedPageBreak/>
              <w:t>system</w:t>
            </w:r>
          </w:p>
        </w:tc>
        <w:tc>
          <w:tcPr>
            <w:tcW w:w="2942"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lastRenderedPageBreak/>
              <w:t>1) State support for continuation of enhanced payment model</w:t>
            </w: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Recommended: Steering Committee</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lastRenderedPageBreak/>
              <w:t>12/4/13</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Understanding the difference between the Community Care Team, Community Health Worker, Care Manager and Case Manager models is critical to ensure effective funding, implementation and sustainability of these models in the delivery system</w:t>
            </w:r>
          </w:p>
        </w:tc>
        <w:tc>
          <w:tcPr>
            <w:tcW w:w="2942"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 Ensure collaborative work with the initiatives to clarify the different in the models and how they can be used in conjunction; possibly encourage a CHW pilot in conjunction with a Community Care Team in order to test the interaction</w:t>
            </w: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HH Learning Collaborative; Behavioral Health Home Learning Collaborative; Community Health Worker Initiative</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12/4/13</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Tracking of short and long term results from the enhanced primary care models is critical to ensure that stakeholders are aware of the value being derived from the models to the Delivery System, Employers, Payers and Government</w:t>
            </w:r>
          </w:p>
        </w:tc>
        <w:tc>
          <w:tcPr>
            <w:tcW w:w="2942"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 Work with existing evaluation teams from the PCMH Pilot and HH Model, as well as SIM evaluation to ensure that short term benefits and results are tracked in a timely way and communicated to stakeholders</w:t>
            </w: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HH Learning Collaborative; Muskie; SIM Evaluation Team</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12/4/13</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Gap in connection of primary care (including PCMH and HH practices) to the Health Information Exchange and the associated functions (e.g. notification and alerting) will limit capability of primary care to attain efficiencies in accordance with the SIM mission/vision and DSR Subcommittee Charge.</w:t>
            </w:r>
          </w:p>
        </w:tc>
        <w:tc>
          <w:tcPr>
            <w:tcW w:w="2942" w:type="dxa"/>
          </w:tcPr>
          <w:p w:rsidR="00E57983" w:rsidRPr="00382C14" w:rsidRDefault="00E57983" w:rsidP="00DC2ABE">
            <w:pPr>
              <w:rPr>
                <w:rFonts w:asciiTheme="minorHAnsi" w:hAnsiTheme="minorHAnsi"/>
                <w:sz w:val="22"/>
                <w:szCs w:val="22"/>
              </w:rPr>
            </w:pPr>
          </w:p>
        </w:tc>
        <w:tc>
          <w:tcPr>
            <w:tcW w:w="2085" w:type="dxa"/>
          </w:tcPr>
          <w:p w:rsidR="00E57983" w:rsidRPr="00382C14" w:rsidRDefault="00E57983" w:rsidP="00DC2ABE">
            <w:pPr>
              <w:rPr>
                <w:rFonts w:asciiTheme="minorHAnsi" w:hAnsiTheme="minorHAnsi"/>
                <w:b/>
                <w:sz w:val="22"/>
                <w:szCs w:val="22"/>
              </w:rPr>
            </w:pPr>
          </w:p>
        </w:tc>
        <w:tc>
          <w:tcPr>
            <w:tcW w:w="2323"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Data Infrastructure Subcommittee</w:t>
            </w:r>
          </w:p>
          <w:p w:rsidR="00E57983" w:rsidRPr="00382C14" w:rsidRDefault="00E57983" w:rsidP="00DC2ABE">
            <w:pPr>
              <w:rPr>
                <w:rFonts w:asciiTheme="minorHAnsi" w:hAnsiTheme="minorHAnsi"/>
                <w:b/>
                <w:sz w:val="22"/>
                <w:szCs w:val="22"/>
              </w:rPr>
            </w:pPr>
          </w:p>
          <w:p w:rsidR="00E57983" w:rsidRPr="00382C14" w:rsidRDefault="00E57983" w:rsidP="00DC2ABE">
            <w:pPr>
              <w:rPr>
                <w:rFonts w:asciiTheme="minorHAnsi" w:hAnsiTheme="minorHAnsi"/>
                <w:b/>
                <w:sz w:val="22"/>
                <w:szCs w:val="22"/>
              </w:rPr>
            </w:pP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11/6/13</w:t>
            </w:r>
          </w:p>
        </w:tc>
        <w:tc>
          <w:tcPr>
            <w:tcW w:w="4844" w:type="dxa"/>
          </w:tcPr>
          <w:p w:rsidR="00E57983" w:rsidRPr="00382C14" w:rsidRDefault="00E57983" w:rsidP="00DC2ABE">
            <w:pPr>
              <w:rPr>
                <w:rFonts w:asciiTheme="minorHAnsi" w:hAnsiTheme="minorHAnsi"/>
                <w:b/>
                <w:sz w:val="22"/>
                <w:szCs w:val="22"/>
              </w:rPr>
            </w:pPr>
            <w:r w:rsidRPr="00382C14">
              <w:rPr>
                <w:rFonts w:asciiTheme="minorHAnsi" w:hAnsiTheme="minorHAnsi"/>
                <w:sz w:val="22"/>
                <w:szCs w:val="22"/>
              </w:rPr>
              <w:t xml:space="preserve">Confusion in language of the Charge:  </w:t>
            </w:r>
            <w:proofErr w:type="gramStart"/>
            <w:r w:rsidRPr="00382C14">
              <w:rPr>
                <w:rFonts w:asciiTheme="minorHAnsi" w:hAnsiTheme="minorHAnsi"/>
                <w:sz w:val="22"/>
                <w:szCs w:val="22"/>
              </w:rPr>
              <w:t>that Subcommittee members</w:t>
            </w:r>
            <w:proofErr w:type="gramEnd"/>
            <w:r w:rsidRPr="00382C14">
              <w:rPr>
                <w:rFonts w:asciiTheme="minorHAnsi" w:hAnsiTheme="minorHAnsi"/>
                <w:sz w:val="22"/>
                <w:szCs w:val="22"/>
              </w:rPr>
              <w:t xml:space="preserve"> may not have sufficient authority to influence the SIM Initiatives, in part because of their advisory role, and in part because of the reality that some of the Initiatives are already in the Implementation stage.  Given the substantial expertise and skill among our collective members and the intensity of time required to participate in SIM, addressing this concern is critical </w:t>
            </w:r>
            <w:r w:rsidRPr="00382C14">
              <w:rPr>
                <w:rFonts w:asciiTheme="minorHAnsi" w:hAnsiTheme="minorHAnsi"/>
                <w:sz w:val="22"/>
                <w:szCs w:val="22"/>
              </w:rPr>
              <w:lastRenderedPageBreak/>
              <w:t>to sustain engagement. </w:t>
            </w:r>
          </w:p>
        </w:tc>
        <w:tc>
          <w:tcPr>
            <w:tcW w:w="2942" w:type="dxa"/>
          </w:tcPr>
          <w:p w:rsidR="00E57983" w:rsidRPr="00382C14" w:rsidRDefault="00E57983" w:rsidP="00DC2ABE">
            <w:pPr>
              <w:rPr>
                <w:rFonts w:asciiTheme="minorHAnsi" w:hAnsiTheme="minorHAnsi"/>
                <w:b/>
                <w:sz w:val="22"/>
                <w:szCs w:val="22"/>
              </w:rPr>
            </w:pPr>
            <w:r w:rsidRPr="00382C14">
              <w:rPr>
                <w:rFonts w:asciiTheme="minorHAnsi" w:hAnsiTheme="minorHAnsi"/>
                <w:sz w:val="22"/>
                <w:szCs w:val="22"/>
              </w:rPr>
              <w:lastRenderedPageBreak/>
              <w:t xml:space="preserve">1) clarify with the Governance Structure the actual ability of the Subcommittees to influence SIM initiatives, 2) define the tracking and feedback mechanisms for their recommendations (for example, what are the results of their recommendations, </w:t>
            </w:r>
            <w:r w:rsidRPr="00382C14">
              <w:rPr>
                <w:rFonts w:asciiTheme="minorHAnsi" w:hAnsiTheme="minorHAnsi"/>
                <w:sz w:val="22"/>
                <w:szCs w:val="22"/>
              </w:rPr>
              <w:lastRenderedPageBreak/>
              <w:t>and how are they documented and responded to), and 3) to structure my agendas and working sessions to be explicit about the stage of each initiative and what expected actions the Subcommittee has.</w:t>
            </w:r>
          </w:p>
        </w:tc>
        <w:tc>
          <w:tcPr>
            <w:tcW w:w="2085"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lastRenderedPageBreak/>
              <w:t>Pros: mitigation steps will improve meeting process and clarify expected actions for members;</w:t>
            </w:r>
          </w:p>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 xml:space="preserve">Cons: mitigation may not be sufficient for all </w:t>
            </w:r>
            <w:r w:rsidRPr="00382C14">
              <w:rPr>
                <w:rFonts w:asciiTheme="minorHAnsi" w:hAnsiTheme="minorHAnsi"/>
                <w:b/>
                <w:sz w:val="22"/>
                <w:szCs w:val="22"/>
              </w:rPr>
              <w:lastRenderedPageBreak/>
              <w:t>members to feel appropriately empowered based on their expectations</w:t>
            </w:r>
          </w:p>
        </w:tc>
        <w:tc>
          <w:tcPr>
            <w:tcW w:w="2323"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lastRenderedPageBreak/>
              <w:t>SIM Project Management</w:t>
            </w:r>
          </w:p>
          <w:p w:rsidR="00E57983" w:rsidRPr="00382C14" w:rsidRDefault="00E57983" w:rsidP="00DC2ABE">
            <w:pPr>
              <w:rPr>
                <w:rFonts w:asciiTheme="minorHAnsi" w:hAnsiTheme="minorHAnsi"/>
                <w:b/>
                <w:sz w:val="22"/>
                <w:szCs w:val="22"/>
              </w:rPr>
            </w:pPr>
          </w:p>
          <w:p w:rsidR="00E57983" w:rsidRPr="00382C14" w:rsidRDefault="00E57983" w:rsidP="00DC2ABE">
            <w:pPr>
              <w:rPr>
                <w:rFonts w:asciiTheme="minorHAnsi" w:hAnsiTheme="minorHAnsi"/>
                <w:b/>
                <w:sz w:val="22"/>
                <w:szCs w:val="22"/>
              </w:rPr>
            </w:pP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lastRenderedPageBreak/>
              <w:t>11/6/13</w:t>
            </w:r>
          </w:p>
        </w:tc>
        <w:tc>
          <w:tcPr>
            <w:tcW w:w="4844" w:type="dxa"/>
          </w:tcPr>
          <w:p w:rsidR="00E57983" w:rsidRPr="00382C14" w:rsidRDefault="00E57983" w:rsidP="00DC2ABE">
            <w:pPr>
              <w:rPr>
                <w:rFonts w:asciiTheme="minorHAnsi" w:hAnsiTheme="minorHAnsi"/>
                <w:b/>
                <w:sz w:val="22"/>
                <w:szCs w:val="22"/>
              </w:rPr>
            </w:pPr>
            <w:r w:rsidRPr="00382C14">
              <w:rPr>
                <w:rFonts w:asciiTheme="minorHAnsi" w:hAnsiTheme="minorHAnsi"/>
                <w:sz w:val="22"/>
                <w:szCs w:val="22"/>
              </w:rPr>
              <w:t>Concerns that ability of the Subcommittee to influence authentic consumer engagement of initiatives under SIM is limited.  A specific example was a complaint that the Behavioral Health Home RFA development process did not authentically engage consumers in the design of the BHH.  What can be done from the Subcommittee perspective and the larger SIM governance structure to ensure that consumers are adequately involved going forward, and in other initiatives under SIM – even if those are beyond the control (as this one is) of the Subcommittee’s scope.</w:t>
            </w:r>
          </w:p>
        </w:tc>
        <w:tc>
          <w:tcPr>
            <w:tcW w:w="2942"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 ensure that in our review of SIM Initiatives on the Delivery System Reform Subcommittee, we include a focused criteria/framework consideration of authentic consumer engagement, and document any recommendations that result; 2) to bring the concerns to the Governance Structure to be addressed and responded to, and 3) to appropriately track and close the results of the recommendations and what was done with them.</w:t>
            </w:r>
          </w:p>
          <w:p w:rsidR="00E57983" w:rsidRPr="00382C14" w:rsidRDefault="00E57983" w:rsidP="00DC2ABE">
            <w:pPr>
              <w:ind w:left="360"/>
              <w:rPr>
                <w:rFonts w:asciiTheme="minorHAnsi" w:hAnsiTheme="minorHAnsi"/>
                <w:b/>
                <w:sz w:val="22"/>
                <w:szCs w:val="22"/>
              </w:rPr>
            </w:pPr>
          </w:p>
        </w:tc>
        <w:tc>
          <w:tcPr>
            <w:tcW w:w="2085"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 xml:space="preserve">Pros: mitigation steps will improve meeting process and clarify results of subcommittee actions; </w:t>
            </w:r>
          </w:p>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Cons: mitigation may not sufficiently address consumer engagement concerns across SIM initiatives</w:t>
            </w:r>
          </w:p>
        </w:tc>
        <w:tc>
          <w:tcPr>
            <w:tcW w:w="2323"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SIM Project Management</w:t>
            </w:r>
          </w:p>
        </w:tc>
      </w:tr>
      <w:tr w:rsidR="00E57983" w:rsidRPr="00382C14" w:rsidTr="00A25DD8">
        <w:tc>
          <w:tcPr>
            <w:tcW w:w="1068"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10/31/13</w:t>
            </w:r>
          </w:p>
        </w:tc>
        <w:tc>
          <w:tcPr>
            <w:tcW w:w="4844"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 xml:space="preserve">Large size of the group and potential Ad Hoc and Interested Parties may complicate meeting process and make the Subcommittee deliberations </w:t>
            </w:r>
            <w:proofErr w:type="spellStart"/>
            <w:r w:rsidRPr="00382C14">
              <w:rPr>
                <w:rFonts w:asciiTheme="minorHAnsi" w:hAnsiTheme="minorHAnsi"/>
                <w:sz w:val="22"/>
                <w:szCs w:val="22"/>
              </w:rPr>
              <w:t>unmanagable</w:t>
            </w:r>
            <w:proofErr w:type="spellEnd"/>
          </w:p>
        </w:tc>
        <w:tc>
          <w:tcPr>
            <w:tcW w:w="2942" w:type="dxa"/>
          </w:tcPr>
          <w:p w:rsidR="00E57983" w:rsidRPr="00382C14" w:rsidRDefault="00E57983" w:rsidP="00DC2ABE">
            <w:pPr>
              <w:rPr>
                <w:rFonts w:asciiTheme="minorHAnsi" w:hAnsiTheme="minorHAnsi"/>
                <w:sz w:val="22"/>
                <w:szCs w:val="22"/>
              </w:rPr>
            </w:pPr>
            <w:r w:rsidRPr="00382C14">
              <w:rPr>
                <w:rFonts w:asciiTheme="minorHAnsi" w:hAnsiTheme="minorHAnsi"/>
                <w:sz w:val="22"/>
                <w:szCs w:val="22"/>
              </w:rPr>
              <w:t>1) Create a process to identify Core and Ad Hoc consensus voting members clearly for each meeting</w:t>
            </w:r>
          </w:p>
        </w:tc>
        <w:tc>
          <w:tcPr>
            <w:tcW w:w="2085"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Pros: will focus and support meeting process</w:t>
            </w:r>
          </w:p>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Cons: may inadvertently limit engagement of Interested parties</w:t>
            </w:r>
          </w:p>
        </w:tc>
        <w:tc>
          <w:tcPr>
            <w:tcW w:w="2323" w:type="dxa"/>
          </w:tcPr>
          <w:p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Subcommittee Chair</w:t>
            </w:r>
          </w:p>
        </w:tc>
      </w:tr>
    </w:tbl>
    <w:p w:rsidR="00DC2ABE" w:rsidRPr="00382C14" w:rsidRDefault="00DC2ABE" w:rsidP="00CA513B">
      <w:pPr>
        <w:rPr>
          <w:rStyle w:val="Strong"/>
          <w:color w:val="1F497D" w:themeColor="text2"/>
        </w:rPr>
      </w:pPr>
    </w:p>
    <w:tbl>
      <w:tblPr>
        <w:tblStyle w:val="TableGrid2"/>
        <w:tblW w:w="0" w:type="auto"/>
        <w:tblLook w:val="04A0" w:firstRow="1" w:lastRow="0" w:firstColumn="1" w:lastColumn="0" w:noHBand="0" w:noVBand="1"/>
      </w:tblPr>
      <w:tblGrid>
        <w:gridCol w:w="5167"/>
        <w:gridCol w:w="8095"/>
      </w:tblGrid>
      <w:tr w:rsidR="00A93934" w:rsidRPr="00382C14" w:rsidTr="003B18D0">
        <w:tc>
          <w:tcPr>
            <w:tcW w:w="13262" w:type="dxa"/>
            <w:gridSpan w:val="2"/>
            <w:shd w:val="clear" w:color="auto" w:fill="D9D9D9" w:themeFill="background1" w:themeFillShade="D9"/>
          </w:tcPr>
          <w:p w:rsidR="00A93934" w:rsidRPr="00382C14" w:rsidRDefault="00A93934" w:rsidP="00A93934">
            <w:pPr>
              <w:jc w:val="center"/>
              <w:rPr>
                <w:rFonts w:asciiTheme="minorHAnsi" w:hAnsiTheme="minorHAnsi"/>
                <w:b/>
                <w:sz w:val="22"/>
                <w:szCs w:val="22"/>
              </w:rPr>
            </w:pPr>
            <w:r w:rsidRPr="00382C14">
              <w:rPr>
                <w:rFonts w:asciiTheme="minorHAnsi" w:hAnsiTheme="minorHAnsi"/>
                <w:b/>
                <w:sz w:val="22"/>
                <w:szCs w:val="22"/>
              </w:rPr>
              <w:t>Dependencies Tracking</w:t>
            </w:r>
          </w:p>
        </w:tc>
      </w:tr>
      <w:tr w:rsidR="00A93934" w:rsidRPr="00382C14" w:rsidTr="003B18D0">
        <w:tc>
          <w:tcPr>
            <w:tcW w:w="5167" w:type="dxa"/>
          </w:tcPr>
          <w:p w:rsidR="00A93934" w:rsidRPr="00382C14" w:rsidRDefault="00A93934" w:rsidP="00A93934">
            <w:pPr>
              <w:rPr>
                <w:rFonts w:asciiTheme="minorHAnsi" w:hAnsiTheme="minorHAnsi"/>
                <w:b/>
                <w:sz w:val="22"/>
                <w:szCs w:val="22"/>
              </w:rPr>
            </w:pPr>
            <w:r w:rsidRPr="00382C14">
              <w:rPr>
                <w:rFonts w:asciiTheme="minorHAnsi" w:hAnsiTheme="minorHAnsi"/>
                <w:b/>
                <w:sz w:val="22"/>
                <w:szCs w:val="22"/>
              </w:rPr>
              <w:t>Payment Reform</w:t>
            </w:r>
          </w:p>
        </w:tc>
        <w:tc>
          <w:tcPr>
            <w:tcW w:w="8095" w:type="dxa"/>
          </w:tcPr>
          <w:p w:rsidR="00A93934" w:rsidRPr="00382C14" w:rsidRDefault="00A93934" w:rsidP="00A93934">
            <w:pPr>
              <w:rPr>
                <w:rFonts w:asciiTheme="minorHAnsi" w:hAnsiTheme="minorHAnsi"/>
                <w:b/>
                <w:sz w:val="22"/>
                <w:szCs w:val="22"/>
              </w:rPr>
            </w:pPr>
            <w:r w:rsidRPr="00382C14">
              <w:rPr>
                <w:rFonts w:asciiTheme="minorHAnsi" w:hAnsiTheme="minorHAnsi"/>
                <w:b/>
                <w:sz w:val="22"/>
                <w:szCs w:val="22"/>
              </w:rPr>
              <w:t>Data Infrastructure</w:t>
            </w:r>
          </w:p>
        </w:tc>
      </w:tr>
      <w:tr w:rsidR="00205ACD" w:rsidRPr="00382C14" w:rsidTr="003B18D0">
        <w:tc>
          <w:tcPr>
            <w:tcW w:w="5167" w:type="dxa"/>
          </w:tcPr>
          <w:p w:rsidR="00205ACD" w:rsidRDefault="00205ACD" w:rsidP="00A93934"/>
          <w:p w:rsidR="00205ACD" w:rsidRDefault="00205ACD" w:rsidP="00A93934"/>
          <w:p w:rsidR="00205ACD" w:rsidRDefault="00205ACD" w:rsidP="00A93934"/>
          <w:p w:rsidR="00205ACD" w:rsidRDefault="00205ACD" w:rsidP="00A93934"/>
        </w:tc>
        <w:tc>
          <w:tcPr>
            <w:tcW w:w="8095" w:type="dxa"/>
          </w:tcPr>
          <w:p w:rsidR="00205ACD" w:rsidRDefault="00205ACD" w:rsidP="00A93934"/>
        </w:tc>
      </w:tr>
      <w:tr w:rsidR="008D12EE" w:rsidRPr="00382C14" w:rsidTr="003B18D0">
        <w:tc>
          <w:tcPr>
            <w:tcW w:w="5167" w:type="dxa"/>
          </w:tcPr>
          <w:p w:rsidR="008D12EE" w:rsidRPr="008D12EE" w:rsidRDefault="008D12EE" w:rsidP="00A93934">
            <w:pPr>
              <w:rPr>
                <w:rFonts w:asciiTheme="minorHAnsi" w:hAnsiTheme="minorHAnsi"/>
                <w:sz w:val="22"/>
                <w:szCs w:val="22"/>
              </w:rPr>
            </w:pPr>
            <w:r>
              <w:rPr>
                <w:rFonts w:asciiTheme="minorHAnsi" w:hAnsiTheme="minorHAnsi"/>
                <w:sz w:val="22"/>
                <w:szCs w:val="22"/>
              </w:rPr>
              <w:t>Payment for care coordination services is essential in order to ensure that a comprehensive approach to streamlined care coordination is sustainable</w:t>
            </w:r>
          </w:p>
        </w:tc>
        <w:tc>
          <w:tcPr>
            <w:tcW w:w="8095" w:type="dxa"/>
          </w:tcPr>
          <w:p w:rsidR="008D12EE" w:rsidRPr="007A711B" w:rsidRDefault="007A711B" w:rsidP="00A93934">
            <w:pPr>
              <w:rPr>
                <w:rFonts w:asciiTheme="minorHAnsi" w:hAnsiTheme="minorHAnsi"/>
                <w:sz w:val="22"/>
                <w:szCs w:val="22"/>
              </w:rPr>
            </w:pPr>
            <w:r>
              <w:rPr>
                <w:rFonts w:asciiTheme="minorHAnsi" w:hAnsiTheme="minorHAnsi"/>
                <w:sz w:val="22"/>
                <w:szCs w:val="22"/>
              </w:rPr>
              <w:t>Electronic tools to support care coordination are essential, including shared electronic care plans that allow diverse care team access.</w:t>
            </w:r>
          </w:p>
        </w:tc>
      </w:tr>
      <w:tr w:rsidR="00026C79" w:rsidRPr="00382C14" w:rsidTr="003B18D0">
        <w:tc>
          <w:tcPr>
            <w:tcW w:w="5167" w:type="dxa"/>
          </w:tcPr>
          <w:p w:rsidR="00026C79" w:rsidRPr="00382C14" w:rsidRDefault="00026C79" w:rsidP="00A93934">
            <w:r>
              <w:rPr>
                <w:rFonts w:asciiTheme="minorHAnsi" w:hAnsiTheme="minorHAnsi"/>
                <w:sz w:val="22"/>
                <w:szCs w:val="22"/>
              </w:rPr>
              <w:t xml:space="preserve">There are problems with </w:t>
            </w:r>
            <w:proofErr w:type="spellStart"/>
            <w:r>
              <w:rPr>
                <w:rFonts w:asciiTheme="minorHAnsi" w:hAnsiTheme="minorHAnsi"/>
                <w:sz w:val="22"/>
                <w:szCs w:val="22"/>
              </w:rPr>
              <w:t>MaineCare</w:t>
            </w:r>
            <w:proofErr w:type="spellEnd"/>
            <w:r>
              <w:rPr>
                <w:rFonts w:asciiTheme="minorHAnsi" w:hAnsiTheme="minorHAnsi"/>
                <w:sz w:val="22"/>
                <w:szCs w:val="22"/>
              </w:rPr>
              <w:t xml:space="preserve"> reimbursing for behavioral health integration services which could limit the ability of Health Home and BHHO’s to accomplish integration.</w:t>
            </w:r>
          </w:p>
        </w:tc>
        <w:tc>
          <w:tcPr>
            <w:tcW w:w="8095" w:type="dxa"/>
          </w:tcPr>
          <w:p w:rsidR="00026C79" w:rsidRPr="00382C14" w:rsidRDefault="00026C79" w:rsidP="00A93934"/>
        </w:tc>
      </w:tr>
      <w:tr w:rsidR="00B718DC" w:rsidRPr="00382C14" w:rsidTr="003B18D0">
        <w:tc>
          <w:tcPr>
            <w:tcW w:w="5167" w:type="dxa"/>
          </w:tcPr>
          <w:p w:rsidR="00B718DC" w:rsidRPr="00382C14" w:rsidRDefault="00751FA6" w:rsidP="00A93934">
            <w:pPr>
              <w:rPr>
                <w:rFonts w:asciiTheme="minorHAnsi" w:hAnsiTheme="minorHAnsi"/>
                <w:sz w:val="22"/>
                <w:szCs w:val="22"/>
              </w:rPr>
            </w:pPr>
            <w:r w:rsidRPr="00382C14">
              <w:rPr>
                <w:rFonts w:asciiTheme="minorHAnsi" w:hAnsiTheme="minorHAnsi"/>
                <w:sz w:val="22"/>
                <w:szCs w:val="22"/>
              </w:rPr>
              <w:t>National Diabetes Prevention Program Business Models</w:t>
            </w:r>
          </w:p>
        </w:tc>
        <w:tc>
          <w:tcPr>
            <w:tcW w:w="8095" w:type="dxa"/>
          </w:tcPr>
          <w:p w:rsidR="00B718DC" w:rsidRPr="00382C14" w:rsidRDefault="00751FA6" w:rsidP="00A93934">
            <w:pPr>
              <w:rPr>
                <w:rFonts w:asciiTheme="minorHAnsi" w:hAnsiTheme="minorHAnsi"/>
                <w:sz w:val="22"/>
                <w:szCs w:val="22"/>
              </w:rPr>
            </w:pPr>
            <w:proofErr w:type="spellStart"/>
            <w:r w:rsidRPr="00382C14">
              <w:rPr>
                <w:rFonts w:asciiTheme="minorHAnsi" w:hAnsiTheme="minorHAnsi"/>
                <w:sz w:val="22"/>
                <w:szCs w:val="22"/>
              </w:rPr>
              <w:t>HealthInfo</w:t>
            </w:r>
            <w:proofErr w:type="spellEnd"/>
            <w:r w:rsidRPr="00382C14">
              <w:rPr>
                <w:rFonts w:asciiTheme="minorHAnsi" w:hAnsiTheme="minorHAnsi"/>
                <w:sz w:val="22"/>
                <w:szCs w:val="22"/>
              </w:rPr>
              <w:t xml:space="preserve"> Net notification functions and initiatives under SIM DSR; need ability to leverage HIT tools to accomplish the delivery system reform goals</w:t>
            </w:r>
          </w:p>
        </w:tc>
      </w:tr>
      <w:tr w:rsidR="00A93934" w:rsidRPr="00382C14" w:rsidTr="003B18D0">
        <w:tc>
          <w:tcPr>
            <w:tcW w:w="5167" w:type="dxa"/>
          </w:tcPr>
          <w:p w:rsidR="00A93934" w:rsidRPr="00382C14" w:rsidRDefault="00751FA6" w:rsidP="00A93934">
            <w:pPr>
              <w:rPr>
                <w:rFonts w:asciiTheme="minorHAnsi" w:hAnsiTheme="minorHAnsi"/>
                <w:sz w:val="22"/>
                <w:szCs w:val="22"/>
              </w:rPr>
            </w:pPr>
            <w:r w:rsidRPr="00382C14">
              <w:rPr>
                <w:rFonts w:asciiTheme="minorHAnsi" w:hAnsiTheme="minorHAnsi"/>
                <w:sz w:val="22"/>
                <w:szCs w:val="22"/>
              </w:rPr>
              <w:t>Community Health Worker potential reimbursement/financing models</w:t>
            </w:r>
          </w:p>
        </w:tc>
        <w:tc>
          <w:tcPr>
            <w:tcW w:w="8095" w:type="dxa"/>
          </w:tcPr>
          <w:p w:rsidR="00A93934" w:rsidRPr="00382C14" w:rsidRDefault="008A4222" w:rsidP="00A93934">
            <w:pPr>
              <w:rPr>
                <w:rFonts w:asciiTheme="minorHAnsi" w:hAnsiTheme="minorHAnsi"/>
                <w:sz w:val="22"/>
                <w:szCs w:val="22"/>
              </w:rPr>
            </w:pPr>
            <w:r w:rsidRPr="00382C14">
              <w:rPr>
                <w:rFonts w:asciiTheme="minorHAnsi" w:hAnsiTheme="minorHAnsi"/>
                <w:sz w:val="22"/>
                <w:szCs w:val="22"/>
              </w:rPr>
              <w:t xml:space="preserve">Recommendations for effective sharing of PHI for HH and BHHO; strategies to incorporate in Learning </w:t>
            </w:r>
            <w:proofErr w:type="spellStart"/>
            <w:r w:rsidRPr="00382C14">
              <w:rPr>
                <w:rFonts w:asciiTheme="minorHAnsi" w:hAnsiTheme="minorHAnsi"/>
                <w:sz w:val="22"/>
                <w:szCs w:val="22"/>
              </w:rPr>
              <w:t>Collaboratives</w:t>
            </w:r>
            <w:proofErr w:type="spellEnd"/>
            <w:r w:rsidRPr="00382C14">
              <w:rPr>
                <w:rFonts w:asciiTheme="minorHAnsi" w:hAnsiTheme="minorHAnsi"/>
                <w:sz w:val="22"/>
                <w:szCs w:val="22"/>
              </w:rPr>
              <w:t>; Consumer education recommendations to encourage appropriate sharing of information</w:t>
            </w:r>
          </w:p>
        </w:tc>
      </w:tr>
      <w:tr w:rsidR="00A93934" w:rsidRPr="00382C14" w:rsidTr="003B18D0">
        <w:tc>
          <w:tcPr>
            <w:tcW w:w="5167" w:type="dxa"/>
          </w:tcPr>
          <w:p w:rsidR="00A93934" w:rsidRPr="00382C14" w:rsidRDefault="00A93934" w:rsidP="00A93934">
            <w:pPr>
              <w:rPr>
                <w:rFonts w:asciiTheme="minorHAnsi" w:hAnsiTheme="minorHAnsi"/>
                <w:sz w:val="22"/>
                <w:szCs w:val="22"/>
              </w:rPr>
            </w:pPr>
          </w:p>
        </w:tc>
        <w:tc>
          <w:tcPr>
            <w:tcW w:w="8095" w:type="dxa"/>
          </w:tcPr>
          <w:p w:rsidR="00A93934" w:rsidRPr="00382C14" w:rsidRDefault="008A4222" w:rsidP="00A93934">
            <w:pPr>
              <w:rPr>
                <w:rFonts w:asciiTheme="minorHAnsi" w:hAnsiTheme="minorHAnsi"/>
                <w:sz w:val="22"/>
                <w:szCs w:val="22"/>
              </w:rPr>
            </w:pPr>
            <w:r w:rsidRPr="00382C14">
              <w:rPr>
                <w:rFonts w:asciiTheme="minorHAnsi" w:hAnsiTheme="minorHAnsi"/>
                <w:sz w:val="22"/>
                <w:szCs w:val="22"/>
              </w:rPr>
              <w:t>Data gathering and reporting of quality measures for BHHO and HH;</w:t>
            </w:r>
          </w:p>
        </w:tc>
      </w:tr>
      <w:tr w:rsidR="003B18D0" w:rsidRPr="00382C14" w:rsidTr="003B18D0">
        <w:tc>
          <w:tcPr>
            <w:tcW w:w="5167" w:type="dxa"/>
          </w:tcPr>
          <w:p w:rsidR="003B18D0" w:rsidRPr="00382C14" w:rsidRDefault="003B18D0" w:rsidP="00A93934">
            <w:pPr>
              <w:rPr>
                <w:rFonts w:asciiTheme="minorHAnsi" w:hAnsiTheme="minorHAnsi"/>
                <w:sz w:val="22"/>
                <w:szCs w:val="22"/>
              </w:rPr>
            </w:pPr>
          </w:p>
        </w:tc>
        <w:tc>
          <w:tcPr>
            <w:tcW w:w="8095" w:type="dxa"/>
          </w:tcPr>
          <w:p w:rsidR="003B18D0" w:rsidRPr="00382C14" w:rsidRDefault="003B18D0" w:rsidP="003B18D0">
            <w:pPr>
              <w:contextualSpacing/>
              <w:rPr>
                <w:rFonts w:asciiTheme="minorHAnsi" w:hAnsiTheme="minorHAnsi" w:cstheme="minorHAnsi"/>
                <w:sz w:val="22"/>
                <w:szCs w:val="22"/>
              </w:rPr>
            </w:pPr>
            <w:r w:rsidRPr="00382C14">
              <w:rPr>
                <w:rFonts w:asciiTheme="minorHAnsi" w:hAnsiTheme="minorHAnsi" w:cstheme="minorHAnsi"/>
                <w:sz w:val="22"/>
                <w:szCs w:val="22"/>
              </w:rPr>
              <w:t>Team based care is required in BHHO; yet electronic health records don’t easily track all team members – we need solutions to this functional problem</w:t>
            </w:r>
          </w:p>
        </w:tc>
      </w:tr>
      <w:tr w:rsidR="003B18D0" w:rsidRPr="00382C14" w:rsidTr="003B18D0">
        <w:tc>
          <w:tcPr>
            <w:tcW w:w="5167" w:type="dxa"/>
          </w:tcPr>
          <w:p w:rsidR="003B18D0" w:rsidRPr="00382C14" w:rsidRDefault="003B18D0" w:rsidP="00A93934">
            <w:pPr>
              <w:rPr>
                <w:rFonts w:asciiTheme="minorHAnsi" w:hAnsiTheme="minorHAnsi"/>
                <w:sz w:val="22"/>
                <w:szCs w:val="22"/>
              </w:rPr>
            </w:pPr>
          </w:p>
        </w:tc>
        <w:tc>
          <w:tcPr>
            <w:tcW w:w="8095" w:type="dxa"/>
          </w:tcPr>
          <w:p w:rsidR="003B18D0" w:rsidRPr="00382C14" w:rsidRDefault="003B18D0" w:rsidP="003B18D0">
            <w:pPr>
              <w:contextualSpacing/>
              <w:rPr>
                <w:rFonts w:asciiTheme="minorHAnsi" w:hAnsiTheme="minorHAnsi" w:cstheme="minorHAnsi"/>
                <w:sz w:val="22"/>
                <w:szCs w:val="22"/>
              </w:rPr>
            </w:pPr>
            <w:r w:rsidRPr="00382C14">
              <w:rPr>
                <w:rFonts w:asciiTheme="minorHAnsi" w:hAnsiTheme="minorHAnsi" w:cstheme="minorHAnsi"/>
                <w:sz w:val="22"/>
                <w:szCs w:val="22"/>
              </w:rPr>
              <w:t>How do we broaden use of all PCMH/HH primary care practices of the HIE and functions, such as real-time notifications for ER and Inpatient use and reports?  How can we track uptake and use across the state (e.g., usage stats)</w:t>
            </w:r>
          </w:p>
        </w:tc>
      </w:tr>
      <w:tr w:rsidR="003B18D0" w:rsidRPr="00382C14" w:rsidTr="003B18D0">
        <w:tc>
          <w:tcPr>
            <w:tcW w:w="5167" w:type="dxa"/>
          </w:tcPr>
          <w:p w:rsidR="003B18D0" w:rsidRPr="00382C14" w:rsidRDefault="003B18D0" w:rsidP="00A93934">
            <w:pPr>
              <w:rPr>
                <w:rFonts w:asciiTheme="minorHAnsi" w:hAnsiTheme="minorHAnsi"/>
                <w:sz w:val="22"/>
                <w:szCs w:val="22"/>
              </w:rPr>
            </w:pPr>
          </w:p>
        </w:tc>
        <w:tc>
          <w:tcPr>
            <w:tcW w:w="8095" w:type="dxa"/>
          </w:tcPr>
          <w:p w:rsidR="003B18D0" w:rsidRPr="00382C14" w:rsidRDefault="003B18D0" w:rsidP="003B18D0">
            <w:pPr>
              <w:contextualSpacing/>
              <w:rPr>
                <w:rFonts w:asciiTheme="minorHAnsi" w:hAnsiTheme="minorHAnsi" w:cstheme="minorHAnsi"/>
                <w:sz w:val="22"/>
                <w:szCs w:val="22"/>
              </w:rPr>
            </w:pPr>
            <w:r w:rsidRPr="00382C14">
              <w:rPr>
                <w:rFonts w:asciiTheme="minorHAnsi" w:hAnsiTheme="minorHAnsi" w:cstheme="minorHAnsi"/>
                <w:sz w:val="22"/>
                <w:szCs w:val="22"/>
              </w:rPr>
              <w:t>What solutions (</w:t>
            </w:r>
            <w:proofErr w:type="spellStart"/>
            <w:r w:rsidRPr="00382C14">
              <w:rPr>
                <w:rFonts w:asciiTheme="minorHAnsi" w:hAnsiTheme="minorHAnsi" w:cstheme="minorHAnsi"/>
                <w:sz w:val="22"/>
                <w:szCs w:val="22"/>
              </w:rPr>
              <w:t>e.g</w:t>
            </w:r>
            <w:proofErr w:type="spellEnd"/>
            <w:r w:rsidRPr="00382C14">
              <w:rPr>
                <w:rFonts w:asciiTheme="minorHAnsi" w:hAnsiTheme="minorHAnsi" w:cstheme="minorHAnsi"/>
                <w:sz w:val="22"/>
                <w:szCs w:val="22"/>
              </w:rPr>
              <w:t>, Direct Email) can be used to connect community providers (e.g., Community Health Workers) to critical care management information?</w:t>
            </w:r>
          </w:p>
        </w:tc>
      </w:tr>
      <w:tr w:rsidR="008A4222" w:rsidRPr="00382C14" w:rsidTr="003B18D0">
        <w:tc>
          <w:tcPr>
            <w:tcW w:w="5167" w:type="dxa"/>
          </w:tcPr>
          <w:p w:rsidR="008A4222" w:rsidRPr="00382C14" w:rsidRDefault="008A4222" w:rsidP="00A93934">
            <w:pPr>
              <w:rPr>
                <w:rFonts w:asciiTheme="minorHAnsi" w:hAnsiTheme="minorHAnsi"/>
                <w:sz w:val="22"/>
                <w:szCs w:val="22"/>
              </w:rPr>
            </w:pPr>
          </w:p>
        </w:tc>
        <w:tc>
          <w:tcPr>
            <w:tcW w:w="8095" w:type="dxa"/>
          </w:tcPr>
          <w:p w:rsidR="008A4222" w:rsidRPr="00382C14" w:rsidRDefault="008A4222" w:rsidP="003B18D0">
            <w:pPr>
              <w:rPr>
                <w:rFonts w:asciiTheme="minorHAnsi" w:hAnsiTheme="minorHAnsi"/>
                <w:sz w:val="22"/>
                <w:szCs w:val="22"/>
              </w:rPr>
            </w:pPr>
          </w:p>
        </w:tc>
      </w:tr>
      <w:tr w:rsidR="00A93934" w:rsidRPr="00382C14" w:rsidTr="003B18D0">
        <w:tc>
          <w:tcPr>
            <w:tcW w:w="5167" w:type="dxa"/>
          </w:tcPr>
          <w:p w:rsidR="00A93934" w:rsidRPr="00382C14" w:rsidRDefault="00A93934" w:rsidP="00A93934">
            <w:pPr>
              <w:rPr>
                <w:rFonts w:asciiTheme="minorHAnsi" w:hAnsiTheme="minorHAnsi"/>
                <w:sz w:val="22"/>
                <w:szCs w:val="22"/>
              </w:rPr>
            </w:pPr>
            <w:r w:rsidRPr="00382C14">
              <w:rPr>
                <w:rFonts w:asciiTheme="minorHAnsi" w:hAnsiTheme="minorHAnsi"/>
                <w:sz w:val="22"/>
                <w:szCs w:val="22"/>
              </w:rPr>
              <w:t>Critical to ensure that the enhanced primary care payment is continued through the duration of SIM in order to sustain transformation in primary care and delivery system</w:t>
            </w:r>
          </w:p>
        </w:tc>
        <w:tc>
          <w:tcPr>
            <w:tcW w:w="8095" w:type="dxa"/>
          </w:tcPr>
          <w:p w:rsidR="00A93934" w:rsidRPr="00382C14" w:rsidRDefault="00A93934" w:rsidP="00A93934">
            <w:pPr>
              <w:rPr>
                <w:rFonts w:asciiTheme="minorHAnsi" w:hAnsiTheme="minorHAnsi"/>
                <w:sz w:val="22"/>
                <w:szCs w:val="22"/>
              </w:rPr>
            </w:pPr>
            <w:r w:rsidRPr="00382C14">
              <w:rPr>
                <w:rFonts w:asciiTheme="minorHAnsi" w:hAnsiTheme="minorHAnsi"/>
                <w:sz w:val="22"/>
                <w:szCs w:val="22"/>
              </w:rPr>
              <w:t>Gap in connection of primary care (including PCMH and HH practices) to the Health Information Exchange and the associated functions (e.g. notification and alerting) will limit capability of primary care to attain efficiencies in accordance with the SIM mission/vision and DSR Subcommittee Charge.</w:t>
            </w:r>
          </w:p>
        </w:tc>
      </w:tr>
      <w:tr w:rsidR="00A93934" w:rsidRPr="00382C14" w:rsidTr="003B18D0">
        <w:tc>
          <w:tcPr>
            <w:tcW w:w="5167" w:type="dxa"/>
          </w:tcPr>
          <w:p w:rsidR="00A93934" w:rsidRPr="00382C14" w:rsidRDefault="00A93934" w:rsidP="00A93934">
            <w:pPr>
              <w:rPr>
                <w:rFonts w:asciiTheme="minorHAnsi" w:hAnsiTheme="minorHAnsi"/>
                <w:sz w:val="22"/>
                <w:szCs w:val="22"/>
              </w:rPr>
            </w:pPr>
            <w:r w:rsidRPr="00382C14">
              <w:rPr>
                <w:rFonts w:asciiTheme="minorHAnsi" w:hAnsiTheme="minorHAnsi"/>
                <w:sz w:val="22"/>
                <w:szCs w:val="22"/>
              </w:rPr>
              <w:t>Payment models and structure of reimbursement for Community Health Worker Pilots</w:t>
            </w:r>
          </w:p>
        </w:tc>
        <w:tc>
          <w:tcPr>
            <w:tcW w:w="8095" w:type="dxa"/>
          </w:tcPr>
          <w:p w:rsidR="00A93934" w:rsidRPr="00382C14" w:rsidRDefault="00A93934" w:rsidP="00A93934">
            <w:pPr>
              <w:rPr>
                <w:rFonts w:asciiTheme="minorHAnsi" w:hAnsiTheme="minorHAnsi"/>
                <w:b/>
                <w:sz w:val="22"/>
                <w:szCs w:val="22"/>
              </w:rPr>
            </w:pPr>
          </w:p>
        </w:tc>
      </w:tr>
    </w:tbl>
    <w:p w:rsidR="00A93934" w:rsidRDefault="00A93934" w:rsidP="00CA513B">
      <w:pPr>
        <w:rPr>
          <w:rStyle w:val="Strong"/>
          <w:color w:val="1F497D" w:themeColor="text2"/>
        </w:rPr>
      </w:pPr>
    </w:p>
    <w:p w:rsidR="00382C14" w:rsidRPr="00382C14" w:rsidRDefault="00382C14" w:rsidP="00CA513B">
      <w:pPr>
        <w:rPr>
          <w:rStyle w:val="Strong"/>
          <w:color w:val="1F497D" w:themeColor="text2"/>
        </w:rPr>
      </w:pPr>
    </w:p>
    <w:sectPr w:rsidR="00382C14" w:rsidRPr="00382C14" w:rsidSect="001F1605">
      <w:headerReference w:type="default" r:id="rId12"/>
      <w:footerReference w:type="default" r:id="rId13"/>
      <w:pgSz w:w="15840" w:h="12240" w:orient="landscape"/>
      <w:pgMar w:top="1080" w:right="1354"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C09" w:rsidRDefault="005E5C09" w:rsidP="009528AC">
      <w:pPr>
        <w:spacing w:after="0" w:line="240" w:lineRule="auto"/>
      </w:pPr>
      <w:r>
        <w:separator/>
      </w:r>
    </w:p>
  </w:endnote>
  <w:endnote w:type="continuationSeparator" w:id="0">
    <w:p w:rsidR="005E5C09" w:rsidRDefault="005E5C09" w:rsidP="0095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229907"/>
      <w:docPartObj>
        <w:docPartGallery w:val="Page Numbers (Bottom of Page)"/>
        <w:docPartUnique/>
      </w:docPartObj>
    </w:sdtPr>
    <w:sdtEndPr>
      <w:rPr>
        <w:noProof/>
      </w:rPr>
    </w:sdtEndPr>
    <w:sdtContent>
      <w:p w:rsidR="0061044D" w:rsidRDefault="0061044D">
        <w:pPr>
          <w:pStyle w:val="Footer"/>
          <w:jc w:val="right"/>
        </w:pPr>
        <w:r>
          <w:fldChar w:fldCharType="begin"/>
        </w:r>
        <w:r>
          <w:instrText xml:space="preserve"> PAGE   \* MERGEFORMAT </w:instrText>
        </w:r>
        <w:r>
          <w:fldChar w:fldCharType="separate"/>
        </w:r>
        <w:r w:rsidR="007B65A9">
          <w:rPr>
            <w:noProof/>
          </w:rPr>
          <w:t>1</w:t>
        </w:r>
        <w:r>
          <w:rPr>
            <w:noProof/>
          </w:rPr>
          <w:fldChar w:fldCharType="end"/>
        </w:r>
      </w:p>
    </w:sdtContent>
  </w:sdt>
  <w:p w:rsidR="0061044D" w:rsidRDefault="00610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C09" w:rsidRDefault="005E5C09" w:rsidP="009528AC">
      <w:pPr>
        <w:spacing w:after="0" w:line="240" w:lineRule="auto"/>
      </w:pPr>
      <w:r>
        <w:separator/>
      </w:r>
    </w:p>
  </w:footnote>
  <w:footnote w:type="continuationSeparator" w:id="0">
    <w:p w:rsidR="005E5C09" w:rsidRDefault="005E5C09" w:rsidP="00952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259396"/>
      <w:docPartObj>
        <w:docPartGallery w:val="Watermarks"/>
        <w:docPartUnique/>
      </w:docPartObj>
    </w:sdtPr>
    <w:sdtEndPr/>
    <w:sdtContent>
      <w:p w:rsidR="0061044D" w:rsidRDefault="007B65A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054"/>
    <w:multiLevelType w:val="hybridMultilevel"/>
    <w:tmpl w:val="263A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73F6A"/>
    <w:multiLevelType w:val="hybridMultilevel"/>
    <w:tmpl w:val="937A3A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62CCF"/>
    <w:multiLevelType w:val="hybridMultilevel"/>
    <w:tmpl w:val="83444C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240F8"/>
    <w:multiLevelType w:val="hybridMultilevel"/>
    <w:tmpl w:val="7F1E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12445"/>
    <w:multiLevelType w:val="hybridMultilevel"/>
    <w:tmpl w:val="984AC13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E733E8"/>
    <w:multiLevelType w:val="hybridMultilevel"/>
    <w:tmpl w:val="F36C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1942D8"/>
    <w:multiLevelType w:val="hybridMultilevel"/>
    <w:tmpl w:val="E94E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814AB8"/>
    <w:multiLevelType w:val="hybridMultilevel"/>
    <w:tmpl w:val="5B04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31502A"/>
    <w:multiLevelType w:val="hybridMultilevel"/>
    <w:tmpl w:val="3FB8E0CC"/>
    <w:lvl w:ilvl="0" w:tplc="6C3CA776">
      <w:start w:val="1"/>
      <w:numFmt w:val="bullet"/>
      <w:lvlText w:val="•"/>
      <w:lvlJc w:val="left"/>
      <w:pPr>
        <w:tabs>
          <w:tab w:val="num" w:pos="720"/>
        </w:tabs>
        <w:ind w:left="720" w:hanging="360"/>
      </w:pPr>
      <w:rPr>
        <w:rFonts w:ascii="Arial" w:hAnsi="Arial" w:hint="default"/>
      </w:rPr>
    </w:lvl>
    <w:lvl w:ilvl="1" w:tplc="C9400F62">
      <w:start w:val="1"/>
      <w:numFmt w:val="bullet"/>
      <w:lvlText w:val="•"/>
      <w:lvlJc w:val="left"/>
      <w:pPr>
        <w:tabs>
          <w:tab w:val="num" w:pos="1440"/>
        </w:tabs>
        <w:ind w:left="1440" w:hanging="360"/>
      </w:pPr>
      <w:rPr>
        <w:rFonts w:ascii="Arial" w:hAnsi="Arial" w:hint="default"/>
      </w:rPr>
    </w:lvl>
    <w:lvl w:ilvl="2" w:tplc="880EE314" w:tentative="1">
      <w:start w:val="1"/>
      <w:numFmt w:val="bullet"/>
      <w:lvlText w:val="•"/>
      <w:lvlJc w:val="left"/>
      <w:pPr>
        <w:tabs>
          <w:tab w:val="num" w:pos="2160"/>
        </w:tabs>
        <w:ind w:left="2160" w:hanging="360"/>
      </w:pPr>
      <w:rPr>
        <w:rFonts w:ascii="Arial" w:hAnsi="Arial" w:hint="default"/>
      </w:rPr>
    </w:lvl>
    <w:lvl w:ilvl="3" w:tplc="1EE47866" w:tentative="1">
      <w:start w:val="1"/>
      <w:numFmt w:val="bullet"/>
      <w:lvlText w:val="•"/>
      <w:lvlJc w:val="left"/>
      <w:pPr>
        <w:tabs>
          <w:tab w:val="num" w:pos="2880"/>
        </w:tabs>
        <w:ind w:left="2880" w:hanging="360"/>
      </w:pPr>
      <w:rPr>
        <w:rFonts w:ascii="Arial" w:hAnsi="Arial" w:hint="default"/>
      </w:rPr>
    </w:lvl>
    <w:lvl w:ilvl="4" w:tplc="649C2D60" w:tentative="1">
      <w:start w:val="1"/>
      <w:numFmt w:val="bullet"/>
      <w:lvlText w:val="•"/>
      <w:lvlJc w:val="left"/>
      <w:pPr>
        <w:tabs>
          <w:tab w:val="num" w:pos="3600"/>
        </w:tabs>
        <w:ind w:left="3600" w:hanging="360"/>
      </w:pPr>
      <w:rPr>
        <w:rFonts w:ascii="Arial" w:hAnsi="Arial" w:hint="default"/>
      </w:rPr>
    </w:lvl>
    <w:lvl w:ilvl="5" w:tplc="0302DC88" w:tentative="1">
      <w:start w:val="1"/>
      <w:numFmt w:val="bullet"/>
      <w:lvlText w:val="•"/>
      <w:lvlJc w:val="left"/>
      <w:pPr>
        <w:tabs>
          <w:tab w:val="num" w:pos="4320"/>
        </w:tabs>
        <w:ind w:left="4320" w:hanging="360"/>
      </w:pPr>
      <w:rPr>
        <w:rFonts w:ascii="Arial" w:hAnsi="Arial" w:hint="default"/>
      </w:rPr>
    </w:lvl>
    <w:lvl w:ilvl="6" w:tplc="0EF06424" w:tentative="1">
      <w:start w:val="1"/>
      <w:numFmt w:val="bullet"/>
      <w:lvlText w:val="•"/>
      <w:lvlJc w:val="left"/>
      <w:pPr>
        <w:tabs>
          <w:tab w:val="num" w:pos="5040"/>
        </w:tabs>
        <w:ind w:left="5040" w:hanging="360"/>
      </w:pPr>
      <w:rPr>
        <w:rFonts w:ascii="Arial" w:hAnsi="Arial" w:hint="default"/>
      </w:rPr>
    </w:lvl>
    <w:lvl w:ilvl="7" w:tplc="4BA8D988" w:tentative="1">
      <w:start w:val="1"/>
      <w:numFmt w:val="bullet"/>
      <w:lvlText w:val="•"/>
      <w:lvlJc w:val="left"/>
      <w:pPr>
        <w:tabs>
          <w:tab w:val="num" w:pos="5760"/>
        </w:tabs>
        <w:ind w:left="5760" w:hanging="360"/>
      </w:pPr>
      <w:rPr>
        <w:rFonts w:ascii="Arial" w:hAnsi="Arial" w:hint="default"/>
      </w:rPr>
    </w:lvl>
    <w:lvl w:ilvl="8" w:tplc="D6C24EAE" w:tentative="1">
      <w:start w:val="1"/>
      <w:numFmt w:val="bullet"/>
      <w:lvlText w:val="•"/>
      <w:lvlJc w:val="left"/>
      <w:pPr>
        <w:tabs>
          <w:tab w:val="num" w:pos="6480"/>
        </w:tabs>
        <w:ind w:left="6480" w:hanging="360"/>
      </w:pPr>
      <w:rPr>
        <w:rFonts w:ascii="Arial" w:hAnsi="Arial" w:hint="default"/>
      </w:rPr>
    </w:lvl>
  </w:abstractNum>
  <w:abstractNum w:abstractNumId="9">
    <w:nsid w:val="286D0EDC"/>
    <w:multiLevelType w:val="hybridMultilevel"/>
    <w:tmpl w:val="5F98C700"/>
    <w:lvl w:ilvl="0" w:tplc="F10613F4">
      <w:start w:val="1"/>
      <w:numFmt w:val="bullet"/>
      <w:lvlText w:val="•"/>
      <w:lvlJc w:val="left"/>
      <w:pPr>
        <w:tabs>
          <w:tab w:val="num" w:pos="720"/>
        </w:tabs>
        <w:ind w:left="720" w:hanging="360"/>
      </w:pPr>
      <w:rPr>
        <w:rFonts w:ascii="Arial" w:hAnsi="Arial" w:hint="default"/>
      </w:rPr>
    </w:lvl>
    <w:lvl w:ilvl="1" w:tplc="B5BEAEDC">
      <w:start w:val="2307"/>
      <w:numFmt w:val="bullet"/>
      <w:lvlText w:val="–"/>
      <w:lvlJc w:val="left"/>
      <w:pPr>
        <w:tabs>
          <w:tab w:val="num" w:pos="1440"/>
        </w:tabs>
        <w:ind w:left="1440" w:hanging="360"/>
      </w:pPr>
      <w:rPr>
        <w:rFonts w:ascii="Arial" w:hAnsi="Arial" w:hint="default"/>
      </w:rPr>
    </w:lvl>
    <w:lvl w:ilvl="2" w:tplc="B338EB62" w:tentative="1">
      <w:start w:val="1"/>
      <w:numFmt w:val="bullet"/>
      <w:lvlText w:val="•"/>
      <w:lvlJc w:val="left"/>
      <w:pPr>
        <w:tabs>
          <w:tab w:val="num" w:pos="2160"/>
        </w:tabs>
        <w:ind w:left="2160" w:hanging="360"/>
      </w:pPr>
      <w:rPr>
        <w:rFonts w:ascii="Arial" w:hAnsi="Arial" w:hint="default"/>
      </w:rPr>
    </w:lvl>
    <w:lvl w:ilvl="3" w:tplc="BA76B1F8" w:tentative="1">
      <w:start w:val="1"/>
      <w:numFmt w:val="bullet"/>
      <w:lvlText w:val="•"/>
      <w:lvlJc w:val="left"/>
      <w:pPr>
        <w:tabs>
          <w:tab w:val="num" w:pos="2880"/>
        </w:tabs>
        <w:ind w:left="2880" w:hanging="360"/>
      </w:pPr>
      <w:rPr>
        <w:rFonts w:ascii="Arial" w:hAnsi="Arial" w:hint="default"/>
      </w:rPr>
    </w:lvl>
    <w:lvl w:ilvl="4" w:tplc="023CFFC8" w:tentative="1">
      <w:start w:val="1"/>
      <w:numFmt w:val="bullet"/>
      <w:lvlText w:val="•"/>
      <w:lvlJc w:val="left"/>
      <w:pPr>
        <w:tabs>
          <w:tab w:val="num" w:pos="3600"/>
        </w:tabs>
        <w:ind w:left="3600" w:hanging="360"/>
      </w:pPr>
      <w:rPr>
        <w:rFonts w:ascii="Arial" w:hAnsi="Arial" w:hint="default"/>
      </w:rPr>
    </w:lvl>
    <w:lvl w:ilvl="5" w:tplc="4E883A6E" w:tentative="1">
      <w:start w:val="1"/>
      <w:numFmt w:val="bullet"/>
      <w:lvlText w:val="•"/>
      <w:lvlJc w:val="left"/>
      <w:pPr>
        <w:tabs>
          <w:tab w:val="num" w:pos="4320"/>
        </w:tabs>
        <w:ind w:left="4320" w:hanging="360"/>
      </w:pPr>
      <w:rPr>
        <w:rFonts w:ascii="Arial" w:hAnsi="Arial" w:hint="default"/>
      </w:rPr>
    </w:lvl>
    <w:lvl w:ilvl="6" w:tplc="F8522102" w:tentative="1">
      <w:start w:val="1"/>
      <w:numFmt w:val="bullet"/>
      <w:lvlText w:val="•"/>
      <w:lvlJc w:val="left"/>
      <w:pPr>
        <w:tabs>
          <w:tab w:val="num" w:pos="5040"/>
        </w:tabs>
        <w:ind w:left="5040" w:hanging="360"/>
      </w:pPr>
      <w:rPr>
        <w:rFonts w:ascii="Arial" w:hAnsi="Arial" w:hint="default"/>
      </w:rPr>
    </w:lvl>
    <w:lvl w:ilvl="7" w:tplc="A3EE6C80" w:tentative="1">
      <w:start w:val="1"/>
      <w:numFmt w:val="bullet"/>
      <w:lvlText w:val="•"/>
      <w:lvlJc w:val="left"/>
      <w:pPr>
        <w:tabs>
          <w:tab w:val="num" w:pos="5760"/>
        </w:tabs>
        <w:ind w:left="5760" w:hanging="360"/>
      </w:pPr>
      <w:rPr>
        <w:rFonts w:ascii="Arial" w:hAnsi="Arial" w:hint="default"/>
      </w:rPr>
    </w:lvl>
    <w:lvl w:ilvl="8" w:tplc="D0C21C5A" w:tentative="1">
      <w:start w:val="1"/>
      <w:numFmt w:val="bullet"/>
      <w:lvlText w:val="•"/>
      <w:lvlJc w:val="left"/>
      <w:pPr>
        <w:tabs>
          <w:tab w:val="num" w:pos="6480"/>
        </w:tabs>
        <w:ind w:left="6480" w:hanging="360"/>
      </w:pPr>
      <w:rPr>
        <w:rFonts w:ascii="Arial" w:hAnsi="Arial" w:hint="default"/>
      </w:rPr>
    </w:lvl>
  </w:abstractNum>
  <w:abstractNum w:abstractNumId="10">
    <w:nsid w:val="2F626C3D"/>
    <w:multiLevelType w:val="hybridMultilevel"/>
    <w:tmpl w:val="5BCE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23CD2"/>
    <w:multiLevelType w:val="hybridMultilevel"/>
    <w:tmpl w:val="953A3E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084E3D"/>
    <w:multiLevelType w:val="hybridMultilevel"/>
    <w:tmpl w:val="395C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7A628E"/>
    <w:multiLevelType w:val="hybridMultilevel"/>
    <w:tmpl w:val="718C9C02"/>
    <w:lvl w:ilvl="0" w:tplc="9280B88E">
      <w:start w:val="1"/>
      <w:numFmt w:val="decimal"/>
      <w:lvlText w:val="%1."/>
      <w:lvlJc w:val="left"/>
      <w:pPr>
        <w:tabs>
          <w:tab w:val="num" w:pos="720"/>
        </w:tabs>
        <w:ind w:left="720" w:hanging="360"/>
      </w:pPr>
    </w:lvl>
    <w:lvl w:ilvl="1" w:tplc="9EA25BCA">
      <w:start w:val="1"/>
      <w:numFmt w:val="decimal"/>
      <w:lvlText w:val="%2."/>
      <w:lvlJc w:val="left"/>
      <w:pPr>
        <w:tabs>
          <w:tab w:val="num" w:pos="1440"/>
        </w:tabs>
        <w:ind w:left="1440" w:hanging="360"/>
      </w:pPr>
    </w:lvl>
    <w:lvl w:ilvl="2" w:tplc="EC644032">
      <w:start w:val="1579"/>
      <w:numFmt w:val="bullet"/>
      <w:lvlText w:val="•"/>
      <w:lvlJc w:val="left"/>
      <w:pPr>
        <w:tabs>
          <w:tab w:val="num" w:pos="2160"/>
        </w:tabs>
        <w:ind w:left="2160" w:hanging="360"/>
      </w:pPr>
      <w:rPr>
        <w:rFonts w:ascii="Arial" w:hAnsi="Arial" w:hint="default"/>
      </w:rPr>
    </w:lvl>
    <w:lvl w:ilvl="3" w:tplc="0F22CA62" w:tentative="1">
      <w:start w:val="1"/>
      <w:numFmt w:val="decimal"/>
      <w:lvlText w:val="%4."/>
      <w:lvlJc w:val="left"/>
      <w:pPr>
        <w:tabs>
          <w:tab w:val="num" w:pos="2880"/>
        </w:tabs>
        <w:ind w:left="2880" w:hanging="360"/>
      </w:pPr>
    </w:lvl>
    <w:lvl w:ilvl="4" w:tplc="A4D61B86" w:tentative="1">
      <w:start w:val="1"/>
      <w:numFmt w:val="decimal"/>
      <w:lvlText w:val="%5."/>
      <w:lvlJc w:val="left"/>
      <w:pPr>
        <w:tabs>
          <w:tab w:val="num" w:pos="3600"/>
        </w:tabs>
        <w:ind w:left="3600" w:hanging="360"/>
      </w:pPr>
    </w:lvl>
    <w:lvl w:ilvl="5" w:tplc="5A3C086E" w:tentative="1">
      <w:start w:val="1"/>
      <w:numFmt w:val="decimal"/>
      <w:lvlText w:val="%6."/>
      <w:lvlJc w:val="left"/>
      <w:pPr>
        <w:tabs>
          <w:tab w:val="num" w:pos="4320"/>
        </w:tabs>
        <w:ind w:left="4320" w:hanging="360"/>
      </w:pPr>
    </w:lvl>
    <w:lvl w:ilvl="6" w:tplc="B6CC6804" w:tentative="1">
      <w:start w:val="1"/>
      <w:numFmt w:val="decimal"/>
      <w:lvlText w:val="%7."/>
      <w:lvlJc w:val="left"/>
      <w:pPr>
        <w:tabs>
          <w:tab w:val="num" w:pos="5040"/>
        </w:tabs>
        <w:ind w:left="5040" w:hanging="360"/>
      </w:pPr>
    </w:lvl>
    <w:lvl w:ilvl="7" w:tplc="F610691E" w:tentative="1">
      <w:start w:val="1"/>
      <w:numFmt w:val="decimal"/>
      <w:lvlText w:val="%8."/>
      <w:lvlJc w:val="left"/>
      <w:pPr>
        <w:tabs>
          <w:tab w:val="num" w:pos="5760"/>
        </w:tabs>
        <w:ind w:left="5760" w:hanging="360"/>
      </w:pPr>
    </w:lvl>
    <w:lvl w:ilvl="8" w:tplc="399453F8" w:tentative="1">
      <w:start w:val="1"/>
      <w:numFmt w:val="decimal"/>
      <w:lvlText w:val="%9."/>
      <w:lvlJc w:val="left"/>
      <w:pPr>
        <w:tabs>
          <w:tab w:val="num" w:pos="6480"/>
        </w:tabs>
        <w:ind w:left="6480" w:hanging="360"/>
      </w:pPr>
    </w:lvl>
  </w:abstractNum>
  <w:abstractNum w:abstractNumId="14">
    <w:nsid w:val="455F189A"/>
    <w:multiLevelType w:val="hybridMultilevel"/>
    <w:tmpl w:val="6A3ACAE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C541F1"/>
    <w:multiLevelType w:val="hybridMultilevel"/>
    <w:tmpl w:val="0AD035CC"/>
    <w:lvl w:ilvl="0" w:tplc="91FE4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FE2C69"/>
    <w:multiLevelType w:val="hybridMultilevel"/>
    <w:tmpl w:val="7A50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A61598"/>
    <w:multiLevelType w:val="hybridMultilevel"/>
    <w:tmpl w:val="59AA5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C00C60"/>
    <w:multiLevelType w:val="hybridMultilevel"/>
    <w:tmpl w:val="599AD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F21E57"/>
    <w:multiLevelType w:val="hybridMultilevel"/>
    <w:tmpl w:val="0EE6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E64D14"/>
    <w:multiLevelType w:val="hybridMultilevel"/>
    <w:tmpl w:val="D8B2D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B96154"/>
    <w:multiLevelType w:val="hybridMultilevel"/>
    <w:tmpl w:val="89FAC9B4"/>
    <w:lvl w:ilvl="0" w:tplc="0409000B">
      <w:start w:val="1"/>
      <w:numFmt w:val="bullet"/>
      <w:lvlText w:val=""/>
      <w:lvlJc w:val="left"/>
      <w:pPr>
        <w:ind w:left="360" w:hanging="360"/>
      </w:pPr>
      <w:rPr>
        <w:rFonts w:ascii="Wingdings" w:hAnsi="Wingdings" w:hint="default"/>
      </w:rPr>
    </w:lvl>
    <w:lvl w:ilvl="1" w:tplc="0D0CD8F0">
      <w:start w:val="1"/>
      <w:numFmt w:val="bullet"/>
      <w:lvlText w:val=""/>
      <w:lvlJc w:val="left"/>
      <w:pPr>
        <w:ind w:left="1080" w:hanging="360"/>
      </w:pPr>
      <w:rPr>
        <w:rFonts w:ascii="Symbol" w:hAnsi="Symbol" w:hint="default"/>
        <w:b w:val="0"/>
        <w:i w:val="0"/>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F863865"/>
    <w:multiLevelType w:val="hybridMultilevel"/>
    <w:tmpl w:val="8126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7C713D"/>
    <w:multiLevelType w:val="hybridMultilevel"/>
    <w:tmpl w:val="C8C25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3"/>
  </w:num>
  <w:num w:numId="3">
    <w:abstractNumId w:val="20"/>
  </w:num>
  <w:num w:numId="4">
    <w:abstractNumId w:val="3"/>
  </w:num>
  <w:num w:numId="5">
    <w:abstractNumId w:val="6"/>
  </w:num>
  <w:num w:numId="6">
    <w:abstractNumId w:val="14"/>
  </w:num>
  <w:num w:numId="7">
    <w:abstractNumId w:val="1"/>
  </w:num>
  <w:num w:numId="8">
    <w:abstractNumId w:val="21"/>
  </w:num>
  <w:num w:numId="9">
    <w:abstractNumId w:val="16"/>
  </w:num>
  <w:num w:numId="10">
    <w:abstractNumId w:val="9"/>
  </w:num>
  <w:num w:numId="11">
    <w:abstractNumId w:val="17"/>
  </w:num>
  <w:num w:numId="12">
    <w:abstractNumId w:val="2"/>
  </w:num>
  <w:num w:numId="13">
    <w:abstractNumId w:val="10"/>
  </w:num>
  <w:num w:numId="14">
    <w:abstractNumId w:val="15"/>
  </w:num>
  <w:num w:numId="15">
    <w:abstractNumId w:val="22"/>
  </w:num>
  <w:num w:numId="16">
    <w:abstractNumId w:val="12"/>
  </w:num>
  <w:num w:numId="17">
    <w:abstractNumId w:val="5"/>
  </w:num>
  <w:num w:numId="18">
    <w:abstractNumId w:val="11"/>
  </w:num>
  <w:num w:numId="19">
    <w:abstractNumId w:val="7"/>
  </w:num>
  <w:num w:numId="20">
    <w:abstractNumId w:val="18"/>
  </w:num>
  <w:num w:numId="21">
    <w:abstractNumId w:val="8"/>
  </w:num>
  <w:num w:numId="22">
    <w:abstractNumId w:val="13"/>
  </w:num>
  <w:num w:numId="23">
    <w:abstractNumId w:val="1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13B"/>
    <w:rsid w:val="00003100"/>
    <w:rsid w:val="00006AFD"/>
    <w:rsid w:val="000153C7"/>
    <w:rsid w:val="00021782"/>
    <w:rsid w:val="00026C79"/>
    <w:rsid w:val="00033E1C"/>
    <w:rsid w:val="00046DB0"/>
    <w:rsid w:val="00047088"/>
    <w:rsid w:val="00051E6B"/>
    <w:rsid w:val="00053DB9"/>
    <w:rsid w:val="00066456"/>
    <w:rsid w:val="00075BC3"/>
    <w:rsid w:val="00086D9D"/>
    <w:rsid w:val="00097E02"/>
    <w:rsid w:val="000A6C66"/>
    <w:rsid w:val="000B280D"/>
    <w:rsid w:val="000B3716"/>
    <w:rsid w:val="000B6131"/>
    <w:rsid w:val="000C35A5"/>
    <w:rsid w:val="000C5E04"/>
    <w:rsid w:val="000C6E74"/>
    <w:rsid w:val="000D5FE1"/>
    <w:rsid w:val="000D7AD4"/>
    <w:rsid w:val="000E066F"/>
    <w:rsid w:val="000E6F2C"/>
    <w:rsid w:val="000F667F"/>
    <w:rsid w:val="001034BB"/>
    <w:rsid w:val="00104961"/>
    <w:rsid w:val="00105364"/>
    <w:rsid w:val="00107C92"/>
    <w:rsid w:val="00114C65"/>
    <w:rsid w:val="001173D5"/>
    <w:rsid w:val="0012168B"/>
    <w:rsid w:val="0012170D"/>
    <w:rsid w:val="00124F1E"/>
    <w:rsid w:val="00130314"/>
    <w:rsid w:val="001309E6"/>
    <w:rsid w:val="00133836"/>
    <w:rsid w:val="001521D1"/>
    <w:rsid w:val="0015221F"/>
    <w:rsid w:val="0015295E"/>
    <w:rsid w:val="001565FD"/>
    <w:rsid w:val="001774A5"/>
    <w:rsid w:val="001828A9"/>
    <w:rsid w:val="00184A3F"/>
    <w:rsid w:val="0019691C"/>
    <w:rsid w:val="00197039"/>
    <w:rsid w:val="0019779D"/>
    <w:rsid w:val="001A2AA7"/>
    <w:rsid w:val="001A3885"/>
    <w:rsid w:val="001B0113"/>
    <w:rsid w:val="001B1456"/>
    <w:rsid w:val="001B589D"/>
    <w:rsid w:val="001C38CD"/>
    <w:rsid w:val="001D1B62"/>
    <w:rsid w:val="001D4383"/>
    <w:rsid w:val="001D4751"/>
    <w:rsid w:val="001D798E"/>
    <w:rsid w:val="001E2542"/>
    <w:rsid w:val="001E36E1"/>
    <w:rsid w:val="001F1605"/>
    <w:rsid w:val="001F34FE"/>
    <w:rsid w:val="001F6B59"/>
    <w:rsid w:val="002045A4"/>
    <w:rsid w:val="00205ACD"/>
    <w:rsid w:val="00215823"/>
    <w:rsid w:val="00217D2B"/>
    <w:rsid w:val="00220051"/>
    <w:rsid w:val="00220AC6"/>
    <w:rsid w:val="00224B04"/>
    <w:rsid w:val="00227D1E"/>
    <w:rsid w:val="002309F0"/>
    <w:rsid w:val="00231153"/>
    <w:rsid w:val="00232996"/>
    <w:rsid w:val="00234602"/>
    <w:rsid w:val="00235B01"/>
    <w:rsid w:val="00237BB8"/>
    <w:rsid w:val="002422B9"/>
    <w:rsid w:val="00251624"/>
    <w:rsid w:val="002533BE"/>
    <w:rsid w:val="00254D4F"/>
    <w:rsid w:val="00255283"/>
    <w:rsid w:val="00265838"/>
    <w:rsid w:val="00285B5F"/>
    <w:rsid w:val="00294AD3"/>
    <w:rsid w:val="002950B8"/>
    <w:rsid w:val="002A22B5"/>
    <w:rsid w:val="002A2A54"/>
    <w:rsid w:val="002A54A7"/>
    <w:rsid w:val="002A5768"/>
    <w:rsid w:val="002A711F"/>
    <w:rsid w:val="002A71DC"/>
    <w:rsid w:val="002B1061"/>
    <w:rsid w:val="002B7C9C"/>
    <w:rsid w:val="002C5D29"/>
    <w:rsid w:val="002C7C85"/>
    <w:rsid w:val="002D7E92"/>
    <w:rsid w:val="002E3E81"/>
    <w:rsid w:val="002E77E0"/>
    <w:rsid w:val="002F1C52"/>
    <w:rsid w:val="002F236C"/>
    <w:rsid w:val="002F2D19"/>
    <w:rsid w:val="002F76A7"/>
    <w:rsid w:val="0030128E"/>
    <w:rsid w:val="0030398E"/>
    <w:rsid w:val="00307654"/>
    <w:rsid w:val="00317EB4"/>
    <w:rsid w:val="00320777"/>
    <w:rsid w:val="00320DF3"/>
    <w:rsid w:val="003234D8"/>
    <w:rsid w:val="00323BDD"/>
    <w:rsid w:val="003348D5"/>
    <w:rsid w:val="00365DB9"/>
    <w:rsid w:val="00366684"/>
    <w:rsid w:val="00382C14"/>
    <w:rsid w:val="003970E1"/>
    <w:rsid w:val="003972B8"/>
    <w:rsid w:val="003A276D"/>
    <w:rsid w:val="003B18D0"/>
    <w:rsid w:val="003B3F0A"/>
    <w:rsid w:val="003C0B6E"/>
    <w:rsid w:val="003D799D"/>
    <w:rsid w:val="003E0CE1"/>
    <w:rsid w:val="003E16CD"/>
    <w:rsid w:val="003E67C2"/>
    <w:rsid w:val="003E784C"/>
    <w:rsid w:val="003E7C6A"/>
    <w:rsid w:val="00401C9F"/>
    <w:rsid w:val="00401DC3"/>
    <w:rsid w:val="00405094"/>
    <w:rsid w:val="004270B5"/>
    <w:rsid w:val="004278A9"/>
    <w:rsid w:val="00427D52"/>
    <w:rsid w:val="00431A1C"/>
    <w:rsid w:val="00441254"/>
    <w:rsid w:val="00451E01"/>
    <w:rsid w:val="00465910"/>
    <w:rsid w:val="00472BC7"/>
    <w:rsid w:val="00472D8C"/>
    <w:rsid w:val="0047680F"/>
    <w:rsid w:val="00481813"/>
    <w:rsid w:val="00482A58"/>
    <w:rsid w:val="00483443"/>
    <w:rsid w:val="00492901"/>
    <w:rsid w:val="004A16BA"/>
    <w:rsid w:val="004A17A1"/>
    <w:rsid w:val="004A59FE"/>
    <w:rsid w:val="004B19FA"/>
    <w:rsid w:val="004B76DC"/>
    <w:rsid w:val="004C0584"/>
    <w:rsid w:val="004C0EA7"/>
    <w:rsid w:val="004C2832"/>
    <w:rsid w:val="004C59C2"/>
    <w:rsid w:val="004D3D29"/>
    <w:rsid w:val="004E21A0"/>
    <w:rsid w:val="004E3B9B"/>
    <w:rsid w:val="004F2914"/>
    <w:rsid w:val="00503704"/>
    <w:rsid w:val="00504887"/>
    <w:rsid w:val="00511D91"/>
    <w:rsid w:val="00513493"/>
    <w:rsid w:val="0051757D"/>
    <w:rsid w:val="00533F6E"/>
    <w:rsid w:val="00534E7A"/>
    <w:rsid w:val="005350A4"/>
    <w:rsid w:val="00535B92"/>
    <w:rsid w:val="00535BD7"/>
    <w:rsid w:val="00542DCF"/>
    <w:rsid w:val="00544104"/>
    <w:rsid w:val="00546CAC"/>
    <w:rsid w:val="005538F0"/>
    <w:rsid w:val="005542BE"/>
    <w:rsid w:val="00556F75"/>
    <w:rsid w:val="005644F0"/>
    <w:rsid w:val="00570F14"/>
    <w:rsid w:val="0057453F"/>
    <w:rsid w:val="005779EB"/>
    <w:rsid w:val="00583239"/>
    <w:rsid w:val="00585463"/>
    <w:rsid w:val="0059130A"/>
    <w:rsid w:val="00592C32"/>
    <w:rsid w:val="00593B65"/>
    <w:rsid w:val="00595002"/>
    <w:rsid w:val="005972C1"/>
    <w:rsid w:val="00597D1E"/>
    <w:rsid w:val="005A7BF9"/>
    <w:rsid w:val="005B1B33"/>
    <w:rsid w:val="005B22F4"/>
    <w:rsid w:val="005B41C0"/>
    <w:rsid w:val="005B6F3C"/>
    <w:rsid w:val="005B7630"/>
    <w:rsid w:val="005C0DF3"/>
    <w:rsid w:val="005C691C"/>
    <w:rsid w:val="005E117A"/>
    <w:rsid w:val="005E5C09"/>
    <w:rsid w:val="005E6566"/>
    <w:rsid w:val="005E695B"/>
    <w:rsid w:val="005F0FE8"/>
    <w:rsid w:val="005F2329"/>
    <w:rsid w:val="005F263F"/>
    <w:rsid w:val="005F3A25"/>
    <w:rsid w:val="005F60BC"/>
    <w:rsid w:val="00600D6B"/>
    <w:rsid w:val="00603600"/>
    <w:rsid w:val="00603701"/>
    <w:rsid w:val="00605928"/>
    <w:rsid w:val="00607F42"/>
    <w:rsid w:val="0061044D"/>
    <w:rsid w:val="00611561"/>
    <w:rsid w:val="0061496B"/>
    <w:rsid w:val="00615DFD"/>
    <w:rsid w:val="00627A82"/>
    <w:rsid w:val="00627D89"/>
    <w:rsid w:val="00635E57"/>
    <w:rsid w:val="006508E3"/>
    <w:rsid w:val="00664BF0"/>
    <w:rsid w:val="006743EC"/>
    <w:rsid w:val="0068420A"/>
    <w:rsid w:val="00685D08"/>
    <w:rsid w:val="00693536"/>
    <w:rsid w:val="0069679D"/>
    <w:rsid w:val="006974E7"/>
    <w:rsid w:val="006A1299"/>
    <w:rsid w:val="006A4090"/>
    <w:rsid w:val="006B164B"/>
    <w:rsid w:val="006C083C"/>
    <w:rsid w:val="006C2122"/>
    <w:rsid w:val="006D27DE"/>
    <w:rsid w:val="006F2FDF"/>
    <w:rsid w:val="006F4A12"/>
    <w:rsid w:val="00714D46"/>
    <w:rsid w:val="0071661C"/>
    <w:rsid w:val="007225CD"/>
    <w:rsid w:val="007233A4"/>
    <w:rsid w:val="00730AD4"/>
    <w:rsid w:val="00730CA7"/>
    <w:rsid w:val="00737F54"/>
    <w:rsid w:val="00747ED1"/>
    <w:rsid w:val="00751FA6"/>
    <w:rsid w:val="00752238"/>
    <w:rsid w:val="007547D6"/>
    <w:rsid w:val="007565BF"/>
    <w:rsid w:val="00756EBD"/>
    <w:rsid w:val="00767812"/>
    <w:rsid w:val="0078085C"/>
    <w:rsid w:val="007824F0"/>
    <w:rsid w:val="00783E47"/>
    <w:rsid w:val="00786871"/>
    <w:rsid w:val="00792436"/>
    <w:rsid w:val="00794936"/>
    <w:rsid w:val="007A711B"/>
    <w:rsid w:val="007A72A4"/>
    <w:rsid w:val="007B0633"/>
    <w:rsid w:val="007B65A9"/>
    <w:rsid w:val="007C1CDB"/>
    <w:rsid w:val="007C2ECC"/>
    <w:rsid w:val="007D1DCD"/>
    <w:rsid w:val="007D4D2E"/>
    <w:rsid w:val="007E0304"/>
    <w:rsid w:val="007E237F"/>
    <w:rsid w:val="007E4775"/>
    <w:rsid w:val="007E4B46"/>
    <w:rsid w:val="007E59DD"/>
    <w:rsid w:val="008008C0"/>
    <w:rsid w:val="008052D6"/>
    <w:rsid w:val="00805848"/>
    <w:rsid w:val="00806385"/>
    <w:rsid w:val="00812430"/>
    <w:rsid w:val="00813030"/>
    <w:rsid w:val="00823275"/>
    <w:rsid w:val="00830ADA"/>
    <w:rsid w:val="00832AAA"/>
    <w:rsid w:val="00843D5B"/>
    <w:rsid w:val="00845BEA"/>
    <w:rsid w:val="00863D8E"/>
    <w:rsid w:val="0087486B"/>
    <w:rsid w:val="00875D3A"/>
    <w:rsid w:val="00877298"/>
    <w:rsid w:val="00877BBD"/>
    <w:rsid w:val="008830D6"/>
    <w:rsid w:val="00886BE0"/>
    <w:rsid w:val="00890898"/>
    <w:rsid w:val="00891A4C"/>
    <w:rsid w:val="00891F25"/>
    <w:rsid w:val="008A392A"/>
    <w:rsid w:val="008A4222"/>
    <w:rsid w:val="008A4DE0"/>
    <w:rsid w:val="008A54A1"/>
    <w:rsid w:val="008B0C1E"/>
    <w:rsid w:val="008B1327"/>
    <w:rsid w:val="008B2208"/>
    <w:rsid w:val="008B23C9"/>
    <w:rsid w:val="008B7D57"/>
    <w:rsid w:val="008C516A"/>
    <w:rsid w:val="008D12EE"/>
    <w:rsid w:val="008E162A"/>
    <w:rsid w:val="008E19F6"/>
    <w:rsid w:val="008E2D32"/>
    <w:rsid w:val="008E4589"/>
    <w:rsid w:val="008F2DA8"/>
    <w:rsid w:val="008F5D6E"/>
    <w:rsid w:val="00906A46"/>
    <w:rsid w:val="0091304A"/>
    <w:rsid w:val="009142CC"/>
    <w:rsid w:val="00914EB5"/>
    <w:rsid w:val="00916DE7"/>
    <w:rsid w:val="00923960"/>
    <w:rsid w:val="00924B9E"/>
    <w:rsid w:val="00925343"/>
    <w:rsid w:val="009309AC"/>
    <w:rsid w:val="00934F2C"/>
    <w:rsid w:val="009363E1"/>
    <w:rsid w:val="009470B3"/>
    <w:rsid w:val="009528AC"/>
    <w:rsid w:val="00952C2E"/>
    <w:rsid w:val="009569E4"/>
    <w:rsid w:val="0095790E"/>
    <w:rsid w:val="0096790D"/>
    <w:rsid w:val="0099337F"/>
    <w:rsid w:val="009A06B8"/>
    <w:rsid w:val="009A674E"/>
    <w:rsid w:val="009B1DED"/>
    <w:rsid w:val="009B480A"/>
    <w:rsid w:val="009B5E40"/>
    <w:rsid w:val="009C071B"/>
    <w:rsid w:val="009C175D"/>
    <w:rsid w:val="009C1965"/>
    <w:rsid w:val="009D0255"/>
    <w:rsid w:val="009E21FE"/>
    <w:rsid w:val="009F7035"/>
    <w:rsid w:val="009F74F0"/>
    <w:rsid w:val="00A03F07"/>
    <w:rsid w:val="00A0773C"/>
    <w:rsid w:val="00A1155A"/>
    <w:rsid w:val="00A15575"/>
    <w:rsid w:val="00A17730"/>
    <w:rsid w:val="00A25DD8"/>
    <w:rsid w:val="00A3329A"/>
    <w:rsid w:val="00A53AF3"/>
    <w:rsid w:val="00A5601F"/>
    <w:rsid w:val="00A628F7"/>
    <w:rsid w:val="00A63621"/>
    <w:rsid w:val="00A65CDF"/>
    <w:rsid w:val="00A7115B"/>
    <w:rsid w:val="00A7467D"/>
    <w:rsid w:val="00A77638"/>
    <w:rsid w:val="00A80237"/>
    <w:rsid w:val="00A80B89"/>
    <w:rsid w:val="00A81FC0"/>
    <w:rsid w:val="00A93934"/>
    <w:rsid w:val="00AA3374"/>
    <w:rsid w:val="00AA7672"/>
    <w:rsid w:val="00AB3BCA"/>
    <w:rsid w:val="00AB717E"/>
    <w:rsid w:val="00AC0BA8"/>
    <w:rsid w:val="00AC400F"/>
    <w:rsid w:val="00AD0517"/>
    <w:rsid w:val="00AD4845"/>
    <w:rsid w:val="00AD5607"/>
    <w:rsid w:val="00AE4ECD"/>
    <w:rsid w:val="00AE6C31"/>
    <w:rsid w:val="00AF5120"/>
    <w:rsid w:val="00B02A9A"/>
    <w:rsid w:val="00B0531A"/>
    <w:rsid w:val="00B06219"/>
    <w:rsid w:val="00B100AD"/>
    <w:rsid w:val="00B10C95"/>
    <w:rsid w:val="00B151B1"/>
    <w:rsid w:val="00B16AFF"/>
    <w:rsid w:val="00B17696"/>
    <w:rsid w:val="00B2232E"/>
    <w:rsid w:val="00B332E1"/>
    <w:rsid w:val="00B3334D"/>
    <w:rsid w:val="00B360D6"/>
    <w:rsid w:val="00B36F12"/>
    <w:rsid w:val="00B45DEE"/>
    <w:rsid w:val="00B562FE"/>
    <w:rsid w:val="00B60061"/>
    <w:rsid w:val="00B718DC"/>
    <w:rsid w:val="00B722D3"/>
    <w:rsid w:val="00B74654"/>
    <w:rsid w:val="00B84210"/>
    <w:rsid w:val="00B97464"/>
    <w:rsid w:val="00BB38A4"/>
    <w:rsid w:val="00BB514A"/>
    <w:rsid w:val="00BB5E4C"/>
    <w:rsid w:val="00BC6ABF"/>
    <w:rsid w:val="00BD1BE8"/>
    <w:rsid w:val="00BD3725"/>
    <w:rsid w:val="00BE25B4"/>
    <w:rsid w:val="00BE3204"/>
    <w:rsid w:val="00BE3EE9"/>
    <w:rsid w:val="00BE7BB9"/>
    <w:rsid w:val="00BF43DE"/>
    <w:rsid w:val="00BF4B6A"/>
    <w:rsid w:val="00BF4EFA"/>
    <w:rsid w:val="00C005AB"/>
    <w:rsid w:val="00C03007"/>
    <w:rsid w:val="00C04EF6"/>
    <w:rsid w:val="00C04FDF"/>
    <w:rsid w:val="00C05E37"/>
    <w:rsid w:val="00C07667"/>
    <w:rsid w:val="00C13BA4"/>
    <w:rsid w:val="00C16773"/>
    <w:rsid w:val="00C16FAF"/>
    <w:rsid w:val="00C26796"/>
    <w:rsid w:val="00C26D0D"/>
    <w:rsid w:val="00C318BB"/>
    <w:rsid w:val="00C320B4"/>
    <w:rsid w:val="00C46CAB"/>
    <w:rsid w:val="00C472ED"/>
    <w:rsid w:val="00C47D2C"/>
    <w:rsid w:val="00C51824"/>
    <w:rsid w:val="00C5237A"/>
    <w:rsid w:val="00C60DB3"/>
    <w:rsid w:val="00C619AC"/>
    <w:rsid w:val="00C61EA0"/>
    <w:rsid w:val="00C67EA7"/>
    <w:rsid w:val="00C71A22"/>
    <w:rsid w:val="00C71D46"/>
    <w:rsid w:val="00C73518"/>
    <w:rsid w:val="00C74907"/>
    <w:rsid w:val="00C81C86"/>
    <w:rsid w:val="00C8408A"/>
    <w:rsid w:val="00C86953"/>
    <w:rsid w:val="00C87084"/>
    <w:rsid w:val="00C921EE"/>
    <w:rsid w:val="00C94EEF"/>
    <w:rsid w:val="00CA3852"/>
    <w:rsid w:val="00CA513B"/>
    <w:rsid w:val="00CA6278"/>
    <w:rsid w:val="00CB15B7"/>
    <w:rsid w:val="00CB1610"/>
    <w:rsid w:val="00CB6251"/>
    <w:rsid w:val="00CB71AA"/>
    <w:rsid w:val="00CB7EA8"/>
    <w:rsid w:val="00CC02B4"/>
    <w:rsid w:val="00CC03EA"/>
    <w:rsid w:val="00CC4CF1"/>
    <w:rsid w:val="00CC602F"/>
    <w:rsid w:val="00CC6A19"/>
    <w:rsid w:val="00CD0A64"/>
    <w:rsid w:val="00CD5713"/>
    <w:rsid w:val="00CD6466"/>
    <w:rsid w:val="00CE1596"/>
    <w:rsid w:val="00CE3EBA"/>
    <w:rsid w:val="00CE623A"/>
    <w:rsid w:val="00CF5465"/>
    <w:rsid w:val="00D01259"/>
    <w:rsid w:val="00D1116E"/>
    <w:rsid w:val="00D12D58"/>
    <w:rsid w:val="00D1384F"/>
    <w:rsid w:val="00D14935"/>
    <w:rsid w:val="00D14B22"/>
    <w:rsid w:val="00D15570"/>
    <w:rsid w:val="00D15958"/>
    <w:rsid w:val="00D16086"/>
    <w:rsid w:val="00D26BCB"/>
    <w:rsid w:val="00D32899"/>
    <w:rsid w:val="00D334BD"/>
    <w:rsid w:val="00D35C73"/>
    <w:rsid w:val="00D36D52"/>
    <w:rsid w:val="00D379AA"/>
    <w:rsid w:val="00D4133C"/>
    <w:rsid w:val="00D41348"/>
    <w:rsid w:val="00D4170A"/>
    <w:rsid w:val="00D47FDE"/>
    <w:rsid w:val="00D5538C"/>
    <w:rsid w:val="00D6261D"/>
    <w:rsid w:val="00D76C78"/>
    <w:rsid w:val="00D8024D"/>
    <w:rsid w:val="00D806FD"/>
    <w:rsid w:val="00D82463"/>
    <w:rsid w:val="00D863D5"/>
    <w:rsid w:val="00D90938"/>
    <w:rsid w:val="00D90976"/>
    <w:rsid w:val="00D939BC"/>
    <w:rsid w:val="00D94C34"/>
    <w:rsid w:val="00DA04B5"/>
    <w:rsid w:val="00DA12FD"/>
    <w:rsid w:val="00DA34FA"/>
    <w:rsid w:val="00DA61C4"/>
    <w:rsid w:val="00DB1A00"/>
    <w:rsid w:val="00DB35D6"/>
    <w:rsid w:val="00DB5F72"/>
    <w:rsid w:val="00DC2ABE"/>
    <w:rsid w:val="00DC45C1"/>
    <w:rsid w:val="00DC7D65"/>
    <w:rsid w:val="00DD1237"/>
    <w:rsid w:val="00DD42D5"/>
    <w:rsid w:val="00DD55F3"/>
    <w:rsid w:val="00DD65F7"/>
    <w:rsid w:val="00DE01B4"/>
    <w:rsid w:val="00DE3859"/>
    <w:rsid w:val="00DF4565"/>
    <w:rsid w:val="00E02E28"/>
    <w:rsid w:val="00E037B1"/>
    <w:rsid w:val="00E04405"/>
    <w:rsid w:val="00E11F71"/>
    <w:rsid w:val="00E20E41"/>
    <w:rsid w:val="00E32CBA"/>
    <w:rsid w:val="00E339A4"/>
    <w:rsid w:val="00E3596C"/>
    <w:rsid w:val="00E40F7B"/>
    <w:rsid w:val="00E4422C"/>
    <w:rsid w:val="00E51260"/>
    <w:rsid w:val="00E535AD"/>
    <w:rsid w:val="00E56E9B"/>
    <w:rsid w:val="00E57983"/>
    <w:rsid w:val="00E61F8F"/>
    <w:rsid w:val="00E64589"/>
    <w:rsid w:val="00E83E5A"/>
    <w:rsid w:val="00E90849"/>
    <w:rsid w:val="00E91CC0"/>
    <w:rsid w:val="00EA7500"/>
    <w:rsid w:val="00EA7E70"/>
    <w:rsid w:val="00EB3D4C"/>
    <w:rsid w:val="00EB6509"/>
    <w:rsid w:val="00EC0CBA"/>
    <w:rsid w:val="00EC108A"/>
    <w:rsid w:val="00EC14ED"/>
    <w:rsid w:val="00EC3095"/>
    <w:rsid w:val="00EC356A"/>
    <w:rsid w:val="00EC40B8"/>
    <w:rsid w:val="00EC52FD"/>
    <w:rsid w:val="00EC751B"/>
    <w:rsid w:val="00EE155B"/>
    <w:rsid w:val="00EE2F17"/>
    <w:rsid w:val="00EE3ED1"/>
    <w:rsid w:val="00EE7B31"/>
    <w:rsid w:val="00EF08EB"/>
    <w:rsid w:val="00EF45EE"/>
    <w:rsid w:val="00F03098"/>
    <w:rsid w:val="00F05A55"/>
    <w:rsid w:val="00F12884"/>
    <w:rsid w:val="00F16C5D"/>
    <w:rsid w:val="00F2282F"/>
    <w:rsid w:val="00F23DD7"/>
    <w:rsid w:val="00F3282C"/>
    <w:rsid w:val="00F43A91"/>
    <w:rsid w:val="00F60C73"/>
    <w:rsid w:val="00F61704"/>
    <w:rsid w:val="00F61F9E"/>
    <w:rsid w:val="00F656FC"/>
    <w:rsid w:val="00F71A33"/>
    <w:rsid w:val="00F745A6"/>
    <w:rsid w:val="00F74A3C"/>
    <w:rsid w:val="00F80216"/>
    <w:rsid w:val="00F82204"/>
    <w:rsid w:val="00F84999"/>
    <w:rsid w:val="00FA2661"/>
    <w:rsid w:val="00FA429D"/>
    <w:rsid w:val="00FB17D7"/>
    <w:rsid w:val="00FB42CE"/>
    <w:rsid w:val="00FB68BC"/>
    <w:rsid w:val="00FB6993"/>
    <w:rsid w:val="00FC2334"/>
    <w:rsid w:val="00FC3A6F"/>
    <w:rsid w:val="00FC5EE6"/>
    <w:rsid w:val="00FC618E"/>
    <w:rsid w:val="00FE5354"/>
    <w:rsid w:val="00FE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13B"/>
    <w:rPr>
      <w:rFonts w:ascii="Tahoma" w:hAnsi="Tahoma" w:cs="Tahoma"/>
      <w:sz w:val="16"/>
      <w:szCs w:val="16"/>
    </w:rPr>
  </w:style>
  <w:style w:type="character" w:styleId="Strong">
    <w:name w:val="Strong"/>
    <w:basedOn w:val="DefaultParagraphFont"/>
    <w:qFormat/>
    <w:rsid w:val="00CA513B"/>
    <w:rPr>
      <w:b/>
      <w:bCs/>
    </w:rPr>
  </w:style>
  <w:style w:type="paragraph" w:styleId="NoSpacing">
    <w:name w:val="No Spacing"/>
    <w:uiPriority w:val="1"/>
    <w:qFormat/>
    <w:rsid w:val="00CA513B"/>
    <w:pPr>
      <w:spacing w:after="0" w:line="240" w:lineRule="auto"/>
    </w:pPr>
  </w:style>
  <w:style w:type="character" w:styleId="Hyperlink">
    <w:name w:val="Hyperlink"/>
    <w:basedOn w:val="DefaultParagraphFont"/>
    <w:uiPriority w:val="99"/>
    <w:unhideWhenUsed/>
    <w:rsid w:val="00CA513B"/>
    <w:rPr>
      <w:color w:val="0000FF" w:themeColor="hyperlink"/>
      <w:u w:val="single"/>
    </w:rPr>
  </w:style>
  <w:style w:type="table" w:styleId="TableGrid">
    <w:name w:val="Table Grid"/>
    <w:basedOn w:val="TableNormal"/>
    <w:uiPriority w:val="59"/>
    <w:rsid w:val="00217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l1">
    <w:name w:val="Formal1"/>
    <w:basedOn w:val="Normal"/>
    <w:rsid w:val="00B562FE"/>
    <w:pPr>
      <w:spacing w:before="60" w:after="6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562FE"/>
    <w:pPr>
      <w:spacing w:after="0" w:line="240" w:lineRule="auto"/>
      <w:ind w:left="720"/>
    </w:pPr>
    <w:rPr>
      <w:rFonts w:ascii="Calibri" w:eastAsia="Calibri" w:hAnsi="Calibri" w:cs="Times New Roman"/>
    </w:rPr>
  </w:style>
  <w:style w:type="table" w:customStyle="1" w:styleId="TableGrid1">
    <w:name w:val="Table Grid1"/>
    <w:basedOn w:val="TableNormal"/>
    <w:next w:val="TableGrid"/>
    <w:rsid w:val="007522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2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8AC"/>
  </w:style>
  <w:style w:type="paragraph" w:styleId="Footer">
    <w:name w:val="footer"/>
    <w:basedOn w:val="Normal"/>
    <w:link w:val="FooterChar"/>
    <w:uiPriority w:val="99"/>
    <w:unhideWhenUsed/>
    <w:rsid w:val="00952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8AC"/>
  </w:style>
  <w:style w:type="paragraph" w:styleId="NormalWeb">
    <w:name w:val="Normal (Web)"/>
    <w:basedOn w:val="Normal"/>
    <w:uiPriority w:val="99"/>
    <w:semiHidden/>
    <w:unhideWhenUsed/>
    <w:rsid w:val="00C921E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rsid w:val="00DC2A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939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6F3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13B"/>
    <w:rPr>
      <w:rFonts w:ascii="Tahoma" w:hAnsi="Tahoma" w:cs="Tahoma"/>
      <w:sz w:val="16"/>
      <w:szCs w:val="16"/>
    </w:rPr>
  </w:style>
  <w:style w:type="character" w:styleId="Strong">
    <w:name w:val="Strong"/>
    <w:basedOn w:val="DefaultParagraphFont"/>
    <w:qFormat/>
    <w:rsid w:val="00CA513B"/>
    <w:rPr>
      <w:b/>
      <w:bCs/>
    </w:rPr>
  </w:style>
  <w:style w:type="paragraph" w:styleId="NoSpacing">
    <w:name w:val="No Spacing"/>
    <w:uiPriority w:val="1"/>
    <w:qFormat/>
    <w:rsid w:val="00CA513B"/>
    <w:pPr>
      <w:spacing w:after="0" w:line="240" w:lineRule="auto"/>
    </w:pPr>
  </w:style>
  <w:style w:type="character" w:styleId="Hyperlink">
    <w:name w:val="Hyperlink"/>
    <w:basedOn w:val="DefaultParagraphFont"/>
    <w:uiPriority w:val="99"/>
    <w:unhideWhenUsed/>
    <w:rsid w:val="00CA513B"/>
    <w:rPr>
      <w:color w:val="0000FF" w:themeColor="hyperlink"/>
      <w:u w:val="single"/>
    </w:rPr>
  </w:style>
  <w:style w:type="table" w:styleId="TableGrid">
    <w:name w:val="Table Grid"/>
    <w:basedOn w:val="TableNormal"/>
    <w:uiPriority w:val="59"/>
    <w:rsid w:val="00217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l1">
    <w:name w:val="Formal1"/>
    <w:basedOn w:val="Normal"/>
    <w:rsid w:val="00B562FE"/>
    <w:pPr>
      <w:spacing w:before="60" w:after="6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562FE"/>
    <w:pPr>
      <w:spacing w:after="0" w:line="240" w:lineRule="auto"/>
      <w:ind w:left="720"/>
    </w:pPr>
    <w:rPr>
      <w:rFonts w:ascii="Calibri" w:eastAsia="Calibri" w:hAnsi="Calibri" w:cs="Times New Roman"/>
    </w:rPr>
  </w:style>
  <w:style w:type="table" w:customStyle="1" w:styleId="TableGrid1">
    <w:name w:val="Table Grid1"/>
    <w:basedOn w:val="TableNormal"/>
    <w:next w:val="TableGrid"/>
    <w:rsid w:val="007522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2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8AC"/>
  </w:style>
  <w:style w:type="paragraph" w:styleId="Footer">
    <w:name w:val="footer"/>
    <w:basedOn w:val="Normal"/>
    <w:link w:val="FooterChar"/>
    <w:uiPriority w:val="99"/>
    <w:unhideWhenUsed/>
    <w:rsid w:val="00952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8AC"/>
  </w:style>
  <w:style w:type="paragraph" w:styleId="NormalWeb">
    <w:name w:val="Normal (Web)"/>
    <w:basedOn w:val="Normal"/>
    <w:uiPriority w:val="99"/>
    <w:semiHidden/>
    <w:unhideWhenUsed/>
    <w:rsid w:val="00C921E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rsid w:val="00DC2A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939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6F3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95109">
      <w:bodyDiv w:val="1"/>
      <w:marLeft w:val="0"/>
      <w:marRight w:val="0"/>
      <w:marTop w:val="0"/>
      <w:marBottom w:val="0"/>
      <w:divBdr>
        <w:top w:val="none" w:sz="0" w:space="0" w:color="auto"/>
        <w:left w:val="none" w:sz="0" w:space="0" w:color="auto"/>
        <w:bottom w:val="none" w:sz="0" w:space="0" w:color="auto"/>
        <w:right w:val="none" w:sz="0" w:space="0" w:color="auto"/>
      </w:divBdr>
      <w:divsChild>
        <w:div w:id="1844273482">
          <w:marLeft w:val="850"/>
          <w:marRight w:val="0"/>
          <w:marTop w:val="91"/>
          <w:marBottom w:val="120"/>
          <w:divBdr>
            <w:top w:val="none" w:sz="0" w:space="0" w:color="auto"/>
            <w:left w:val="none" w:sz="0" w:space="0" w:color="auto"/>
            <w:bottom w:val="none" w:sz="0" w:space="0" w:color="auto"/>
            <w:right w:val="none" w:sz="0" w:space="0" w:color="auto"/>
          </w:divBdr>
        </w:div>
        <w:div w:id="1673949727">
          <w:marLeft w:val="1282"/>
          <w:marRight w:val="0"/>
          <w:marTop w:val="91"/>
          <w:marBottom w:val="120"/>
          <w:divBdr>
            <w:top w:val="none" w:sz="0" w:space="0" w:color="auto"/>
            <w:left w:val="none" w:sz="0" w:space="0" w:color="auto"/>
            <w:bottom w:val="none" w:sz="0" w:space="0" w:color="auto"/>
            <w:right w:val="none" w:sz="0" w:space="0" w:color="auto"/>
          </w:divBdr>
        </w:div>
        <w:div w:id="1588490935">
          <w:marLeft w:val="1282"/>
          <w:marRight w:val="0"/>
          <w:marTop w:val="91"/>
          <w:marBottom w:val="120"/>
          <w:divBdr>
            <w:top w:val="none" w:sz="0" w:space="0" w:color="auto"/>
            <w:left w:val="none" w:sz="0" w:space="0" w:color="auto"/>
            <w:bottom w:val="none" w:sz="0" w:space="0" w:color="auto"/>
            <w:right w:val="none" w:sz="0" w:space="0" w:color="auto"/>
          </w:divBdr>
        </w:div>
        <w:div w:id="1581672294">
          <w:marLeft w:val="850"/>
          <w:marRight w:val="0"/>
          <w:marTop w:val="91"/>
          <w:marBottom w:val="120"/>
          <w:divBdr>
            <w:top w:val="none" w:sz="0" w:space="0" w:color="auto"/>
            <w:left w:val="none" w:sz="0" w:space="0" w:color="auto"/>
            <w:bottom w:val="none" w:sz="0" w:space="0" w:color="auto"/>
            <w:right w:val="none" w:sz="0" w:space="0" w:color="auto"/>
          </w:divBdr>
        </w:div>
        <w:div w:id="67775493">
          <w:marLeft w:val="1282"/>
          <w:marRight w:val="0"/>
          <w:marTop w:val="91"/>
          <w:marBottom w:val="120"/>
          <w:divBdr>
            <w:top w:val="none" w:sz="0" w:space="0" w:color="auto"/>
            <w:left w:val="none" w:sz="0" w:space="0" w:color="auto"/>
            <w:bottom w:val="none" w:sz="0" w:space="0" w:color="auto"/>
            <w:right w:val="none" w:sz="0" w:space="0" w:color="auto"/>
          </w:divBdr>
        </w:div>
        <w:div w:id="1902861781">
          <w:marLeft w:val="1282"/>
          <w:marRight w:val="0"/>
          <w:marTop w:val="91"/>
          <w:marBottom w:val="120"/>
          <w:divBdr>
            <w:top w:val="none" w:sz="0" w:space="0" w:color="auto"/>
            <w:left w:val="none" w:sz="0" w:space="0" w:color="auto"/>
            <w:bottom w:val="none" w:sz="0" w:space="0" w:color="auto"/>
            <w:right w:val="none" w:sz="0" w:space="0" w:color="auto"/>
          </w:divBdr>
        </w:div>
        <w:div w:id="1459105882">
          <w:marLeft w:val="1282"/>
          <w:marRight w:val="0"/>
          <w:marTop w:val="91"/>
          <w:marBottom w:val="120"/>
          <w:divBdr>
            <w:top w:val="none" w:sz="0" w:space="0" w:color="auto"/>
            <w:left w:val="none" w:sz="0" w:space="0" w:color="auto"/>
            <w:bottom w:val="none" w:sz="0" w:space="0" w:color="auto"/>
            <w:right w:val="none" w:sz="0" w:space="0" w:color="auto"/>
          </w:divBdr>
        </w:div>
      </w:divsChild>
    </w:div>
    <w:div w:id="255596607">
      <w:bodyDiv w:val="1"/>
      <w:marLeft w:val="0"/>
      <w:marRight w:val="0"/>
      <w:marTop w:val="0"/>
      <w:marBottom w:val="0"/>
      <w:divBdr>
        <w:top w:val="none" w:sz="0" w:space="0" w:color="auto"/>
        <w:left w:val="none" w:sz="0" w:space="0" w:color="auto"/>
        <w:bottom w:val="none" w:sz="0" w:space="0" w:color="auto"/>
        <w:right w:val="none" w:sz="0" w:space="0" w:color="auto"/>
      </w:divBdr>
      <w:divsChild>
        <w:div w:id="1282614934">
          <w:marLeft w:val="1166"/>
          <w:marRight w:val="0"/>
          <w:marTop w:val="0"/>
          <w:marBottom w:val="0"/>
          <w:divBdr>
            <w:top w:val="none" w:sz="0" w:space="0" w:color="auto"/>
            <w:left w:val="none" w:sz="0" w:space="0" w:color="auto"/>
            <w:bottom w:val="none" w:sz="0" w:space="0" w:color="auto"/>
            <w:right w:val="none" w:sz="0" w:space="0" w:color="auto"/>
          </w:divBdr>
        </w:div>
        <w:div w:id="1747457457">
          <w:marLeft w:val="1166"/>
          <w:marRight w:val="0"/>
          <w:marTop w:val="0"/>
          <w:marBottom w:val="0"/>
          <w:divBdr>
            <w:top w:val="none" w:sz="0" w:space="0" w:color="auto"/>
            <w:left w:val="none" w:sz="0" w:space="0" w:color="auto"/>
            <w:bottom w:val="none" w:sz="0" w:space="0" w:color="auto"/>
            <w:right w:val="none" w:sz="0" w:space="0" w:color="auto"/>
          </w:divBdr>
        </w:div>
        <w:div w:id="1681002374">
          <w:marLeft w:val="1166"/>
          <w:marRight w:val="0"/>
          <w:marTop w:val="0"/>
          <w:marBottom w:val="0"/>
          <w:divBdr>
            <w:top w:val="none" w:sz="0" w:space="0" w:color="auto"/>
            <w:left w:val="none" w:sz="0" w:space="0" w:color="auto"/>
            <w:bottom w:val="none" w:sz="0" w:space="0" w:color="auto"/>
            <w:right w:val="none" w:sz="0" w:space="0" w:color="auto"/>
          </w:divBdr>
        </w:div>
      </w:divsChild>
    </w:div>
    <w:div w:id="653721941">
      <w:bodyDiv w:val="1"/>
      <w:marLeft w:val="0"/>
      <w:marRight w:val="0"/>
      <w:marTop w:val="0"/>
      <w:marBottom w:val="0"/>
      <w:divBdr>
        <w:top w:val="none" w:sz="0" w:space="0" w:color="auto"/>
        <w:left w:val="none" w:sz="0" w:space="0" w:color="auto"/>
        <w:bottom w:val="none" w:sz="0" w:space="0" w:color="auto"/>
        <w:right w:val="none" w:sz="0" w:space="0" w:color="auto"/>
      </w:divBdr>
    </w:div>
    <w:div w:id="1222205642">
      <w:bodyDiv w:val="1"/>
      <w:marLeft w:val="0"/>
      <w:marRight w:val="0"/>
      <w:marTop w:val="0"/>
      <w:marBottom w:val="0"/>
      <w:divBdr>
        <w:top w:val="none" w:sz="0" w:space="0" w:color="auto"/>
        <w:left w:val="none" w:sz="0" w:space="0" w:color="auto"/>
        <w:bottom w:val="none" w:sz="0" w:space="0" w:color="auto"/>
        <w:right w:val="none" w:sz="0" w:space="0" w:color="auto"/>
      </w:divBdr>
      <w:divsChild>
        <w:div w:id="1085224496">
          <w:marLeft w:val="547"/>
          <w:marRight w:val="0"/>
          <w:marTop w:val="115"/>
          <w:marBottom w:val="0"/>
          <w:divBdr>
            <w:top w:val="none" w:sz="0" w:space="0" w:color="auto"/>
            <w:left w:val="none" w:sz="0" w:space="0" w:color="auto"/>
            <w:bottom w:val="none" w:sz="0" w:space="0" w:color="auto"/>
            <w:right w:val="none" w:sz="0" w:space="0" w:color="auto"/>
          </w:divBdr>
        </w:div>
        <w:div w:id="1425876781">
          <w:marLeft w:val="547"/>
          <w:marRight w:val="0"/>
          <w:marTop w:val="115"/>
          <w:marBottom w:val="0"/>
          <w:divBdr>
            <w:top w:val="none" w:sz="0" w:space="0" w:color="auto"/>
            <w:left w:val="none" w:sz="0" w:space="0" w:color="auto"/>
            <w:bottom w:val="none" w:sz="0" w:space="0" w:color="auto"/>
            <w:right w:val="none" w:sz="0" w:space="0" w:color="auto"/>
          </w:divBdr>
        </w:div>
        <w:div w:id="1539009268">
          <w:marLeft w:val="1166"/>
          <w:marRight w:val="0"/>
          <w:marTop w:val="96"/>
          <w:marBottom w:val="0"/>
          <w:divBdr>
            <w:top w:val="none" w:sz="0" w:space="0" w:color="auto"/>
            <w:left w:val="none" w:sz="0" w:space="0" w:color="auto"/>
            <w:bottom w:val="none" w:sz="0" w:space="0" w:color="auto"/>
            <w:right w:val="none" w:sz="0" w:space="0" w:color="auto"/>
          </w:divBdr>
        </w:div>
        <w:div w:id="1025180986">
          <w:marLeft w:val="1166"/>
          <w:marRight w:val="0"/>
          <w:marTop w:val="96"/>
          <w:marBottom w:val="0"/>
          <w:divBdr>
            <w:top w:val="none" w:sz="0" w:space="0" w:color="auto"/>
            <w:left w:val="none" w:sz="0" w:space="0" w:color="auto"/>
            <w:bottom w:val="none" w:sz="0" w:space="0" w:color="auto"/>
            <w:right w:val="none" w:sz="0" w:space="0" w:color="auto"/>
          </w:divBdr>
        </w:div>
        <w:div w:id="727187558">
          <w:marLeft w:val="1166"/>
          <w:marRight w:val="0"/>
          <w:marTop w:val="96"/>
          <w:marBottom w:val="0"/>
          <w:divBdr>
            <w:top w:val="none" w:sz="0" w:space="0" w:color="auto"/>
            <w:left w:val="none" w:sz="0" w:space="0" w:color="auto"/>
            <w:bottom w:val="none" w:sz="0" w:space="0" w:color="auto"/>
            <w:right w:val="none" w:sz="0" w:space="0" w:color="auto"/>
          </w:divBdr>
        </w:div>
        <w:div w:id="1683435409">
          <w:marLeft w:val="1166"/>
          <w:marRight w:val="0"/>
          <w:marTop w:val="96"/>
          <w:marBottom w:val="0"/>
          <w:divBdr>
            <w:top w:val="none" w:sz="0" w:space="0" w:color="auto"/>
            <w:left w:val="none" w:sz="0" w:space="0" w:color="auto"/>
            <w:bottom w:val="none" w:sz="0" w:space="0" w:color="auto"/>
            <w:right w:val="none" w:sz="0" w:space="0" w:color="auto"/>
          </w:divBdr>
        </w:div>
        <w:div w:id="1457136111">
          <w:marLeft w:val="1166"/>
          <w:marRight w:val="0"/>
          <w:marTop w:val="96"/>
          <w:marBottom w:val="0"/>
          <w:divBdr>
            <w:top w:val="none" w:sz="0" w:space="0" w:color="auto"/>
            <w:left w:val="none" w:sz="0" w:space="0" w:color="auto"/>
            <w:bottom w:val="none" w:sz="0" w:space="0" w:color="auto"/>
            <w:right w:val="none" w:sz="0" w:space="0" w:color="auto"/>
          </w:divBdr>
        </w:div>
        <w:div w:id="2116634150">
          <w:marLeft w:val="1166"/>
          <w:marRight w:val="0"/>
          <w:marTop w:val="96"/>
          <w:marBottom w:val="0"/>
          <w:divBdr>
            <w:top w:val="none" w:sz="0" w:space="0" w:color="auto"/>
            <w:left w:val="none" w:sz="0" w:space="0" w:color="auto"/>
            <w:bottom w:val="none" w:sz="0" w:space="0" w:color="auto"/>
            <w:right w:val="none" w:sz="0" w:space="0" w:color="auto"/>
          </w:divBdr>
        </w:div>
      </w:divsChild>
    </w:div>
    <w:div w:id="1520313876">
      <w:bodyDiv w:val="1"/>
      <w:marLeft w:val="0"/>
      <w:marRight w:val="0"/>
      <w:marTop w:val="0"/>
      <w:marBottom w:val="0"/>
      <w:divBdr>
        <w:top w:val="none" w:sz="0" w:space="0" w:color="auto"/>
        <w:left w:val="none" w:sz="0" w:space="0" w:color="auto"/>
        <w:bottom w:val="none" w:sz="0" w:space="0" w:color="auto"/>
        <w:right w:val="none" w:sz="0" w:space="0" w:color="auto"/>
      </w:divBdr>
    </w:div>
    <w:div w:id="15577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tuttle@mainequalitycount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1C4A-658D-46BE-AC61-3A7A1493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2716</Words>
  <Characters>15486</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 Tancrede</dc:creator>
  <cp:lastModifiedBy>Lise Tancrede</cp:lastModifiedBy>
  <cp:revision>2</cp:revision>
  <cp:lastPrinted>2015-04-07T15:02:00Z</cp:lastPrinted>
  <dcterms:created xsi:type="dcterms:W3CDTF">2015-04-17T19:28:00Z</dcterms:created>
  <dcterms:modified xsi:type="dcterms:W3CDTF">2015-04-17T19:28:00Z</dcterms:modified>
</cp:coreProperties>
</file>