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0425F" w:rsidP="005A7F4E">
      <w:r>
        <w:t>September 25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0425F">
        <w:rPr>
          <w:b/>
        </w:rPr>
        <w:t>September 23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20425F" w:rsidP="00BA363D">
            <w:pPr>
              <w:jc w:val="center"/>
            </w:pPr>
            <w:r>
              <w:t>4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EB7F3A" w:rsidP="00B40718">
            <w:pPr>
              <w:jc w:val="center"/>
            </w:pPr>
            <w:r>
              <w:t>7</w:t>
            </w:r>
            <w:r w:rsidR="0020425F">
              <w:t>7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20425F" w:rsidP="004608AE">
            <w:pPr>
              <w:jc w:val="center"/>
            </w:pPr>
            <w:r>
              <w:t>54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EB7F3A" w:rsidP="001A608F">
            <w:pPr>
              <w:jc w:val="center"/>
            </w:pPr>
            <w:r>
              <w:t>6</w:t>
            </w:r>
            <w:r w:rsidR="0020425F">
              <w:t>74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425F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C6A2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55379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B7F3A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2017-09-25T14:54:00Z</dcterms:created>
  <dcterms:modified xsi:type="dcterms:W3CDTF">2017-09-25T14:54:00Z</dcterms:modified>
</cp:coreProperties>
</file>