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646FD9" w:rsidP="005A7F4E">
      <w:r>
        <w:t>July 17</w:t>
      </w:r>
      <w:r w:rsidR="00021191">
        <w:t>,</w:t>
      </w:r>
      <w:r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646FD9">
        <w:rPr>
          <w:b/>
        </w:rPr>
        <w:t>July 15,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646FD9" w:rsidP="00BA363D">
            <w:pPr>
              <w:jc w:val="center"/>
            </w:pPr>
            <w:r>
              <w:t>6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646FD9" w:rsidP="00F52820">
            <w:pPr>
              <w:jc w:val="center"/>
            </w:pPr>
            <w:r>
              <w:t>1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646FD9" w:rsidP="00B40718">
            <w:pPr>
              <w:jc w:val="center"/>
            </w:pPr>
            <w:r>
              <w:t>4</w:t>
            </w:r>
            <w:r w:rsidR="00904411">
              <w:t>6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904411" w:rsidP="004608AE">
            <w:pPr>
              <w:jc w:val="center"/>
            </w:pPr>
            <w:r>
              <w:t>24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646FD9" w:rsidP="00280ED8">
            <w:pPr>
              <w:jc w:val="center"/>
            </w:pPr>
            <w:r>
              <w:t>2017</w:t>
            </w:r>
            <w:r w:rsidR="00561B77">
              <w:t xml:space="preserve"> Year to Date</w:t>
            </w:r>
          </w:p>
        </w:tc>
        <w:tc>
          <w:tcPr>
            <w:tcW w:w="1266" w:type="pct"/>
          </w:tcPr>
          <w:p w:rsidR="00561B77" w:rsidRPr="00616684" w:rsidRDefault="00904411" w:rsidP="001A608F">
            <w:pPr>
              <w:jc w:val="center"/>
            </w:pPr>
            <w:r>
              <w:t>24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>
        <w:t>At this time there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  <w:bookmarkStart w:id="0" w:name="_GoBack"/>
      <w:bookmarkEnd w:id="0"/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4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2017-07-17T21:54:00Z</dcterms:created>
  <dcterms:modified xsi:type="dcterms:W3CDTF">2017-07-17T21:54:00Z</dcterms:modified>
</cp:coreProperties>
</file>