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A34E56" w:rsidP="005A7F4E">
      <w:r>
        <w:t>August 31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A34E56">
        <w:rPr>
          <w:b/>
        </w:rPr>
        <w:t>August 29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34E56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50C46" w:rsidP="00B40718">
            <w:pPr>
              <w:jc w:val="center"/>
            </w:pPr>
            <w:r>
              <w:t>3</w:t>
            </w:r>
            <w:r w:rsidR="00A34E56">
              <w:t>7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34E56" w:rsidP="004608AE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C1063" w:rsidP="001A608F">
            <w:pPr>
              <w:jc w:val="center"/>
            </w:pPr>
            <w:r>
              <w:t>2</w:t>
            </w:r>
            <w:r w:rsidR="00A34E56">
              <w:t>81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  <w:bookmarkStart w:id="0" w:name="_GoBack"/>
      <w:bookmarkEnd w:id="0"/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817</Characters>
  <Application>Microsoft Office Word</Application>
  <DocSecurity>0</DocSecurity>
  <Lines>74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2011-10-03T20:48:00Z</cp:lastPrinted>
  <dcterms:created xsi:type="dcterms:W3CDTF">2015-08-31T18:44:00Z</dcterms:created>
  <dcterms:modified xsi:type="dcterms:W3CDTF">2015-08-31T18:44:00Z</dcterms:modified>
</cp:coreProperties>
</file>