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5C9EA9-1391-4AA4-B4E5-33E9036D0751}"/>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