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C0" w:rsidRPr="005E2E11" w:rsidRDefault="00960CC0" w:rsidP="009011AA">
      <w:pPr>
        <w:ind w:left="-360"/>
        <w:rPr>
          <w:szCs w:val="24"/>
        </w:rPr>
      </w:pPr>
      <w:bookmarkStart w:id="0" w:name="_GoBack"/>
      <w:bookmarkEnd w:id="0"/>
      <w:r w:rsidRPr="005E2E11">
        <w:rPr>
          <w:b/>
          <w:szCs w:val="24"/>
        </w:rPr>
        <w:t>DATE:</w:t>
      </w:r>
      <w:r w:rsidR="00C612BF" w:rsidRPr="005E2E11">
        <w:rPr>
          <w:b/>
          <w:szCs w:val="24"/>
        </w:rPr>
        <w:tab/>
      </w:r>
      <w:r w:rsidR="009011AA">
        <w:rPr>
          <w:b/>
          <w:szCs w:val="24"/>
        </w:rPr>
        <w:tab/>
      </w:r>
      <w:r w:rsidR="00B71C53">
        <w:rPr>
          <w:szCs w:val="24"/>
        </w:rPr>
        <w:t>June 23</w:t>
      </w:r>
      <w:r w:rsidR="004076A4" w:rsidRPr="005E2E11">
        <w:rPr>
          <w:szCs w:val="24"/>
        </w:rPr>
        <w:t>, 2014</w:t>
      </w:r>
    </w:p>
    <w:p w:rsidR="00960CC0" w:rsidRPr="005E2E11" w:rsidRDefault="00960CC0" w:rsidP="009011AA">
      <w:pPr>
        <w:ind w:left="-360"/>
        <w:rPr>
          <w:b/>
          <w:szCs w:val="24"/>
        </w:rPr>
      </w:pPr>
    </w:p>
    <w:p w:rsidR="00960CC0" w:rsidRPr="005E2E11" w:rsidRDefault="00960CC0" w:rsidP="009011AA">
      <w:pPr>
        <w:ind w:left="-360"/>
        <w:rPr>
          <w:szCs w:val="24"/>
        </w:rPr>
      </w:pPr>
      <w:r w:rsidRPr="005E2E11">
        <w:rPr>
          <w:b/>
          <w:szCs w:val="24"/>
        </w:rPr>
        <w:t>TO:</w:t>
      </w:r>
      <w:r w:rsidRPr="005E2E11">
        <w:rPr>
          <w:b/>
          <w:szCs w:val="24"/>
        </w:rPr>
        <w:tab/>
      </w:r>
      <w:r w:rsidR="00313E6E" w:rsidRPr="005E2E11">
        <w:rPr>
          <w:b/>
          <w:szCs w:val="24"/>
        </w:rPr>
        <w:tab/>
      </w:r>
      <w:r w:rsidR="00DE280D" w:rsidRPr="005E2E11">
        <w:rPr>
          <w:szCs w:val="24"/>
        </w:rPr>
        <w:t xml:space="preserve">Mary C. Mayhew, Commissioner, </w:t>
      </w:r>
      <w:r w:rsidR="00957803" w:rsidRPr="005E2E11">
        <w:rPr>
          <w:szCs w:val="24"/>
        </w:rPr>
        <w:t>DHHS</w:t>
      </w:r>
    </w:p>
    <w:p w:rsidR="00DE280D" w:rsidRPr="005E2E11" w:rsidRDefault="00DE280D" w:rsidP="009011AA">
      <w:pPr>
        <w:ind w:left="-360"/>
        <w:rPr>
          <w:szCs w:val="24"/>
        </w:rPr>
      </w:pPr>
    </w:p>
    <w:p w:rsidR="00DE280D" w:rsidRPr="005E2E11" w:rsidRDefault="00960CC0" w:rsidP="009011AA">
      <w:pPr>
        <w:ind w:left="-360"/>
        <w:rPr>
          <w:szCs w:val="24"/>
        </w:rPr>
      </w:pPr>
      <w:r w:rsidRPr="005E2E11">
        <w:rPr>
          <w:b/>
          <w:szCs w:val="24"/>
        </w:rPr>
        <w:t>THROUGH:</w:t>
      </w:r>
      <w:r w:rsidRPr="005E2E11">
        <w:rPr>
          <w:b/>
          <w:szCs w:val="24"/>
        </w:rPr>
        <w:tab/>
      </w:r>
      <w:r w:rsidR="000C3783" w:rsidRPr="005E2E11">
        <w:rPr>
          <w:szCs w:val="24"/>
        </w:rPr>
        <w:t>Kenneth Albert, R.N.</w:t>
      </w:r>
      <w:r w:rsidR="00957803" w:rsidRPr="005E2E11">
        <w:rPr>
          <w:szCs w:val="24"/>
        </w:rPr>
        <w:t>,</w:t>
      </w:r>
      <w:r w:rsidR="000C3783" w:rsidRPr="005E2E11">
        <w:rPr>
          <w:szCs w:val="24"/>
        </w:rPr>
        <w:t xml:space="preserve"> Esq</w:t>
      </w:r>
      <w:r w:rsidR="00957803" w:rsidRPr="005E2E11">
        <w:rPr>
          <w:szCs w:val="24"/>
        </w:rPr>
        <w:t>.</w:t>
      </w:r>
      <w:r w:rsidR="000C3783" w:rsidRPr="005E2E11">
        <w:rPr>
          <w:szCs w:val="24"/>
        </w:rPr>
        <w:t xml:space="preserve">, </w:t>
      </w:r>
      <w:r w:rsidR="00DE280D" w:rsidRPr="005E2E11">
        <w:rPr>
          <w:szCs w:val="24"/>
        </w:rPr>
        <w:t xml:space="preserve">Director, </w:t>
      </w:r>
      <w:r w:rsidR="00957803" w:rsidRPr="005E2E11">
        <w:rPr>
          <w:szCs w:val="24"/>
        </w:rPr>
        <w:t>DLRS</w:t>
      </w:r>
    </w:p>
    <w:p w:rsidR="00960CC0" w:rsidRPr="005E2E11" w:rsidRDefault="00960CC0" w:rsidP="009011AA">
      <w:pPr>
        <w:pStyle w:val="Cover"/>
        <w:tabs>
          <w:tab w:val="clear" w:pos="720"/>
          <w:tab w:val="clear" w:pos="1440"/>
          <w:tab w:val="clear" w:pos="2160"/>
          <w:tab w:val="clear" w:pos="4464"/>
          <w:tab w:val="clear" w:pos="8496"/>
        </w:tabs>
        <w:spacing w:line="240" w:lineRule="auto"/>
        <w:ind w:left="-360" w:firstLine="0"/>
        <w:rPr>
          <w:szCs w:val="24"/>
        </w:rPr>
      </w:pPr>
    </w:p>
    <w:p w:rsidR="00960CC0" w:rsidRPr="005E2E11" w:rsidRDefault="00960CC0" w:rsidP="009011AA">
      <w:pPr>
        <w:pStyle w:val="Cover"/>
        <w:tabs>
          <w:tab w:val="clear" w:pos="720"/>
          <w:tab w:val="clear" w:pos="1440"/>
          <w:tab w:val="clear" w:pos="2160"/>
          <w:tab w:val="clear" w:pos="4464"/>
          <w:tab w:val="clear" w:pos="8496"/>
        </w:tabs>
        <w:spacing w:line="240" w:lineRule="auto"/>
        <w:ind w:left="-360" w:firstLine="0"/>
        <w:rPr>
          <w:szCs w:val="24"/>
        </w:rPr>
      </w:pPr>
      <w:r w:rsidRPr="005E2E11">
        <w:rPr>
          <w:b/>
          <w:szCs w:val="24"/>
        </w:rPr>
        <w:t>FROM:</w:t>
      </w:r>
      <w:r w:rsidRPr="005E2E11">
        <w:rPr>
          <w:szCs w:val="24"/>
        </w:rPr>
        <w:tab/>
      </w:r>
      <w:r w:rsidR="009011AA">
        <w:rPr>
          <w:szCs w:val="24"/>
        </w:rPr>
        <w:tab/>
      </w:r>
      <w:r w:rsidRPr="005E2E11">
        <w:rPr>
          <w:szCs w:val="24"/>
        </w:rPr>
        <w:t xml:space="preserve">Larry </w:t>
      </w:r>
      <w:r w:rsidR="00BD2124" w:rsidRPr="005E2E11">
        <w:rPr>
          <w:szCs w:val="24"/>
        </w:rPr>
        <w:t xml:space="preserve">D. </w:t>
      </w:r>
      <w:r w:rsidRPr="005E2E11">
        <w:rPr>
          <w:szCs w:val="24"/>
        </w:rPr>
        <w:t xml:space="preserve">Carbonneau, </w:t>
      </w:r>
      <w:r w:rsidR="000A2C6D" w:rsidRPr="005E2E11">
        <w:rPr>
          <w:szCs w:val="24"/>
        </w:rPr>
        <w:t>Manager</w:t>
      </w:r>
      <w:r w:rsidR="001A0038" w:rsidRPr="005E2E11">
        <w:rPr>
          <w:szCs w:val="24"/>
        </w:rPr>
        <w:t>,</w:t>
      </w:r>
      <w:r w:rsidR="00A44A1A" w:rsidRPr="005E2E11">
        <w:rPr>
          <w:szCs w:val="24"/>
        </w:rPr>
        <w:t xml:space="preserve"> </w:t>
      </w:r>
      <w:r w:rsidRPr="005E2E11">
        <w:rPr>
          <w:szCs w:val="24"/>
        </w:rPr>
        <w:t xml:space="preserve">Health Care </w:t>
      </w:r>
      <w:r w:rsidR="00C75673" w:rsidRPr="005E2E11">
        <w:rPr>
          <w:szCs w:val="24"/>
        </w:rPr>
        <w:t>Oversight</w:t>
      </w:r>
    </w:p>
    <w:p w:rsidR="00A70970" w:rsidRPr="005E2E11" w:rsidRDefault="00D9752F" w:rsidP="009011AA">
      <w:pPr>
        <w:ind w:left="-360"/>
        <w:rPr>
          <w:szCs w:val="24"/>
        </w:rPr>
      </w:pPr>
      <w:r w:rsidRPr="005E2E11">
        <w:rPr>
          <w:szCs w:val="24"/>
        </w:rPr>
        <w:tab/>
      </w:r>
      <w:r w:rsidRPr="005E2E11">
        <w:rPr>
          <w:szCs w:val="24"/>
        </w:rPr>
        <w:tab/>
      </w:r>
      <w:r w:rsidR="009011AA">
        <w:rPr>
          <w:szCs w:val="24"/>
        </w:rPr>
        <w:tab/>
      </w:r>
      <w:r w:rsidRPr="005E2E11">
        <w:rPr>
          <w:szCs w:val="24"/>
        </w:rPr>
        <w:t>Richard S. Lawrence, Senior Health Care Financial Analyst</w:t>
      </w:r>
    </w:p>
    <w:p w:rsidR="00960CC0" w:rsidRPr="005E2E11" w:rsidRDefault="00960CC0" w:rsidP="009011AA">
      <w:pPr>
        <w:tabs>
          <w:tab w:val="left" w:pos="720"/>
          <w:tab w:val="left" w:pos="1470"/>
        </w:tabs>
        <w:ind w:left="-360"/>
        <w:rPr>
          <w:szCs w:val="24"/>
        </w:rPr>
      </w:pPr>
    </w:p>
    <w:p w:rsidR="00F62932" w:rsidRPr="005E2E11" w:rsidRDefault="00960CC0" w:rsidP="009011AA">
      <w:pPr>
        <w:ind w:left="-360"/>
        <w:rPr>
          <w:szCs w:val="24"/>
        </w:rPr>
      </w:pPr>
      <w:r w:rsidRPr="005E2E11">
        <w:rPr>
          <w:b/>
          <w:szCs w:val="24"/>
        </w:rPr>
        <w:t>SUBJECT:</w:t>
      </w:r>
      <w:r w:rsidR="00071233" w:rsidRPr="005E2E11">
        <w:rPr>
          <w:szCs w:val="24"/>
        </w:rPr>
        <w:tab/>
      </w:r>
      <w:r w:rsidR="00790E0B">
        <w:rPr>
          <w:szCs w:val="24"/>
        </w:rPr>
        <w:t>Addition of 1</w:t>
      </w:r>
      <w:r w:rsidR="00F0503E">
        <w:rPr>
          <w:szCs w:val="24"/>
        </w:rPr>
        <w:t>3 NF</w:t>
      </w:r>
      <w:r w:rsidR="00FF45B0">
        <w:rPr>
          <w:szCs w:val="24"/>
        </w:rPr>
        <w:t>/SNF Beds</w:t>
      </w:r>
      <w:r w:rsidR="009432E7" w:rsidRPr="005E2E11">
        <w:rPr>
          <w:szCs w:val="24"/>
        </w:rPr>
        <w:t>.</w:t>
      </w:r>
    </w:p>
    <w:p w:rsidR="00960CC0" w:rsidRPr="005E2E11" w:rsidRDefault="00960CC0" w:rsidP="009011AA">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980"/>
        <w:rPr>
          <w:szCs w:val="24"/>
        </w:rPr>
      </w:pPr>
    </w:p>
    <w:p w:rsidR="009D1BFC" w:rsidRPr="005E2E11" w:rsidRDefault="009D1BFC" w:rsidP="009011AA">
      <w:pPr>
        <w:pStyle w:val="Intro"/>
        <w:spacing w:before="0" w:line="240" w:lineRule="auto"/>
        <w:ind w:left="0" w:hanging="1980"/>
        <w:jc w:val="both"/>
        <w:rPr>
          <w:szCs w:val="24"/>
        </w:rPr>
      </w:pPr>
    </w:p>
    <w:p w:rsidR="00960CC0" w:rsidRPr="005E2E11" w:rsidRDefault="00960CC0" w:rsidP="00714FBA">
      <w:pPr>
        <w:pStyle w:val="Intro"/>
        <w:spacing w:before="0" w:line="240" w:lineRule="auto"/>
        <w:ind w:left="-360" w:firstLine="0"/>
        <w:jc w:val="both"/>
        <w:rPr>
          <w:szCs w:val="24"/>
        </w:rPr>
      </w:pPr>
      <w:r w:rsidRPr="005E2E11">
        <w:rPr>
          <w:b/>
          <w:szCs w:val="24"/>
        </w:rPr>
        <w:t>ISSUE ACTIVATED BY:</w:t>
      </w:r>
      <w:r w:rsidR="005E2E11" w:rsidRPr="005E2E11">
        <w:rPr>
          <w:szCs w:val="24"/>
        </w:rPr>
        <w:t xml:space="preserve"> </w:t>
      </w:r>
      <w:r w:rsidRPr="005E2E11">
        <w:rPr>
          <w:szCs w:val="24"/>
        </w:rPr>
        <w:t xml:space="preserve">The referenced proposal requires Certificate of Need (CON) approval as defined in "The Maine Certificate of Need Act of 2002," 22 MRSA </w:t>
      </w:r>
      <w:r w:rsidR="00A44A1A" w:rsidRPr="005E2E11">
        <w:rPr>
          <w:szCs w:val="24"/>
        </w:rPr>
        <w:t>§</w:t>
      </w:r>
      <w:r w:rsidRPr="005E2E11">
        <w:rPr>
          <w:szCs w:val="24"/>
        </w:rPr>
        <w:t xml:space="preserve"> 326 et seq., as amended.</w:t>
      </w:r>
    </w:p>
    <w:p w:rsidR="009D1BFC" w:rsidRPr="005E2E11" w:rsidRDefault="009D1BFC" w:rsidP="00714FBA">
      <w:pPr>
        <w:pStyle w:val="Intro"/>
        <w:spacing w:before="0" w:line="240" w:lineRule="auto"/>
        <w:ind w:left="-360" w:firstLine="0"/>
        <w:jc w:val="both"/>
        <w:rPr>
          <w:szCs w:val="24"/>
        </w:rPr>
      </w:pPr>
    </w:p>
    <w:p w:rsidR="00960CC0" w:rsidRPr="005E2E11" w:rsidRDefault="00960CC0" w:rsidP="00714FBA">
      <w:pPr>
        <w:pStyle w:val="Intro"/>
        <w:tabs>
          <w:tab w:val="left" w:pos="90"/>
        </w:tabs>
        <w:spacing w:before="0" w:line="240" w:lineRule="auto"/>
        <w:ind w:left="-360" w:firstLine="0"/>
        <w:jc w:val="both"/>
        <w:rPr>
          <w:szCs w:val="24"/>
        </w:rPr>
      </w:pPr>
      <w:r w:rsidRPr="005E2E11">
        <w:rPr>
          <w:b/>
          <w:szCs w:val="24"/>
        </w:rPr>
        <w:t xml:space="preserve">REGISTERED AFFECTED PARTIES: </w:t>
      </w:r>
      <w:r w:rsidR="00BA3538" w:rsidRPr="005E2E11">
        <w:rPr>
          <w:szCs w:val="24"/>
        </w:rPr>
        <w:t>No applicants</w:t>
      </w:r>
    </w:p>
    <w:p w:rsidR="009D1BFC" w:rsidRPr="005E2E11" w:rsidRDefault="009D1BFC" w:rsidP="00714FBA">
      <w:pPr>
        <w:pStyle w:val="Intro"/>
        <w:tabs>
          <w:tab w:val="left" w:pos="90"/>
        </w:tabs>
        <w:spacing w:before="0" w:line="240" w:lineRule="auto"/>
        <w:ind w:left="-360" w:firstLine="0"/>
        <w:jc w:val="both"/>
        <w:rPr>
          <w:szCs w:val="24"/>
        </w:rPr>
      </w:pPr>
    </w:p>
    <w:p w:rsidR="0020516B" w:rsidRPr="005E2E11" w:rsidRDefault="00F007C4" w:rsidP="00714FBA">
      <w:pPr>
        <w:pStyle w:val="Intro"/>
        <w:spacing w:before="0" w:line="240" w:lineRule="auto"/>
        <w:ind w:left="-360" w:firstLine="0"/>
        <w:jc w:val="both"/>
        <w:rPr>
          <w:szCs w:val="24"/>
        </w:rPr>
      </w:pPr>
      <w:r w:rsidRPr="005E2E11">
        <w:rPr>
          <w:b/>
          <w:szCs w:val="24"/>
        </w:rPr>
        <w:t xml:space="preserve">I. </w:t>
      </w:r>
      <w:r w:rsidR="00960CC0" w:rsidRPr="005E2E11">
        <w:rPr>
          <w:b/>
          <w:szCs w:val="24"/>
        </w:rPr>
        <w:t>BACKGROUND:</w:t>
      </w:r>
    </w:p>
    <w:p w:rsidR="00485646" w:rsidRDefault="00485646" w:rsidP="00714FBA">
      <w:pPr>
        <w:autoSpaceDE w:val="0"/>
        <w:autoSpaceDN w:val="0"/>
        <w:adjustRightInd w:val="0"/>
        <w:ind w:left="-360"/>
        <w:jc w:val="both"/>
        <w:rPr>
          <w:sz w:val="22"/>
          <w:szCs w:val="22"/>
        </w:rPr>
      </w:pPr>
    </w:p>
    <w:p w:rsidR="008E1B01" w:rsidRDefault="00485646" w:rsidP="00714FBA">
      <w:pPr>
        <w:ind w:left="-360"/>
        <w:jc w:val="both"/>
      </w:pPr>
      <w:r w:rsidRPr="00485646">
        <w:t xml:space="preserve">Maple Grove Nursing Home, Inc. d/b/a Madigan Estates (MGNH) operates an 86-bed nursing and 47-bed residential care facility, and an adjacent 14-bed independent living facility in Houlton, Maine. MGNH has been an integral part of the greater Houlton community since 1972. Brenda Brown has owned and operated the facility since inception. </w:t>
      </w:r>
      <w:r w:rsidR="00FF45B0" w:rsidRPr="00485646">
        <w:t>Three related persons share the current ownership of MGNH</w:t>
      </w:r>
      <w:r w:rsidR="00FF45B0">
        <w:t xml:space="preserve">. </w:t>
      </w:r>
      <w:r w:rsidR="00FF45B0" w:rsidRPr="00485646">
        <w:t xml:space="preserve">Brenda Brown </w:t>
      </w:r>
      <w:r w:rsidR="00FF45B0">
        <w:t xml:space="preserve">holds a </w:t>
      </w:r>
      <w:r w:rsidR="00FF45B0" w:rsidRPr="00485646">
        <w:t xml:space="preserve">40% </w:t>
      </w:r>
      <w:r w:rsidR="00FF45B0">
        <w:t>interest and each of</w:t>
      </w:r>
      <w:r w:rsidR="00FF45B0" w:rsidRPr="00485646">
        <w:t xml:space="preserve"> her children</w:t>
      </w:r>
      <w:r w:rsidR="00B71C53">
        <w:t>,</w:t>
      </w:r>
      <w:r w:rsidR="00FF45B0" w:rsidRPr="00485646">
        <w:t xml:space="preserve"> Jim Brown and Debbie Fitzpatrick</w:t>
      </w:r>
      <w:r w:rsidR="00B71C53">
        <w:t>,</w:t>
      </w:r>
      <w:r w:rsidR="00FF45B0">
        <w:t xml:space="preserve"> own 30% of the shares in the company</w:t>
      </w:r>
      <w:r w:rsidR="00FF45B0" w:rsidRPr="00485646">
        <w:t xml:space="preserve">. </w:t>
      </w:r>
      <w:r w:rsidRPr="00485646">
        <w:t>Jim and Debbie are both licensed multi-level administrators and actively participate in the daily operations as the facility’s Business Manager and Director of Social Servic</w:t>
      </w:r>
      <w:r>
        <w:t>es and Admissions, respectively</w:t>
      </w:r>
      <w:r w:rsidR="008E1B01">
        <w:t>.</w:t>
      </w:r>
    </w:p>
    <w:p w:rsidR="008E1B01" w:rsidRDefault="008E1B01" w:rsidP="00714FBA">
      <w:pPr>
        <w:ind w:left="-360"/>
        <w:jc w:val="both"/>
      </w:pPr>
    </w:p>
    <w:p w:rsidR="00960CC0" w:rsidRPr="005E2E11" w:rsidRDefault="00F007C4" w:rsidP="00714FBA">
      <w:pPr>
        <w:ind w:left="-360"/>
        <w:jc w:val="both"/>
        <w:rPr>
          <w:b/>
          <w:szCs w:val="24"/>
        </w:rPr>
      </w:pPr>
      <w:r w:rsidRPr="005E2E11">
        <w:rPr>
          <w:b/>
          <w:szCs w:val="24"/>
        </w:rPr>
        <w:t xml:space="preserve">II. </w:t>
      </w:r>
      <w:r w:rsidR="00960CC0" w:rsidRPr="005E2E11">
        <w:rPr>
          <w:b/>
          <w:szCs w:val="24"/>
        </w:rPr>
        <w:t>PROJECT DESCRIPTION:</w:t>
      </w:r>
    </w:p>
    <w:p w:rsidR="00EE47F6" w:rsidRPr="005E2E11" w:rsidRDefault="00EE47F6" w:rsidP="00714FBA">
      <w:pPr>
        <w:pStyle w:val="Intro"/>
        <w:spacing w:before="0" w:line="240" w:lineRule="auto"/>
        <w:ind w:left="-360" w:firstLine="0"/>
        <w:jc w:val="both"/>
        <w:rPr>
          <w:szCs w:val="24"/>
        </w:rPr>
      </w:pPr>
    </w:p>
    <w:p w:rsidR="00485646" w:rsidRPr="00485646" w:rsidRDefault="00485646" w:rsidP="00714FBA">
      <w:pPr>
        <w:ind w:left="-360"/>
        <w:jc w:val="both"/>
      </w:pPr>
      <w:r w:rsidRPr="00485646">
        <w:t xml:space="preserve">The proposed project entails </w:t>
      </w:r>
      <w:r w:rsidR="00702AAF">
        <w:t xml:space="preserve">adding </w:t>
      </w:r>
      <w:r w:rsidRPr="00485646">
        <w:t xml:space="preserve">13 </w:t>
      </w:r>
      <w:r w:rsidR="001D4D46">
        <w:t xml:space="preserve">nursing home </w:t>
      </w:r>
      <w:r w:rsidR="00FF45B0" w:rsidRPr="00485646">
        <w:t>beds along</w:t>
      </w:r>
      <w:r w:rsidRPr="00485646">
        <w:t xml:space="preserve"> with certain renovations to the facility. Upon completion of the project, the facility will have a total of 14</w:t>
      </w:r>
      <w:r w:rsidR="001D4D46">
        <w:t>6</w:t>
      </w:r>
      <w:r w:rsidRPr="00485646">
        <w:t xml:space="preserve"> beds which will consist of a </w:t>
      </w:r>
      <w:r w:rsidR="001D4D46">
        <w:t>99</w:t>
      </w:r>
      <w:r w:rsidRPr="00485646">
        <w:t xml:space="preserve">-bed nursing unit and a </w:t>
      </w:r>
      <w:r w:rsidR="001D4D46">
        <w:t>47</w:t>
      </w:r>
      <w:r w:rsidRPr="00485646">
        <w:t>-bed residential care unit. The estimated costs of the project</w:t>
      </w:r>
      <w:r>
        <w:t xml:space="preserve"> are approximately $1,288,000.</w:t>
      </w:r>
    </w:p>
    <w:p w:rsidR="009011AA" w:rsidRDefault="009011AA" w:rsidP="00714FBA">
      <w:pPr>
        <w:ind w:left="-360"/>
        <w:jc w:val="both"/>
        <w:rPr>
          <w:rFonts w:eastAsia="Calibri"/>
          <w:sz w:val="22"/>
          <w:szCs w:val="22"/>
        </w:rPr>
      </w:pPr>
    </w:p>
    <w:p w:rsidR="00485646" w:rsidRPr="00485646" w:rsidRDefault="00485646" w:rsidP="00714FBA">
      <w:pPr>
        <w:ind w:left="-360"/>
        <w:jc w:val="both"/>
        <w:rPr>
          <w:rFonts w:eastAsia="Calibri"/>
          <w:sz w:val="22"/>
          <w:szCs w:val="22"/>
        </w:rPr>
      </w:pPr>
      <w:r>
        <w:rPr>
          <w:rFonts w:eastAsia="Calibri"/>
          <w:sz w:val="22"/>
          <w:szCs w:val="22"/>
        </w:rPr>
        <w:t>The applicant and C</w:t>
      </w:r>
      <w:r w:rsidR="008F0D61">
        <w:rPr>
          <w:rFonts w:eastAsia="Calibri"/>
          <w:sz w:val="22"/>
          <w:szCs w:val="22"/>
        </w:rPr>
        <w:t xml:space="preserve">ertificate of </w:t>
      </w:r>
      <w:r>
        <w:rPr>
          <w:rFonts w:eastAsia="Calibri"/>
          <w:sz w:val="22"/>
          <w:szCs w:val="22"/>
        </w:rPr>
        <w:t>N</w:t>
      </w:r>
      <w:r w:rsidR="008F0D61">
        <w:rPr>
          <w:rFonts w:eastAsia="Calibri"/>
          <w:sz w:val="22"/>
          <w:szCs w:val="22"/>
        </w:rPr>
        <w:t xml:space="preserve">eed </w:t>
      </w:r>
      <w:r>
        <w:rPr>
          <w:rFonts w:eastAsia="Calibri"/>
          <w:sz w:val="22"/>
          <w:szCs w:val="22"/>
        </w:rPr>
        <w:t>U</w:t>
      </w:r>
      <w:r w:rsidR="008F0D61">
        <w:rPr>
          <w:rFonts w:eastAsia="Calibri"/>
          <w:sz w:val="22"/>
          <w:szCs w:val="22"/>
        </w:rPr>
        <w:t>nit (CONU)</w:t>
      </w:r>
      <w:r>
        <w:rPr>
          <w:rFonts w:eastAsia="Calibri"/>
          <w:sz w:val="22"/>
          <w:szCs w:val="22"/>
        </w:rPr>
        <w:t xml:space="preserve"> </w:t>
      </w:r>
      <w:r w:rsidR="00FF45B0">
        <w:rPr>
          <w:rFonts w:eastAsia="Calibri"/>
          <w:sz w:val="22"/>
          <w:szCs w:val="22"/>
        </w:rPr>
        <w:t>staff held</w:t>
      </w:r>
      <w:r>
        <w:rPr>
          <w:rFonts w:eastAsia="Calibri"/>
          <w:sz w:val="22"/>
          <w:szCs w:val="22"/>
        </w:rPr>
        <w:t xml:space="preserve"> a pre-release technical assistance meeting 10 days before the scheduled release of the preliminary analysis in accordance with Section 357 of the Act. As a result of that conversation o</w:t>
      </w:r>
      <w:r w:rsidRPr="007A565D">
        <w:t>n April 23, 2014</w:t>
      </w:r>
      <w:r>
        <w:t>,</w:t>
      </w:r>
      <w:r w:rsidRPr="007A565D">
        <w:t xml:space="preserve"> the applicant requested an amendment to the original </w:t>
      </w:r>
      <w:r w:rsidR="008F0D61">
        <w:t>CON</w:t>
      </w:r>
      <w:r w:rsidR="001D4D46">
        <w:t xml:space="preserve"> application. The original request </w:t>
      </w:r>
      <w:r w:rsidRPr="007A565D">
        <w:t xml:space="preserve">would </w:t>
      </w:r>
      <w:r w:rsidR="001D4D46">
        <w:t xml:space="preserve">have included the conversion of 13 </w:t>
      </w:r>
      <w:r w:rsidRPr="007A565D">
        <w:t>R</w:t>
      </w:r>
      <w:r w:rsidR="001D4D46">
        <w:t>esidential care (RCF) beds to NF beds as well as adding 12 additional SNF/NF beds</w:t>
      </w:r>
      <w:r>
        <w:t xml:space="preserve">. </w:t>
      </w:r>
      <w:r w:rsidRPr="007A565D">
        <w:t xml:space="preserve">The </w:t>
      </w:r>
      <w:r w:rsidR="001D4D46">
        <w:t>facility would have had a 111-bed nursing unit and a smaller 34-bed residential care unit. The CONU had determ</w:t>
      </w:r>
      <w:r w:rsidR="00EA3AD7">
        <w:t>in</w:t>
      </w:r>
      <w:r w:rsidR="001D4D46">
        <w:t xml:space="preserve">ed that the applicant had not acquired enough resources to fully implement the plan and at the same time could not address where the displaced residential care patients </w:t>
      </w:r>
      <w:r w:rsidR="00EA3AD7">
        <w:t>would be relocated.</w:t>
      </w:r>
    </w:p>
    <w:p w:rsidR="00864009" w:rsidRPr="007D6211" w:rsidRDefault="00864009" w:rsidP="00805A2E">
      <w:pPr>
        <w:ind w:left="-360"/>
        <w:rPr>
          <w:rFonts w:eastAsia="Calibri"/>
          <w:sz w:val="22"/>
          <w:szCs w:val="22"/>
        </w:rPr>
      </w:pPr>
    </w:p>
    <w:p w:rsidR="000F6EB1" w:rsidRDefault="000F6EB1" w:rsidP="00805A2E">
      <w:pPr>
        <w:pStyle w:val="Intro"/>
        <w:spacing w:before="0" w:line="240" w:lineRule="auto"/>
        <w:ind w:left="-360" w:firstLine="0"/>
        <w:rPr>
          <w:b/>
          <w:szCs w:val="24"/>
        </w:rPr>
        <w:sectPr w:rsidR="000F6EB1" w:rsidSect="008E1B01">
          <w:headerReference w:type="first" r:id="rId9"/>
          <w:footerReference w:type="first" r:id="rId10"/>
          <w:pgSz w:w="12240" w:h="15840"/>
          <w:pgMar w:top="1440" w:right="1080" w:bottom="1440" w:left="1800" w:header="720" w:footer="720" w:gutter="0"/>
          <w:cols w:space="720"/>
          <w:titlePg/>
          <w:docGrid w:linePitch="360"/>
        </w:sectPr>
      </w:pPr>
    </w:p>
    <w:p w:rsidR="00B81951" w:rsidRPr="005E2E11" w:rsidRDefault="00B81951" w:rsidP="00805A2E">
      <w:pPr>
        <w:pStyle w:val="Intro"/>
        <w:spacing w:before="0" w:line="240" w:lineRule="auto"/>
        <w:ind w:left="-360" w:firstLine="0"/>
        <w:rPr>
          <w:szCs w:val="24"/>
        </w:rPr>
      </w:pPr>
      <w:r w:rsidRPr="005E2E11">
        <w:rPr>
          <w:b/>
          <w:szCs w:val="24"/>
        </w:rPr>
        <w:lastRenderedPageBreak/>
        <w:t>III. HIGHLIGHTS:</w:t>
      </w:r>
    </w:p>
    <w:p w:rsidR="00B81951" w:rsidRPr="007D6211" w:rsidRDefault="00B81951" w:rsidP="00805A2E">
      <w:pPr>
        <w:ind w:left="-360"/>
        <w:rPr>
          <w:sz w:val="22"/>
          <w:szCs w:val="22"/>
        </w:rPr>
      </w:pPr>
    </w:p>
    <w:p w:rsidR="00B81951" w:rsidRPr="005E2E11" w:rsidRDefault="005E2E11" w:rsidP="00805A2E">
      <w:pPr>
        <w:ind w:left="-360"/>
        <w:rPr>
          <w:szCs w:val="24"/>
        </w:rPr>
      </w:pPr>
      <w:r w:rsidRPr="005E2E11">
        <w:rPr>
          <w:szCs w:val="24"/>
        </w:rPr>
        <w:t>Letter of Intent dated:</w:t>
      </w:r>
      <w:r w:rsidRPr="005E2E11">
        <w:rPr>
          <w:szCs w:val="24"/>
        </w:rPr>
        <w:tab/>
      </w:r>
      <w:r w:rsidRPr="005E2E11">
        <w:rPr>
          <w:szCs w:val="24"/>
        </w:rPr>
        <w:tab/>
      </w:r>
      <w:r w:rsidRPr="005E2E11">
        <w:rPr>
          <w:szCs w:val="24"/>
        </w:rPr>
        <w:tab/>
      </w:r>
      <w:r w:rsidR="00864009">
        <w:rPr>
          <w:szCs w:val="24"/>
        </w:rPr>
        <w:t>June 18</w:t>
      </w:r>
      <w:r w:rsidR="009432E7" w:rsidRPr="005E2E11">
        <w:rPr>
          <w:szCs w:val="24"/>
        </w:rPr>
        <w:t>, 2013</w:t>
      </w:r>
    </w:p>
    <w:p w:rsidR="00B81951" w:rsidRPr="005E2E11" w:rsidRDefault="00B81951" w:rsidP="00805A2E">
      <w:pPr>
        <w:ind w:left="-360"/>
        <w:rPr>
          <w:szCs w:val="24"/>
        </w:rPr>
      </w:pPr>
      <w:r w:rsidRPr="005E2E11">
        <w:rPr>
          <w:szCs w:val="24"/>
        </w:rPr>
        <w:t>Tec</w:t>
      </w:r>
      <w:r w:rsidR="005E2E11" w:rsidRPr="005E2E11">
        <w:rPr>
          <w:szCs w:val="24"/>
        </w:rPr>
        <w:t>hnical Assistance meeting held:</w:t>
      </w:r>
      <w:r w:rsidR="005E2E11" w:rsidRPr="005E2E11">
        <w:rPr>
          <w:szCs w:val="24"/>
        </w:rPr>
        <w:tab/>
      </w:r>
      <w:r w:rsidR="00864009">
        <w:rPr>
          <w:szCs w:val="24"/>
        </w:rPr>
        <w:t>Originally waived – held January 8, 2014</w:t>
      </w:r>
    </w:p>
    <w:p w:rsidR="00B81951" w:rsidRPr="005E2E11" w:rsidRDefault="005E2E11" w:rsidP="00805A2E">
      <w:pPr>
        <w:ind w:left="-360"/>
        <w:rPr>
          <w:szCs w:val="24"/>
        </w:rPr>
      </w:pPr>
      <w:r w:rsidRPr="005E2E11">
        <w:rPr>
          <w:szCs w:val="24"/>
        </w:rPr>
        <w:t>CON application filed:</w:t>
      </w:r>
      <w:r w:rsidRPr="005E2E11">
        <w:rPr>
          <w:szCs w:val="24"/>
        </w:rPr>
        <w:tab/>
      </w:r>
      <w:r w:rsidRPr="005E2E11">
        <w:rPr>
          <w:szCs w:val="24"/>
        </w:rPr>
        <w:tab/>
      </w:r>
      <w:r w:rsidRPr="005E2E11">
        <w:rPr>
          <w:szCs w:val="24"/>
        </w:rPr>
        <w:tab/>
      </w:r>
      <w:r w:rsidR="00864009">
        <w:rPr>
          <w:szCs w:val="24"/>
        </w:rPr>
        <w:t>March 3</w:t>
      </w:r>
      <w:r w:rsidR="007F066E">
        <w:rPr>
          <w:szCs w:val="24"/>
        </w:rPr>
        <w:t>, 2014</w:t>
      </w:r>
    </w:p>
    <w:p w:rsidR="001D7499" w:rsidRPr="005E2E11" w:rsidRDefault="005E2E11" w:rsidP="00805A2E">
      <w:pPr>
        <w:ind w:left="-360"/>
        <w:rPr>
          <w:szCs w:val="24"/>
        </w:rPr>
      </w:pPr>
      <w:r w:rsidRPr="005E2E11">
        <w:rPr>
          <w:szCs w:val="24"/>
        </w:rPr>
        <w:t>CON certified as complete:</w:t>
      </w:r>
      <w:r w:rsidRPr="005E2E11">
        <w:rPr>
          <w:szCs w:val="24"/>
        </w:rPr>
        <w:tab/>
      </w:r>
      <w:r w:rsidRPr="005E2E11">
        <w:rPr>
          <w:szCs w:val="24"/>
        </w:rPr>
        <w:tab/>
      </w:r>
      <w:r w:rsidR="007F066E">
        <w:rPr>
          <w:szCs w:val="24"/>
        </w:rPr>
        <w:t>February 19, 2014</w:t>
      </w:r>
    </w:p>
    <w:p w:rsidR="00AC2985" w:rsidRPr="005E2E11" w:rsidRDefault="005E2E11" w:rsidP="00805A2E">
      <w:pPr>
        <w:ind w:left="-360"/>
        <w:rPr>
          <w:szCs w:val="24"/>
        </w:rPr>
      </w:pPr>
      <w:r w:rsidRPr="005E2E11">
        <w:rPr>
          <w:szCs w:val="24"/>
        </w:rPr>
        <w:t>Comment Period Ended:</w:t>
      </w:r>
      <w:r w:rsidRPr="005E2E11">
        <w:rPr>
          <w:szCs w:val="24"/>
        </w:rPr>
        <w:tab/>
      </w:r>
      <w:r w:rsidRPr="005E2E11">
        <w:rPr>
          <w:szCs w:val="24"/>
        </w:rPr>
        <w:tab/>
      </w:r>
      <w:r w:rsidRPr="005E2E11">
        <w:rPr>
          <w:szCs w:val="24"/>
        </w:rPr>
        <w:tab/>
      </w:r>
      <w:r w:rsidR="007F066E">
        <w:rPr>
          <w:szCs w:val="24"/>
        </w:rPr>
        <w:t xml:space="preserve">April </w:t>
      </w:r>
      <w:r w:rsidR="00864009">
        <w:rPr>
          <w:szCs w:val="24"/>
        </w:rPr>
        <w:t>2,</w:t>
      </w:r>
      <w:r w:rsidR="009432E7" w:rsidRPr="005E2E11">
        <w:rPr>
          <w:szCs w:val="24"/>
        </w:rPr>
        <w:t xml:space="preserve"> 2014</w:t>
      </w:r>
    </w:p>
    <w:p w:rsidR="00960CC0" w:rsidRPr="005E2E11" w:rsidRDefault="00960CC0" w:rsidP="00805A2E">
      <w:pPr>
        <w:ind w:left="-360"/>
        <w:rPr>
          <w:szCs w:val="24"/>
        </w:rPr>
      </w:pPr>
      <w:r w:rsidRPr="005E2E11">
        <w:rPr>
          <w:szCs w:val="24"/>
        </w:rPr>
        <w:t>Prel</w:t>
      </w:r>
      <w:r w:rsidR="00050092" w:rsidRPr="005E2E11">
        <w:rPr>
          <w:szCs w:val="24"/>
        </w:rPr>
        <w:t>imina</w:t>
      </w:r>
      <w:r w:rsidR="000A2C6D" w:rsidRPr="005E2E11">
        <w:rPr>
          <w:szCs w:val="24"/>
        </w:rPr>
        <w:t>ry A</w:t>
      </w:r>
      <w:r w:rsidR="00E06F70" w:rsidRPr="005E2E11">
        <w:rPr>
          <w:szCs w:val="24"/>
        </w:rPr>
        <w:t>nalysis released</w:t>
      </w:r>
      <w:r w:rsidR="005E2E11" w:rsidRPr="005E2E11">
        <w:rPr>
          <w:szCs w:val="24"/>
        </w:rPr>
        <w:t>:</w:t>
      </w:r>
      <w:r w:rsidR="005E2E11" w:rsidRPr="005E2E11">
        <w:rPr>
          <w:szCs w:val="24"/>
        </w:rPr>
        <w:tab/>
      </w:r>
      <w:r w:rsidR="005E2E11" w:rsidRPr="005E2E11">
        <w:rPr>
          <w:szCs w:val="24"/>
        </w:rPr>
        <w:tab/>
      </w:r>
      <w:r w:rsidR="007F066E">
        <w:rPr>
          <w:szCs w:val="24"/>
        </w:rPr>
        <w:t>May</w:t>
      </w:r>
      <w:r w:rsidR="00C47E86" w:rsidRPr="005E2E11">
        <w:rPr>
          <w:szCs w:val="24"/>
        </w:rPr>
        <w:t xml:space="preserve"> </w:t>
      </w:r>
      <w:r w:rsidR="007F066E">
        <w:rPr>
          <w:szCs w:val="24"/>
        </w:rPr>
        <w:t>1</w:t>
      </w:r>
      <w:r w:rsidR="00C47E86" w:rsidRPr="005E2E11">
        <w:rPr>
          <w:szCs w:val="24"/>
        </w:rPr>
        <w:t>, 2014</w:t>
      </w:r>
    </w:p>
    <w:p w:rsidR="008F1A53" w:rsidRPr="005E2E11" w:rsidRDefault="008B3F91" w:rsidP="00805A2E">
      <w:pPr>
        <w:ind w:left="-360"/>
        <w:rPr>
          <w:szCs w:val="24"/>
        </w:rPr>
      </w:pPr>
      <w:r w:rsidRPr="005E2E11">
        <w:rPr>
          <w:szCs w:val="24"/>
        </w:rPr>
        <w:t>Record Closed</w:t>
      </w:r>
      <w:r w:rsidR="005E2E11" w:rsidRPr="005E2E11">
        <w:rPr>
          <w:szCs w:val="24"/>
        </w:rPr>
        <w:t>:</w:t>
      </w:r>
      <w:r w:rsidR="005E2E11" w:rsidRPr="005E2E11">
        <w:rPr>
          <w:szCs w:val="24"/>
        </w:rPr>
        <w:tab/>
      </w:r>
      <w:r w:rsidR="005E2E11" w:rsidRPr="005E2E11">
        <w:rPr>
          <w:szCs w:val="24"/>
        </w:rPr>
        <w:tab/>
      </w:r>
      <w:r w:rsidR="005E2E11" w:rsidRPr="005E2E11">
        <w:rPr>
          <w:szCs w:val="24"/>
        </w:rPr>
        <w:tab/>
      </w:r>
      <w:r w:rsidR="005E2E11" w:rsidRPr="005E2E11">
        <w:rPr>
          <w:szCs w:val="24"/>
        </w:rPr>
        <w:tab/>
      </w:r>
      <w:r w:rsidR="007F066E">
        <w:rPr>
          <w:szCs w:val="24"/>
        </w:rPr>
        <w:t>May 22</w:t>
      </w:r>
      <w:r w:rsidR="009432E7" w:rsidRPr="005E2E11">
        <w:rPr>
          <w:szCs w:val="24"/>
        </w:rPr>
        <w:t>, 2014</w:t>
      </w:r>
    </w:p>
    <w:p w:rsidR="00DE16F6" w:rsidRPr="007D6211" w:rsidRDefault="00DE16F6" w:rsidP="00805A2E">
      <w:pPr>
        <w:ind w:left="-360"/>
        <w:rPr>
          <w:sz w:val="22"/>
          <w:szCs w:val="22"/>
        </w:rPr>
      </w:pPr>
    </w:p>
    <w:p w:rsidR="00960CC0" w:rsidRPr="005E2E11" w:rsidRDefault="00F007C4" w:rsidP="00714FBA">
      <w:pPr>
        <w:pStyle w:val="Intro"/>
        <w:spacing w:before="0" w:line="240" w:lineRule="auto"/>
        <w:ind w:left="-360" w:firstLine="0"/>
        <w:rPr>
          <w:b/>
          <w:szCs w:val="24"/>
        </w:rPr>
      </w:pPr>
      <w:r w:rsidRPr="005E2E11">
        <w:rPr>
          <w:b/>
          <w:szCs w:val="24"/>
        </w:rPr>
        <w:t xml:space="preserve">IV. </w:t>
      </w:r>
      <w:r w:rsidR="00960CC0" w:rsidRPr="005E2E11">
        <w:rPr>
          <w:b/>
          <w:szCs w:val="24"/>
        </w:rPr>
        <w:t>PUBLIC COMMENTS RECEIVED IN RESPONSE TO THE PRELIMINARY</w:t>
      </w:r>
      <w:r w:rsidR="00065CDD" w:rsidRPr="005E2E11">
        <w:rPr>
          <w:b/>
          <w:szCs w:val="24"/>
        </w:rPr>
        <w:t xml:space="preserve"> </w:t>
      </w:r>
      <w:r w:rsidR="00960CC0" w:rsidRPr="005E2E11">
        <w:rPr>
          <w:b/>
          <w:szCs w:val="24"/>
        </w:rPr>
        <w:t>ANALYSIS:</w:t>
      </w:r>
    </w:p>
    <w:p w:rsidR="00960CC0" w:rsidRPr="007D6211" w:rsidRDefault="00960CC0" w:rsidP="00805A2E">
      <w:pPr>
        <w:ind w:left="-360"/>
        <w:rPr>
          <w:sz w:val="22"/>
          <w:szCs w:val="22"/>
        </w:rPr>
      </w:pPr>
    </w:p>
    <w:p w:rsidR="00960CC0" w:rsidRPr="005E2E11" w:rsidRDefault="00960CC0" w:rsidP="00805A2E">
      <w:pPr>
        <w:ind w:left="-360"/>
        <w:rPr>
          <w:szCs w:val="24"/>
        </w:rPr>
      </w:pPr>
      <w:r w:rsidRPr="005E2E11">
        <w:rPr>
          <w:szCs w:val="24"/>
        </w:rPr>
        <w:t>Following release of the Preliminary Analysis, n</w:t>
      </w:r>
      <w:r w:rsidR="00050092" w:rsidRPr="005E2E11">
        <w:rPr>
          <w:szCs w:val="24"/>
        </w:rPr>
        <w:t>o</w:t>
      </w:r>
      <w:r w:rsidRPr="005E2E11">
        <w:rPr>
          <w:szCs w:val="24"/>
        </w:rPr>
        <w:t xml:space="preserve"> public comments were </w:t>
      </w:r>
      <w:r w:rsidR="00904FDF" w:rsidRPr="005E2E11">
        <w:rPr>
          <w:szCs w:val="24"/>
        </w:rPr>
        <w:t>received</w:t>
      </w:r>
      <w:r w:rsidR="00EA3AD7">
        <w:rPr>
          <w:szCs w:val="24"/>
        </w:rPr>
        <w:t>.</w:t>
      </w:r>
    </w:p>
    <w:p w:rsidR="00E2087D" w:rsidRPr="008E1B01" w:rsidRDefault="00E2087D" w:rsidP="00805A2E">
      <w:pPr>
        <w:ind w:left="-360"/>
        <w:rPr>
          <w:sz w:val="22"/>
          <w:szCs w:val="22"/>
        </w:rPr>
      </w:pPr>
    </w:p>
    <w:p w:rsidR="00E2087D" w:rsidRPr="005E2E11" w:rsidRDefault="00F007C4" w:rsidP="00805A2E">
      <w:pPr>
        <w:tabs>
          <w:tab w:val="left" w:pos="90"/>
          <w:tab w:val="left" w:pos="180"/>
        </w:tabs>
        <w:ind w:left="-360"/>
        <w:rPr>
          <w:b/>
          <w:szCs w:val="24"/>
        </w:rPr>
      </w:pPr>
      <w:r w:rsidRPr="005E2E11">
        <w:rPr>
          <w:b/>
          <w:szCs w:val="24"/>
        </w:rPr>
        <w:t xml:space="preserve">V. </w:t>
      </w:r>
      <w:r w:rsidR="00960CC0" w:rsidRPr="005E2E11">
        <w:rPr>
          <w:b/>
          <w:szCs w:val="24"/>
        </w:rPr>
        <w:t>CONU ANALYSIS/</w:t>
      </w:r>
      <w:r w:rsidR="00C5355C" w:rsidRPr="005E2E11">
        <w:rPr>
          <w:b/>
          <w:szCs w:val="24"/>
        </w:rPr>
        <w:t xml:space="preserve">APPLICANTS </w:t>
      </w:r>
      <w:r w:rsidR="00960CC0" w:rsidRPr="005E2E11">
        <w:rPr>
          <w:b/>
          <w:szCs w:val="24"/>
        </w:rPr>
        <w:t>COMMENTS:</w:t>
      </w:r>
    </w:p>
    <w:p w:rsidR="008B3F91" w:rsidRPr="008E1B01" w:rsidRDefault="008B3F91" w:rsidP="00805A2E">
      <w:pPr>
        <w:tabs>
          <w:tab w:val="left" w:pos="180"/>
        </w:tabs>
        <w:ind w:left="-360"/>
        <w:rPr>
          <w:sz w:val="22"/>
          <w:szCs w:val="22"/>
        </w:rPr>
      </w:pPr>
    </w:p>
    <w:p w:rsidR="00886E9A" w:rsidRPr="005E2E11" w:rsidRDefault="00886E9A" w:rsidP="00714FBA">
      <w:pPr>
        <w:numPr>
          <w:ilvl w:val="0"/>
          <w:numId w:val="44"/>
        </w:numPr>
        <w:ind w:left="1440"/>
        <w:rPr>
          <w:b/>
          <w:szCs w:val="24"/>
        </w:rPr>
      </w:pPr>
      <w:r w:rsidRPr="005E2E11">
        <w:rPr>
          <w:b/>
          <w:szCs w:val="24"/>
        </w:rPr>
        <w:t>Fit, Willing and Able:</w:t>
      </w:r>
    </w:p>
    <w:p w:rsidR="007F066E" w:rsidRPr="007D6211" w:rsidRDefault="007F066E" w:rsidP="00805A2E">
      <w:pPr>
        <w:ind w:left="-360"/>
        <w:jc w:val="both"/>
        <w:rPr>
          <w:sz w:val="20"/>
        </w:rPr>
      </w:pPr>
    </w:p>
    <w:p w:rsidR="00864009" w:rsidRPr="009B19F4" w:rsidRDefault="00864009" w:rsidP="00805A2E">
      <w:pPr>
        <w:pStyle w:val="ListParagraph"/>
        <w:ind w:left="-360"/>
        <w:jc w:val="both"/>
      </w:pPr>
      <w:r w:rsidRPr="009B19F4">
        <w:t xml:space="preserve">Maple Grove Nursing Home, Inc. (MGNH) is licensed for 86 NF/SNF beds and 47 Level IV </w:t>
      </w:r>
      <w:r w:rsidR="00B71C53">
        <w:t>RCF</w:t>
      </w:r>
      <w:r w:rsidRPr="009B19F4">
        <w:t xml:space="preserve"> beds. The facility is located at 93 Military Street in Houlton, Maine. The administrator is Brenda Brown. The license was issued on July 1, 2013 and is valid from July 1, 2013 through June 30, 2014.</w:t>
      </w:r>
    </w:p>
    <w:p w:rsidR="00864009" w:rsidRPr="007D6211" w:rsidRDefault="00864009" w:rsidP="00805A2E">
      <w:pPr>
        <w:pStyle w:val="ListParagraph"/>
        <w:ind w:left="-360"/>
        <w:jc w:val="both"/>
        <w:rPr>
          <w:sz w:val="20"/>
        </w:rPr>
      </w:pPr>
    </w:p>
    <w:p w:rsidR="008F0D61" w:rsidRDefault="00864009" w:rsidP="00805A2E">
      <w:pPr>
        <w:pStyle w:val="ListParagraph"/>
        <w:ind w:left="-360"/>
        <w:jc w:val="both"/>
      </w:pPr>
      <w:r w:rsidRPr="009B19F4">
        <w:t>The appl</w:t>
      </w:r>
      <w:r w:rsidR="008F0D61">
        <w:t>icant provided a summary of MGNH</w:t>
      </w:r>
      <w:r w:rsidRPr="009B19F4">
        <w:t xml:space="preserve"> last completed survey data. </w:t>
      </w:r>
      <w:r w:rsidR="008F0D61">
        <w:t>CONU</w:t>
      </w:r>
      <w:r w:rsidRPr="009B19F4">
        <w:t xml:space="preserve"> verified this survey data utilizing the Medicare.gov website and D</w:t>
      </w:r>
      <w:r w:rsidR="008F0D61">
        <w:t xml:space="preserve">ivision of </w:t>
      </w:r>
      <w:r w:rsidRPr="009B19F4">
        <w:t>L</w:t>
      </w:r>
      <w:r w:rsidR="008F0D61">
        <w:t xml:space="preserve">icensing </w:t>
      </w:r>
      <w:r w:rsidRPr="009B19F4">
        <w:t>R</w:t>
      </w:r>
      <w:r w:rsidR="008F0D61">
        <w:t xml:space="preserve">egulatory </w:t>
      </w:r>
      <w:r w:rsidRPr="009B19F4">
        <w:t>S</w:t>
      </w:r>
      <w:r w:rsidR="008F0D61">
        <w:t>ervices</w:t>
      </w:r>
      <w:r w:rsidR="007D6211">
        <w:t xml:space="preserve"> (DLRS) </w:t>
      </w:r>
      <w:r w:rsidRPr="009B19F4">
        <w:t>files.</w:t>
      </w:r>
    </w:p>
    <w:p w:rsidR="008F0D61" w:rsidRPr="007D6211" w:rsidRDefault="008F0D61" w:rsidP="00805A2E">
      <w:pPr>
        <w:pStyle w:val="ListParagraph"/>
        <w:ind w:left="-360"/>
        <w:jc w:val="both"/>
        <w:rPr>
          <w:sz w:val="20"/>
        </w:rPr>
      </w:pPr>
    </w:p>
    <w:p w:rsidR="00864009" w:rsidRPr="009B19F4" w:rsidRDefault="00864009" w:rsidP="00805A2E">
      <w:pPr>
        <w:pStyle w:val="ListParagraph"/>
        <w:ind w:left="-360"/>
        <w:jc w:val="both"/>
      </w:pPr>
      <w:r w:rsidRPr="009B19F4">
        <w:t>This survey revealed the following ratings:</w:t>
      </w:r>
    </w:p>
    <w:p w:rsidR="00864009" w:rsidRPr="008E1B01" w:rsidRDefault="00864009" w:rsidP="00864009">
      <w:pPr>
        <w:pStyle w:val="ListParagraph"/>
        <w:ind w:left="0"/>
        <w:jc w:val="both"/>
        <w:rPr>
          <w:sz w:val="22"/>
          <w:szCs w:val="22"/>
        </w:rPr>
      </w:pPr>
    </w:p>
    <w:tbl>
      <w:tblPr>
        <w:tblW w:w="0" w:type="auto"/>
        <w:jc w:val="center"/>
        <w:tblInd w:w="-1745" w:type="dxa"/>
        <w:tblLayout w:type="fixed"/>
        <w:tblCellMar>
          <w:left w:w="30" w:type="dxa"/>
          <w:right w:w="30" w:type="dxa"/>
        </w:tblCellMar>
        <w:tblLook w:val="0000" w:firstRow="0" w:lastRow="0" w:firstColumn="0" w:lastColumn="0" w:noHBand="0" w:noVBand="0"/>
      </w:tblPr>
      <w:tblGrid>
        <w:gridCol w:w="5469"/>
        <w:gridCol w:w="3322"/>
      </w:tblGrid>
      <w:tr w:rsidR="00864009" w:rsidRPr="009B19F4" w:rsidTr="008E1B01">
        <w:trPr>
          <w:trHeight w:val="290"/>
          <w:jc w:val="center"/>
        </w:trPr>
        <w:tc>
          <w:tcPr>
            <w:tcW w:w="8791" w:type="dxa"/>
            <w:gridSpan w:val="2"/>
            <w:tcBorders>
              <w:top w:val="single" w:sz="6" w:space="0" w:color="auto"/>
              <w:left w:val="single" w:sz="6" w:space="0" w:color="auto"/>
              <w:bottom w:val="nil"/>
              <w:right w:val="single" w:sz="6" w:space="0" w:color="auto"/>
            </w:tcBorders>
          </w:tcPr>
          <w:p w:rsidR="00864009" w:rsidRPr="009B19F4" w:rsidRDefault="00864009" w:rsidP="0019504F">
            <w:pPr>
              <w:autoSpaceDE w:val="0"/>
              <w:autoSpaceDN w:val="0"/>
              <w:adjustRightInd w:val="0"/>
              <w:jc w:val="center"/>
              <w:rPr>
                <w:b/>
                <w:bCs/>
                <w:color w:val="000000"/>
              </w:rPr>
            </w:pPr>
            <w:r w:rsidRPr="009B19F4">
              <w:rPr>
                <w:b/>
                <w:bCs/>
                <w:color w:val="000000"/>
              </w:rPr>
              <w:t>Maple Grove Nursing Home, Inc.</w:t>
            </w:r>
          </w:p>
        </w:tc>
      </w:tr>
      <w:tr w:rsidR="00864009" w:rsidRPr="009B19F4" w:rsidTr="008E1B01">
        <w:trPr>
          <w:trHeight w:val="290"/>
          <w:jc w:val="center"/>
        </w:trPr>
        <w:tc>
          <w:tcPr>
            <w:tcW w:w="8791" w:type="dxa"/>
            <w:gridSpan w:val="2"/>
            <w:tcBorders>
              <w:top w:val="nil"/>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center"/>
              <w:rPr>
                <w:b/>
                <w:bCs/>
                <w:color w:val="000000"/>
              </w:rPr>
            </w:pPr>
            <w:r w:rsidRPr="009B19F4">
              <w:rPr>
                <w:b/>
                <w:bCs/>
                <w:color w:val="000000"/>
              </w:rPr>
              <w:t>Nursing Home Compare Ratings</w:t>
            </w:r>
          </w:p>
        </w:tc>
      </w:tr>
      <w:tr w:rsidR="00864009" w:rsidRPr="009B19F4" w:rsidTr="008E1B01">
        <w:trPr>
          <w:trHeight w:val="290"/>
          <w:jc w:val="center"/>
        </w:trPr>
        <w:tc>
          <w:tcPr>
            <w:tcW w:w="5469"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center"/>
              <w:rPr>
                <w:b/>
                <w:bCs/>
                <w:color w:val="000000"/>
              </w:rPr>
            </w:pPr>
            <w:r w:rsidRPr="009B19F4">
              <w:rPr>
                <w:b/>
                <w:bCs/>
                <w:color w:val="000000"/>
              </w:rPr>
              <w:t>Category</w:t>
            </w:r>
          </w:p>
        </w:tc>
        <w:tc>
          <w:tcPr>
            <w:tcW w:w="3322"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center"/>
              <w:rPr>
                <w:b/>
                <w:bCs/>
                <w:color w:val="000000"/>
              </w:rPr>
            </w:pPr>
            <w:r w:rsidRPr="009B19F4">
              <w:rPr>
                <w:b/>
                <w:bCs/>
                <w:color w:val="000000"/>
              </w:rPr>
              <w:t>Ratings</w:t>
            </w:r>
          </w:p>
        </w:tc>
      </w:tr>
      <w:tr w:rsidR="00864009" w:rsidRPr="009B19F4" w:rsidTr="008E1B01">
        <w:trPr>
          <w:trHeight w:val="290"/>
          <w:jc w:val="center"/>
        </w:trPr>
        <w:tc>
          <w:tcPr>
            <w:tcW w:w="5469"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Overall</w:t>
            </w:r>
          </w:p>
        </w:tc>
        <w:tc>
          <w:tcPr>
            <w:tcW w:w="3322"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Much Above Average</w:t>
            </w:r>
          </w:p>
        </w:tc>
      </w:tr>
      <w:tr w:rsidR="00864009" w:rsidRPr="009B19F4" w:rsidTr="008E1B01">
        <w:trPr>
          <w:trHeight w:val="290"/>
          <w:jc w:val="center"/>
        </w:trPr>
        <w:tc>
          <w:tcPr>
            <w:tcW w:w="5469"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Health Inspections</w:t>
            </w:r>
          </w:p>
        </w:tc>
        <w:tc>
          <w:tcPr>
            <w:tcW w:w="3322"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Average</w:t>
            </w:r>
          </w:p>
        </w:tc>
      </w:tr>
      <w:tr w:rsidR="00864009" w:rsidRPr="009B19F4" w:rsidTr="008E1B01">
        <w:trPr>
          <w:trHeight w:val="290"/>
          <w:jc w:val="center"/>
        </w:trPr>
        <w:tc>
          <w:tcPr>
            <w:tcW w:w="5469"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Staffing</w:t>
            </w:r>
          </w:p>
        </w:tc>
        <w:tc>
          <w:tcPr>
            <w:tcW w:w="3322"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Above Average</w:t>
            </w:r>
          </w:p>
        </w:tc>
      </w:tr>
      <w:tr w:rsidR="00864009" w:rsidRPr="009B19F4" w:rsidTr="008E1B01">
        <w:trPr>
          <w:trHeight w:val="290"/>
          <w:jc w:val="center"/>
        </w:trPr>
        <w:tc>
          <w:tcPr>
            <w:tcW w:w="5469"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Quality Ratings</w:t>
            </w:r>
          </w:p>
        </w:tc>
        <w:tc>
          <w:tcPr>
            <w:tcW w:w="3322" w:type="dxa"/>
            <w:tcBorders>
              <w:top w:val="single" w:sz="6" w:space="0" w:color="auto"/>
              <w:left w:val="single" w:sz="6" w:space="0" w:color="auto"/>
              <w:bottom w:val="single" w:sz="6" w:space="0" w:color="auto"/>
              <w:right w:val="single" w:sz="6" w:space="0" w:color="auto"/>
            </w:tcBorders>
          </w:tcPr>
          <w:p w:rsidR="00864009" w:rsidRPr="009B19F4" w:rsidRDefault="00864009" w:rsidP="0019504F">
            <w:pPr>
              <w:autoSpaceDE w:val="0"/>
              <w:autoSpaceDN w:val="0"/>
              <w:adjustRightInd w:val="0"/>
              <w:jc w:val="both"/>
              <w:rPr>
                <w:color w:val="000000"/>
              </w:rPr>
            </w:pPr>
            <w:r w:rsidRPr="009B19F4">
              <w:rPr>
                <w:color w:val="000000"/>
              </w:rPr>
              <w:t>Much Above Average</w:t>
            </w:r>
          </w:p>
        </w:tc>
      </w:tr>
    </w:tbl>
    <w:p w:rsidR="000F6EB1" w:rsidRDefault="000F6EB1" w:rsidP="00805A2E">
      <w:pPr>
        <w:ind w:left="-360"/>
        <w:jc w:val="both"/>
      </w:pPr>
    </w:p>
    <w:p w:rsidR="00864009" w:rsidRPr="009B19F4" w:rsidRDefault="00864009" w:rsidP="00805A2E">
      <w:pPr>
        <w:ind w:left="-360"/>
        <w:jc w:val="both"/>
      </w:pPr>
      <w:r w:rsidRPr="009B19F4">
        <w:t xml:space="preserve">MGNH scored “Average” or above in all four categories rated by CMS with an overall rating of “Much Above Average”. The last recertification survey was conducted </w:t>
      </w:r>
      <w:r w:rsidR="00555F55">
        <w:t xml:space="preserve">on November 20, </w:t>
      </w:r>
      <w:r w:rsidRPr="009B19F4">
        <w:t>2013. The result of the survey was the identification of two deficiencies. Both deficiencies were Level 2 (minimal harm or potential for actual harm). The average number of health deficiencies identified during a recertification survey in Maine is 4.3 and the average number of health deficiencies in the United States is 6.8.</w:t>
      </w:r>
    </w:p>
    <w:p w:rsidR="00864009" w:rsidRPr="009B19F4" w:rsidRDefault="00864009" w:rsidP="00B47E59">
      <w:pPr>
        <w:pStyle w:val="NoSpacing"/>
      </w:pPr>
    </w:p>
    <w:p w:rsidR="000F6EB1" w:rsidRDefault="000F6EB1" w:rsidP="00805A2E">
      <w:pPr>
        <w:ind w:left="-360"/>
        <w:jc w:val="both"/>
        <w:sectPr w:rsidR="000F6EB1" w:rsidSect="0019504F">
          <w:headerReference w:type="default" r:id="rId11"/>
          <w:footerReference w:type="default" r:id="rId12"/>
          <w:pgSz w:w="12240" w:h="15840"/>
          <w:pgMar w:top="1440" w:right="1080" w:bottom="1440" w:left="1800" w:header="720" w:footer="720" w:gutter="0"/>
          <w:cols w:space="720"/>
          <w:docGrid w:linePitch="360"/>
        </w:sectPr>
      </w:pPr>
    </w:p>
    <w:p w:rsidR="00864009" w:rsidRPr="009B19F4" w:rsidRDefault="00864009" w:rsidP="00805A2E">
      <w:pPr>
        <w:ind w:left="-360"/>
        <w:jc w:val="both"/>
      </w:pPr>
      <w:r w:rsidRPr="009B19F4">
        <w:lastRenderedPageBreak/>
        <w:t>Inspectors determined that the nursing home failed to:</w:t>
      </w:r>
    </w:p>
    <w:p w:rsidR="00864009" w:rsidRPr="009B19F4" w:rsidRDefault="00864009" w:rsidP="00B47E59">
      <w:pPr>
        <w:pStyle w:val="NoSpacing"/>
      </w:pPr>
    </w:p>
    <w:p w:rsidR="00864009" w:rsidRPr="009B19F4" w:rsidRDefault="00864009" w:rsidP="00805A2E">
      <w:pPr>
        <w:ind w:left="900" w:hanging="720"/>
        <w:jc w:val="both"/>
      </w:pPr>
      <w:r w:rsidRPr="009B19F4">
        <w:rPr>
          <w:b/>
        </w:rPr>
        <w:t>1)</w:t>
      </w:r>
      <w:r w:rsidRPr="009B19F4">
        <w:tab/>
        <w:t>Ensure that garbage and refuse were disposed of in a manner to prevent pest infestation for 3 out of 3 survey days for 2 out of 3 dumpsters.</w:t>
      </w:r>
    </w:p>
    <w:p w:rsidR="00864009" w:rsidRPr="009B19F4" w:rsidRDefault="00864009" w:rsidP="00B47E59">
      <w:pPr>
        <w:pStyle w:val="NoSpacing"/>
      </w:pPr>
    </w:p>
    <w:p w:rsidR="00864009" w:rsidRPr="009B19F4" w:rsidRDefault="00864009" w:rsidP="00805A2E">
      <w:pPr>
        <w:ind w:left="900" w:hanging="720"/>
        <w:jc w:val="both"/>
      </w:pPr>
      <w:r w:rsidRPr="009B19F4">
        <w:rPr>
          <w:b/>
        </w:rPr>
        <w:t>2)</w:t>
      </w:r>
      <w:r w:rsidRPr="009B19F4">
        <w:tab/>
        <w:t>Ensure that expired medications were removed from use on 2 out of 2 medication carts and from 1 of 1 medication storage rooms.</w:t>
      </w:r>
    </w:p>
    <w:p w:rsidR="00864009" w:rsidRPr="00B47E59" w:rsidRDefault="00864009" w:rsidP="00B47E59">
      <w:pPr>
        <w:pStyle w:val="NoSpacing"/>
      </w:pPr>
    </w:p>
    <w:p w:rsidR="00864009" w:rsidRPr="009B19F4" w:rsidRDefault="00864009" w:rsidP="00805A2E">
      <w:pPr>
        <w:ind w:left="-360"/>
        <w:jc w:val="both"/>
      </w:pPr>
      <w:r w:rsidRPr="009B19F4">
        <w:t>All d</w:t>
      </w:r>
      <w:r w:rsidR="00555F55">
        <w:t xml:space="preserve">eficiencies were corrected by November 21, </w:t>
      </w:r>
      <w:r w:rsidRPr="009B19F4">
        <w:t>2013.</w:t>
      </w:r>
    </w:p>
    <w:p w:rsidR="00864009" w:rsidRPr="009B19F4" w:rsidRDefault="00864009" w:rsidP="00B47E59">
      <w:pPr>
        <w:pStyle w:val="NoSpacing"/>
      </w:pPr>
    </w:p>
    <w:p w:rsidR="00864009" w:rsidRPr="009B19F4" w:rsidRDefault="00864009" w:rsidP="00805A2E">
      <w:pPr>
        <w:ind w:left="-360"/>
        <w:jc w:val="both"/>
      </w:pPr>
      <w:r w:rsidRPr="009B19F4">
        <w:t xml:space="preserve">On December 23, 2013 a complaint survey was conducted and inspectors determined </w:t>
      </w:r>
      <w:r>
        <w:t>that the nursing home failed to</w:t>
      </w:r>
      <w:r w:rsidRPr="009B19F4">
        <w:t>:</w:t>
      </w:r>
    </w:p>
    <w:p w:rsidR="00864009" w:rsidRPr="009B19F4" w:rsidRDefault="00864009" w:rsidP="00805A2E">
      <w:pPr>
        <w:ind w:left="-360"/>
        <w:jc w:val="both"/>
      </w:pPr>
    </w:p>
    <w:p w:rsidR="00864009" w:rsidRPr="009B19F4" w:rsidRDefault="00864009" w:rsidP="00805A2E">
      <w:pPr>
        <w:ind w:left="900" w:hanging="675"/>
        <w:jc w:val="both"/>
      </w:pPr>
      <w:r w:rsidRPr="009B19F4">
        <w:rPr>
          <w:b/>
        </w:rPr>
        <w:t>1)</w:t>
      </w:r>
      <w:r w:rsidRPr="009B19F4">
        <w:tab/>
        <w:t>Ensure staff notified a legal guardian of changes in m</w:t>
      </w:r>
      <w:r w:rsidR="00555F55">
        <w:t xml:space="preserve">edications and treatments for </w:t>
      </w:r>
      <w:r w:rsidRPr="009B19F4">
        <w:t>2 out of 5 residents.</w:t>
      </w:r>
    </w:p>
    <w:p w:rsidR="00864009" w:rsidRPr="009B19F4" w:rsidRDefault="00864009" w:rsidP="00805A2E">
      <w:pPr>
        <w:ind w:left="-360"/>
        <w:jc w:val="both"/>
      </w:pPr>
    </w:p>
    <w:p w:rsidR="00864009" w:rsidRPr="009B19F4" w:rsidRDefault="00864009" w:rsidP="00805A2E">
      <w:pPr>
        <w:ind w:left="-360"/>
        <w:jc w:val="both"/>
      </w:pPr>
      <w:r w:rsidRPr="009B19F4">
        <w:t>Thi</w:t>
      </w:r>
      <w:r w:rsidR="00555F55">
        <w:t xml:space="preserve">s deficiency was corrected on January 22, </w:t>
      </w:r>
      <w:r w:rsidRPr="009B19F4">
        <w:t>2014.</w:t>
      </w:r>
    </w:p>
    <w:p w:rsidR="00864009" w:rsidRPr="009B19F4" w:rsidRDefault="00864009" w:rsidP="00805A2E">
      <w:pPr>
        <w:ind w:left="-360"/>
        <w:jc w:val="both"/>
      </w:pPr>
    </w:p>
    <w:p w:rsidR="00864009" w:rsidRPr="009B19F4" w:rsidRDefault="00864009" w:rsidP="00805A2E">
      <w:pPr>
        <w:ind w:left="-360"/>
        <w:jc w:val="both"/>
      </w:pPr>
      <w:r w:rsidRPr="009B19F4">
        <w:t>Survey data for this facility can be accessed at Medicare.gov or at</w:t>
      </w:r>
      <w:r w:rsidR="00B71C53">
        <w:t xml:space="preserve"> the</w:t>
      </w:r>
      <w:r w:rsidRPr="009B19F4">
        <w:t xml:space="preserve"> D</w:t>
      </w:r>
      <w:r w:rsidR="008F0D61">
        <w:t xml:space="preserve">epartment of </w:t>
      </w:r>
      <w:r w:rsidRPr="009B19F4">
        <w:t>H</w:t>
      </w:r>
      <w:r w:rsidR="008F0D61">
        <w:t xml:space="preserve">ealth </w:t>
      </w:r>
      <w:r w:rsidR="00B71C53">
        <w:t xml:space="preserve">and </w:t>
      </w:r>
      <w:r w:rsidRPr="009B19F4">
        <w:t>H</w:t>
      </w:r>
      <w:r w:rsidR="008F0D61">
        <w:t xml:space="preserve">uman </w:t>
      </w:r>
      <w:r w:rsidRPr="009B19F4">
        <w:t>S</w:t>
      </w:r>
      <w:r w:rsidR="008F0D61">
        <w:t>ervices</w:t>
      </w:r>
      <w:r w:rsidR="007D6211">
        <w:t xml:space="preserve"> (DHHS)</w:t>
      </w:r>
      <w:r w:rsidR="008F0D61">
        <w:t>,</w:t>
      </w:r>
      <w:r w:rsidRPr="009B19F4">
        <w:t xml:space="preserve"> </w:t>
      </w:r>
      <w:r w:rsidR="007D6211">
        <w:t>DLRS</w:t>
      </w:r>
      <w:r w:rsidRPr="009B19F4">
        <w:t xml:space="preserve"> and is on file at </w:t>
      </w:r>
      <w:r w:rsidR="007D6211">
        <w:t>CONU</w:t>
      </w:r>
      <w:r w:rsidRPr="009B19F4">
        <w:t>.</w:t>
      </w:r>
    </w:p>
    <w:p w:rsidR="00864009" w:rsidRPr="009B19F4" w:rsidRDefault="00864009" w:rsidP="00805A2E">
      <w:pPr>
        <w:ind w:left="-360"/>
        <w:jc w:val="both"/>
      </w:pPr>
    </w:p>
    <w:p w:rsidR="00864009" w:rsidRPr="009B19F4" w:rsidRDefault="00864009" w:rsidP="00805A2E">
      <w:pPr>
        <w:ind w:left="-360"/>
        <w:jc w:val="both"/>
      </w:pPr>
      <w:r w:rsidRPr="009B19F4">
        <w:t>The commissioner can rely on data available to the department regarding the quality of health care provided by the applica</w:t>
      </w:r>
      <w:r>
        <w:t>nt as allowed at M.R.S. 22 §337</w:t>
      </w:r>
      <w:r w:rsidRPr="009B19F4">
        <w:t>(3).</w:t>
      </w:r>
    </w:p>
    <w:p w:rsidR="00864009" w:rsidRPr="009B19F4" w:rsidRDefault="00864009" w:rsidP="00805A2E">
      <w:pPr>
        <w:ind w:left="-360"/>
        <w:rPr>
          <w:b/>
        </w:rPr>
      </w:pPr>
    </w:p>
    <w:p w:rsidR="00864009" w:rsidRPr="009B19F4" w:rsidRDefault="00864009" w:rsidP="00805A2E">
      <w:pPr>
        <w:ind w:left="-360"/>
        <w:rPr>
          <w:b/>
        </w:rPr>
      </w:pPr>
      <w:r w:rsidRPr="009B19F4">
        <w:rPr>
          <w:b/>
        </w:rPr>
        <w:t>Deeming of Standard</w:t>
      </w:r>
    </w:p>
    <w:p w:rsidR="00864009" w:rsidRPr="00BD7CA2" w:rsidRDefault="00864009" w:rsidP="00805A2E">
      <w:pPr>
        <w:ind w:left="-360"/>
        <w:rPr>
          <w:szCs w:val="24"/>
        </w:rPr>
      </w:pPr>
    </w:p>
    <w:p w:rsidR="00864009" w:rsidRPr="009B19F4" w:rsidRDefault="00B71C53" w:rsidP="00805A2E">
      <w:pPr>
        <w:ind w:left="-360"/>
        <w:jc w:val="both"/>
      </w:pPr>
      <w:r>
        <w:t>As provided for at 22 M.R.S. §</w:t>
      </w:r>
      <w:r w:rsidR="00864009" w:rsidRPr="009B19F4">
        <w:t>335 (7</w:t>
      </w:r>
      <w:proofErr w:type="gramStart"/>
      <w:r w:rsidR="00864009" w:rsidRPr="009B19F4">
        <w:t>)(</w:t>
      </w:r>
      <w:proofErr w:type="gramEnd"/>
      <w:r w:rsidR="00864009" w:rsidRPr="009B19F4">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864009" w:rsidRPr="009B19F4" w:rsidRDefault="00864009" w:rsidP="00805A2E">
      <w:pPr>
        <w:ind w:left="-360"/>
      </w:pPr>
    </w:p>
    <w:p w:rsidR="00864009" w:rsidRDefault="00864009" w:rsidP="00805A2E">
      <w:pPr>
        <w:ind w:left="-360"/>
        <w:jc w:val="both"/>
      </w:pPr>
      <w:r w:rsidRPr="009B19F4">
        <w:t>MGNH has been under the ownership of the Brown family since 1972 and has been a provider of both SNF/NF beds and Level IV Residential Care beds for decades. The services provided by the applicant are consistent with applicable licensing and certification standards.</w:t>
      </w:r>
    </w:p>
    <w:p w:rsidR="000F6EB1" w:rsidRDefault="000F6EB1" w:rsidP="00494BCF">
      <w:pPr>
        <w:ind w:left="-360"/>
        <w:jc w:val="both"/>
        <w:rPr>
          <w:b/>
        </w:rPr>
      </w:pPr>
    </w:p>
    <w:p w:rsidR="00494BCF" w:rsidRPr="00494BCF" w:rsidRDefault="00494BCF" w:rsidP="00494BCF">
      <w:pPr>
        <w:ind w:left="-360"/>
        <w:jc w:val="both"/>
        <w:rPr>
          <w:b/>
        </w:rPr>
      </w:pPr>
      <w:r w:rsidRPr="00494BCF">
        <w:rPr>
          <w:b/>
        </w:rPr>
        <w:t>Change of Ownership</w:t>
      </w:r>
    </w:p>
    <w:p w:rsidR="00494BCF" w:rsidRPr="00494BCF" w:rsidRDefault="00494BCF" w:rsidP="00494BCF">
      <w:pPr>
        <w:ind w:left="-360"/>
        <w:jc w:val="both"/>
        <w:rPr>
          <w:b/>
        </w:rPr>
      </w:pPr>
    </w:p>
    <w:p w:rsidR="003C315B" w:rsidRDefault="00494BCF" w:rsidP="00494BCF">
      <w:pPr>
        <w:ind w:left="-360"/>
        <w:jc w:val="both"/>
        <w:sectPr w:rsidR="003C315B" w:rsidSect="0019504F">
          <w:footerReference w:type="default" r:id="rId13"/>
          <w:pgSz w:w="12240" w:h="15840"/>
          <w:pgMar w:top="1440" w:right="1080" w:bottom="1440" w:left="1800" w:header="720" w:footer="720" w:gutter="0"/>
          <w:cols w:space="720"/>
          <w:docGrid w:linePitch="360"/>
        </w:sectPr>
      </w:pPr>
      <w:r w:rsidRPr="00494BCF">
        <w:t xml:space="preserve">On April 5, 2013 Brenda Brown transferred 90 shares of her stock to James W. Brown and 90 shares of her stock to Deborah L. Fitzpatrick. Maple Grove Nursing d/b/a Madigan Estates failed to seek CON approval as required under Section 329(1) of the Maine Certificate of Need Act of 2002, as amended. After consultation with the Attorney General’s Office and DHHS management, CONU has determined that this transaction can be reviewed in conjunction with the proposal to add beds. This decision was reached since the applicant has supplied all relevant information necessary to analyze this </w:t>
      </w:r>
      <w:r w:rsidR="00EA3AD7">
        <w:t xml:space="preserve">subsequent </w:t>
      </w:r>
      <w:r w:rsidRPr="00494BCF">
        <w:t xml:space="preserve">transaction. </w:t>
      </w:r>
      <w:r w:rsidR="00EA3AD7">
        <w:t xml:space="preserve">Because of the </w:t>
      </w:r>
      <w:r w:rsidR="00B71C53">
        <w:t>length of</w:t>
      </w:r>
      <w:r w:rsidR="00EA3AD7">
        <w:t xml:space="preserve"> time that has </w:t>
      </w:r>
      <w:r w:rsidR="00B71C53">
        <w:t>elapsed</w:t>
      </w:r>
      <w:r w:rsidR="00EA3AD7">
        <w:t xml:space="preserve"> between the initial infraction and the discovery</w:t>
      </w:r>
      <w:r w:rsidR="00B71C53">
        <w:t>,</w:t>
      </w:r>
      <w:r w:rsidR="00EA3AD7">
        <w:t xml:space="preserve"> it falls beyond the statute of limitations.  </w:t>
      </w:r>
      <w:r w:rsidRPr="00494BCF">
        <w:t xml:space="preserve">Both James W. Brown and Deborah L. Fitzpatrick currently work in senior management positions at Madigan Estates. </w:t>
      </w:r>
    </w:p>
    <w:p w:rsidR="00EC5B1E" w:rsidRPr="005E2E11" w:rsidRDefault="00EC5B1E" w:rsidP="00805A2E">
      <w:pPr>
        <w:numPr>
          <w:ilvl w:val="0"/>
          <w:numId w:val="44"/>
        </w:numPr>
        <w:ind w:left="1440"/>
        <w:rPr>
          <w:szCs w:val="24"/>
        </w:rPr>
      </w:pPr>
      <w:r w:rsidRPr="005E2E11">
        <w:rPr>
          <w:b/>
          <w:szCs w:val="24"/>
        </w:rPr>
        <w:t>Economic Feasibility</w:t>
      </w:r>
      <w:r w:rsidRPr="005E2E11">
        <w:rPr>
          <w:szCs w:val="24"/>
        </w:rPr>
        <w:t>:</w:t>
      </w:r>
    </w:p>
    <w:p w:rsidR="004951B4" w:rsidRPr="005E2E11" w:rsidRDefault="004951B4" w:rsidP="00805A2E">
      <w:pPr>
        <w:ind w:left="-360"/>
        <w:jc w:val="both"/>
        <w:rPr>
          <w:szCs w:val="24"/>
        </w:rPr>
      </w:pPr>
    </w:p>
    <w:p w:rsidR="00864009" w:rsidRPr="009B19F4" w:rsidRDefault="00864009" w:rsidP="00805A2E">
      <w:pPr>
        <w:ind w:left="-360"/>
        <w:jc w:val="both"/>
      </w:pPr>
      <w:r w:rsidRPr="009B19F4">
        <w:t>The applicant provided a pro-forma cost report that represents the change in the provided service level. The applicant is proposing to add an a</w:t>
      </w:r>
      <w:r w:rsidR="00555F55">
        <w:t xml:space="preserve">dditional </w:t>
      </w:r>
      <w:r w:rsidR="00EA3AD7">
        <w:t>thirteen</w:t>
      </w:r>
      <w:r w:rsidR="00555F55">
        <w:t xml:space="preserve"> SNF/NF beds. </w:t>
      </w:r>
      <w:r w:rsidRPr="009B19F4">
        <w:t>The pro-forma cost report includes the applicants projections of increased staffing levels required to perform the services required by the occupants of the additional SNF/NF beds. CONU reviewed the underlying assumptions used in the preparation of this cost report regarding financing, construction budgets, depreciation/amortization expense and projected payor mix and found them reasonable. Future reimbursement will ultimately be determined by DHHS Rate Setting and DHH</w:t>
      </w:r>
      <w:r w:rsidR="00B71C53">
        <w:t xml:space="preserve">S Audit. The increase in SNF/NF, </w:t>
      </w:r>
      <w:r w:rsidRPr="009B19F4">
        <w:t xml:space="preserve">care as well as the analysis of need located in Section IV of this </w:t>
      </w:r>
      <w:proofErr w:type="gramStart"/>
      <w:r w:rsidRPr="009B19F4">
        <w:t>analysis</w:t>
      </w:r>
      <w:r w:rsidR="00B71C53">
        <w:t>,</w:t>
      </w:r>
      <w:proofErr w:type="gramEnd"/>
      <w:r w:rsidRPr="009B19F4">
        <w:t xml:space="preserve"> supports the applicants’ assertion that this project is financially feasible and will maintain the financial stability of this facility.</w:t>
      </w:r>
    </w:p>
    <w:p w:rsidR="00864009" w:rsidRPr="00BD7CA2" w:rsidRDefault="00864009" w:rsidP="00805A2E">
      <w:pPr>
        <w:ind w:left="-360"/>
        <w:jc w:val="both"/>
        <w:rPr>
          <w:b/>
          <w:szCs w:val="24"/>
          <w:u w:val="single"/>
        </w:rPr>
      </w:pPr>
    </w:p>
    <w:p w:rsidR="00864009" w:rsidRPr="009B19F4" w:rsidRDefault="00B71C53" w:rsidP="00805A2E">
      <w:pPr>
        <w:ind w:left="-360"/>
        <w:jc w:val="both"/>
      </w:pPr>
      <w:r>
        <w:t>CONU</w:t>
      </w:r>
      <w:r w:rsidR="00864009" w:rsidRPr="009B19F4">
        <w:t xml:space="preserve"> is not aware of any imminent or proposed changes in laws and regulations that would impact the project, except for federal health care reform </w:t>
      </w:r>
      <w:r>
        <w:t>as part of the Affordable Care A</w:t>
      </w:r>
      <w:r w:rsidR="00864009" w:rsidRPr="009B19F4">
        <w:t xml:space="preserve">ct (ACA). The impact of health reform as part of the ACA has not been determined. </w:t>
      </w:r>
    </w:p>
    <w:p w:rsidR="00864009" w:rsidRPr="007A565D" w:rsidRDefault="00864009" w:rsidP="00805A2E">
      <w:pPr>
        <w:ind w:left="-360"/>
        <w:jc w:val="both"/>
        <w:rPr>
          <w:sz w:val="16"/>
          <w:szCs w:val="16"/>
        </w:rPr>
      </w:pPr>
    </w:p>
    <w:p w:rsidR="00864009" w:rsidRPr="004D716B" w:rsidRDefault="00864009" w:rsidP="00805A2E">
      <w:pPr>
        <w:ind w:left="-360"/>
        <w:jc w:val="both"/>
        <w:rPr>
          <w:b/>
        </w:rPr>
      </w:pPr>
      <w:r w:rsidRPr="004D716B">
        <w:rPr>
          <w:b/>
        </w:rPr>
        <w:t>Deeming of Standard</w:t>
      </w:r>
    </w:p>
    <w:p w:rsidR="00864009" w:rsidRPr="00BD7CA2" w:rsidRDefault="00864009" w:rsidP="00805A2E">
      <w:pPr>
        <w:ind w:left="-360"/>
        <w:jc w:val="both"/>
        <w:rPr>
          <w:b/>
          <w:szCs w:val="24"/>
          <w:u w:val="single"/>
        </w:rPr>
      </w:pPr>
    </w:p>
    <w:p w:rsidR="00864009" w:rsidRPr="009B19F4" w:rsidRDefault="00864009" w:rsidP="00805A2E">
      <w:pPr>
        <w:ind w:left="-360"/>
        <w:jc w:val="both"/>
      </w:pPr>
      <w:r w:rsidRPr="009B19F4">
        <w:t xml:space="preserve">As </w:t>
      </w:r>
      <w:r w:rsidR="00B71C53">
        <w:t>provided for at 22 M.R.S. §</w:t>
      </w:r>
      <w:r w:rsidR="00555F55">
        <w:t>335</w:t>
      </w:r>
      <w:r w:rsidRPr="009B19F4">
        <w:t>(7</w:t>
      </w:r>
      <w:proofErr w:type="gramStart"/>
      <w:r w:rsidRPr="009B19F4">
        <w:t>)(</w:t>
      </w:r>
      <w:proofErr w:type="gramEnd"/>
      <w:r w:rsidRPr="009B19F4">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864009" w:rsidRPr="00BD7CA2" w:rsidRDefault="00864009" w:rsidP="00805A2E">
      <w:pPr>
        <w:ind w:left="-360"/>
        <w:jc w:val="both"/>
        <w:rPr>
          <w:szCs w:val="24"/>
        </w:rPr>
      </w:pPr>
    </w:p>
    <w:p w:rsidR="00864009" w:rsidRDefault="00864009" w:rsidP="00805A2E">
      <w:pPr>
        <w:ind w:left="-360"/>
        <w:jc w:val="both"/>
      </w:pPr>
      <w:r w:rsidRPr="009B19F4">
        <w:t>The applicant has operated a mixed level of care facility with a total of 133 beds (86 SNF/NF and 47 RCF). If this application were to be approved the applicant would be operating a mixed level of care facility with 14</w:t>
      </w:r>
      <w:r w:rsidR="00EA3AD7">
        <w:t>6</w:t>
      </w:r>
      <w:r w:rsidRPr="009B19F4">
        <w:t xml:space="preserve"> beds (</w:t>
      </w:r>
      <w:r w:rsidR="00EA3AD7">
        <w:t>99</w:t>
      </w:r>
      <w:r w:rsidRPr="009B19F4">
        <w:t xml:space="preserve"> SNF/NF and </w:t>
      </w:r>
      <w:r w:rsidR="00EA3AD7">
        <w:t>47</w:t>
      </w:r>
      <w:r w:rsidRPr="009B19F4">
        <w:t xml:space="preserve"> RCF). The operations ar</w:t>
      </w:r>
      <w:r w:rsidR="00555F55">
        <w:t xml:space="preserve">e of a similar size and scope. </w:t>
      </w:r>
      <w:r w:rsidRPr="009B19F4">
        <w:t>Schedule L of the applicants pro forma cost report demonstrates the need for additional nursing staff to handle the increase in the SNF/NF census.</w:t>
      </w:r>
    </w:p>
    <w:p w:rsidR="004951B4" w:rsidRPr="005E2E11" w:rsidRDefault="004951B4" w:rsidP="00805A2E">
      <w:pPr>
        <w:ind w:left="-360"/>
        <w:jc w:val="both"/>
        <w:rPr>
          <w:szCs w:val="24"/>
        </w:rPr>
      </w:pPr>
    </w:p>
    <w:p w:rsidR="007660E9" w:rsidRPr="005E2E11" w:rsidRDefault="00B92D52" w:rsidP="00805A2E">
      <w:pPr>
        <w:numPr>
          <w:ilvl w:val="0"/>
          <w:numId w:val="44"/>
        </w:numPr>
        <w:ind w:left="1440"/>
        <w:rPr>
          <w:b/>
          <w:szCs w:val="24"/>
        </w:rPr>
      </w:pPr>
      <w:r w:rsidRPr="005E2E11">
        <w:rPr>
          <w:b/>
          <w:szCs w:val="24"/>
        </w:rPr>
        <w:t>Public Need:</w:t>
      </w:r>
    </w:p>
    <w:p w:rsidR="004951B4" w:rsidRPr="00752871" w:rsidRDefault="004951B4" w:rsidP="00805A2E">
      <w:pPr>
        <w:ind w:left="-360"/>
        <w:rPr>
          <w:b/>
          <w:sz w:val="16"/>
          <w:szCs w:val="16"/>
        </w:rPr>
      </w:pPr>
    </w:p>
    <w:p w:rsidR="00864009" w:rsidRPr="009B19F4" w:rsidRDefault="00864009" w:rsidP="00805A2E">
      <w:pPr>
        <w:ind w:left="-360"/>
        <w:jc w:val="both"/>
      </w:pPr>
      <w:r w:rsidRPr="009B19F4">
        <w:t xml:space="preserve">In order to determine public need, CONU analyzed demographic and service use trends in MGNH service area (Aroostook County, Maine). CONU utilized the </w:t>
      </w:r>
      <w:r w:rsidRPr="009B19F4">
        <w:rPr>
          <w:u w:val="single"/>
        </w:rPr>
        <w:t>Older Adults with Physical</w:t>
      </w:r>
      <w:r w:rsidRPr="009B19F4">
        <w:t xml:space="preserve"> </w:t>
      </w:r>
      <w:r w:rsidRPr="009B19F4">
        <w:rPr>
          <w:u w:val="single"/>
        </w:rPr>
        <w:t>Disabilities: Population and Service Use Trends in Maine, 2012 Edition</w:t>
      </w:r>
      <w:r w:rsidRPr="009B19F4">
        <w:t>, prepared by the Muskie School of Public Service and the U.S. Census Bureau’s website located at</w:t>
      </w:r>
      <w:r>
        <w:t xml:space="preserve"> </w:t>
      </w:r>
      <w:hyperlink r:id="rId14" w:history="1">
        <w:r w:rsidRPr="009B19F4">
          <w:rPr>
            <w:rStyle w:val="Hyperlink"/>
          </w:rPr>
          <w:t>http://quickfacts.census.gov</w:t>
        </w:r>
      </w:hyperlink>
      <w:r w:rsidRPr="009B19F4">
        <w:t>.</w:t>
      </w:r>
    </w:p>
    <w:p w:rsidR="00864009" w:rsidRPr="00752871" w:rsidRDefault="00864009" w:rsidP="00805A2E">
      <w:pPr>
        <w:ind w:left="-360"/>
        <w:jc w:val="both"/>
        <w:rPr>
          <w:sz w:val="16"/>
          <w:szCs w:val="16"/>
        </w:rPr>
      </w:pPr>
    </w:p>
    <w:p w:rsidR="000F6EB1" w:rsidRDefault="000F6EB1" w:rsidP="00805A2E">
      <w:pPr>
        <w:ind w:left="-360"/>
        <w:jc w:val="both"/>
        <w:sectPr w:rsidR="000F6EB1" w:rsidSect="0019504F">
          <w:footerReference w:type="default" r:id="rId15"/>
          <w:pgSz w:w="12240" w:h="15840"/>
          <w:pgMar w:top="1440" w:right="1080" w:bottom="1440" w:left="1800" w:header="720" w:footer="720" w:gutter="0"/>
          <w:cols w:space="720"/>
          <w:docGrid w:linePitch="360"/>
        </w:sectPr>
      </w:pPr>
    </w:p>
    <w:p w:rsidR="00864009" w:rsidRDefault="00864009" w:rsidP="00805A2E">
      <w:pPr>
        <w:ind w:left="-360"/>
        <w:jc w:val="both"/>
      </w:pPr>
      <w:r w:rsidRPr="009B19F4">
        <w:t>Aroostook County Maine is the largest county east of the Mississippi and is larger than Connecticut and Rhode Island combined. The population is 71,757 with 13,712 people (or over 19%) of the population in the 65 or over age group. This population is the primary consumer of nursing and residential care services. The breakdown of this population by age group and projected growth is contained in the following table:</w:t>
      </w:r>
    </w:p>
    <w:p w:rsidR="008A0BED" w:rsidRPr="00752871" w:rsidRDefault="008A0BED" w:rsidP="00805A2E">
      <w:pPr>
        <w:ind w:left="-360"/>
        <w:jc w:val="both"/>
        <w:rPr>
          <w:sz w:val="16"/>
          <w:szCs w:val="16"/>
        </w:rPr>
      </w:pPr>
    </w:p>
    <w:tbl>
      <w:tblPr>
        <w:tblStyle w:val="TableGrid"/>
        <w:tblW w:w="0" w:type="auto"/>
        <w:tblInd w:w="-252" w:type="dxa"/>
        <w:tblLook w:val="04A0" w:firstRow="1" w:lastRow="0" w:firstColumn="1" w:lastColumn="0" w:noHBand="0" w:noVBand="1"/>
      </w:tblPr>
      <w:tblGrid>
        <w:gridCol w:w="3240"/>
        <w:gridCol w:w="2700"/>
        <w:gridCol w:w="1710"/>
        <w:gridCol w:w="2070"/>
      </w:tblGrid>
      <w:tr w:rsidR="00864009" w:rsidTr="00805A2E">
        <w:tc>
          <w:tcPr>
            <w:tcW w:w="3240" w:type="dxa"/>
          </w:tcPr>
          <w:p w:rsidR="00805A2E" w:rsidRDefault="00864009" w:rsidP="009011AA">
            <w:pPr>
              <w:ind w:left="-360"/>
              <w:jc w:val="center"/>
              <w:rPr>
                <w:b/>
              </w:rPr>
            </w:pPr>
            <w:r w:rsidRPr="00FD7A27">
              <w:rPr>
                <w:b/>
              </w:rPr>
              <w:t>Aroostook County Age</w:t>
            </w:r>
          </w:p>
          <w:p w:rsidR="00864009" w:rsidRPr="00FD7A27" w:rsidRDefault="00864009" w:rsidP="009011AA">
            <w:pPr>
              <w:ind w:left="-360"/>
              <w:jc w:val="center"/>
              <w:rPr>
                <w:b/>
              </w:rPr>
            </w:pPr>
            <w:r w:rsidRPr="00FD7A27">
              <w:rPr>
                <w:b/>
              </w:rPr>
              <w:t>Group</w:t>
            </w:r>
          </w:p>
        </w:tc>
        <w:tc>
          <w:tcPr>
            <w:tcW w:w="2700" w:type="dxa"/>
          </w:tcPr>
          <w:p w:rsidR="00805A2E" w:rsidRDefault="00864009" w:rsidP="00805A2E">
            <w:pPr>
              <w:ind w:left="-360"/>
              <w:jc w:val="center"/>
              <w:rPr>
                <w:b/>
              </w:rPr>
            </w:pPr>
            <w:r w:rsidRPr="00FD7A27">
              <w:rPr>
                <w:b/>
              </w:rPr>
              <w:t xml:space="preserve">2012 Current </w:t>
            </w:r>
          </w:p>
          <w:p w:rsidR="00864009" w:rsidRPr="00FD7A27" w:rsidRDefault="00864009" w:rsidP="00805A2E">
            <w:pPr>
              <w:ind w:left="-360"/>
              <w:jc w:val="center"/>
              <w:rPr>
                <w:b/>
              </w:rPr>
            </w:pPr>
            <w:r w:rsidRPr="00FD7A27">
              <w:rPr>
                <w:b/>
              </w:rPr>
              <w:t>Population</w:t>
            </w:r>
          </w:p>
        </w:tc>
        <w:tc>
          <w:tcPr>
            <w:tcW w:w="1710" w:type="dxa"/>
          </w:tcPr>
          <w:p w:rsidR="00805A2E" w:rsidRDefault="00864009" w:rsidP="00805A2E">
            <w:pPr>
              <w:ind w:left="-360"/>
              <w:jc w:val="center"/>
              <w:rPr>
                <w:b/>
              </w:rPr>
            </w:pPr>
            <w:r w:rsidRPr="00FD7A27">
              <w:rPr>
                <w:b/>
              </w:rPr>
              <w:t xml:space="preserve">Rate of </w:t>
            </w:r>
          </w:p>
          <w:p w:rsidR="00864009" w:rsidRPr="00FD7A27" w:rsidRDefault="00864009" w:rsidP="00805A2E">
            <w:pPr>
              <w:ind w:left="-360"/>
              <w:jc w:val="center"/>
              <w:rPr>
                <w:b/>
              </w:rPr>
            </w:pPr>
            <w:r w:rsidRPr="00FD7A27">
              <w:rPr>
                <w:b/>
              </w:rPr>
              <w:t>Growth</w:t>
            </w:r>
          </w:p>
        </w:tc>
        <w:tc>
          <w:tcPr>
            <w:tcW w:w="2070" w:type="dxa"/>
          </w:tcPr>
          <w:p w:rsidR="00864009" w:rsidRPr="00FD7A27" w:rsidRDefault="00864009" w:rsidP="00805A2E">
            <w:pPr>
              <w:ind w:left="-360"/>
              <w:jc w:val="center"/>
              <w:rPr>
                <w:b/>
              </w:rPr>
            </w:pPr>
            <w:r w:rsidRPr="00FD7A27">
              <w:rPr>
                <w:b/>
              </w:rPr>
              <w:t>2022 Projected Population</w:t>
            </w:r>
          </w:p>
        </w:tc>
      </w:tr>
      <w:tr w:rsidR="00864009" w:rsidTr="00805A2E">
        <w:tc>
          <w:tcPr>
            <w:tcW w:w="3240" w:type="dxa"/>
          </w:tcPr>
          <w:p w:rsidR="00864009" w:rsidRDefault="00864009" w:rsidP="009011AA">
            <w:pPr>
              <w:ind w:left="-360"/>
              <w:jc w:val="center"/>
            </w:pPr>
            <w:r>
              <w:t>Age 85+</w:t>
            </w:r>
          </w:p>
        </w:tc>
        <w:tc>
          <w:tcPr>
            <w:tcW w:w="2700" w:type="dxa"/>
          </w:tcPr>
          <w:p w:rsidR="00864009" w:rsidRDefault="00864009" w:rsidP="00805A2E">
            <w:pPr>
              <w:ind w:left="-360"/>
              <w:jc w:val="center"/>
            </w:pPr>
            <w:r>
              <w:t>1588</w:t>
            </w:r>
          </w:p>
        </w:tc>
        <w:tc>
          <w:tcPr>
            <w:tcW w:w="1710" w:type="dxa"/>
          </w:tcPr>
          <w:p w:rsidR="00864009" w:rsidRDefault="00864009" w:rsidP="00805A2E">
            <w:pPr>
              <w:ind w:left="-360"/>
              <w:jc w:val="center"/>
            </w:pPr>
            <w:r>
              <w:t>4%</w:t>
            </w:r>
          </w:p>
        </w:tc>
        <w:tc>
          <w:tcPr>
            <w:tcW w:w="2070" w:type="dxa"/>
          </w:tcPr>
          <w:p w:rsidR="00864009" w:rsidRDefault="00864009" w:rsidP="00805A2E">
            <w:pPr>
              <w:ind w:left="-360"/>
              <w:jc w:val="center"/>
            </w:pPr>
            <w:r>
              <w:t>1652</w:t>
            </w:r>
          </w:p>
        </w:tc>
      </w:tr>
      <w:tr w:rsidR="00864009" w:rsidTr="00805A2E">
        <w:tc>
          <w:tcPr>
            <w:tcW w:w="3240" w:type="dxa"/>
          </w:tcPr>
          <w:p w:rsidR="00864009" w:rsidRDefault="00864009" w:rsidP="009011AA">
            <w:pPr>
              <w:ind w:left="-360"/>
              <w:jc w:val="center"/>
            </w:pPr>
            <w:r>
              <w:t>Age 75 – 84</w:t>
            </w:r>
          </w:p>
        </w:tc>
        <w:tc>
          <w:tcPr>
            <w:tcW w:w="2700" w:type="dxa"/>
          </w:tcPr>
          <w:p w:rsidR="00864009" w:rsidRDefault="00864009" w:rsidP="00805A2E">
            <w:pPr>
              <w:ind w:left="-360"/>
              <w:jc w:val="center"/>
            </w:pPr>
            <w:r>
              <w:t>4805</w:t>
            </w:r>
          </w:p>
        </w:tc>
        <w:tc>
          <w:tcPr>
            <w:tcW w:w="1710" w:type="dxa"/>
          </w:tcPr>
          <w:p w:rsidR="00864009" w:rsidRDefault="00864009" w:rsidP="00805A2E">
            <w:pPr>
              <w:ind w:left="-360"/>
              <w:jc w:val="center"/>
            </w:pPr>
            <w:r>
              <w:t>29%</w:t>
            </w:r>
          </w:p>
        </w:tc>
        <w:tc>
          <w:tcPr>
            <w:tcW w:w="2070" w:type="dxa"/>
          </w:tcPr>
          <w:p w:rsidR="00864009" w:rsidRDefault="00864009" w:rsidP="00805A2E">
            <w:pPr>
              <w:ind w:left="-360"/>
              <w:jc w:val="center"/>
            </w:pPr>
            <w:r>
              <w:t>6198</w:t>
            </w:r>
          </w:p>
        </w:tc>
      </w:tr>
      <w:tr w:rsidR="00864009" w:rsidTr="00805A2E">
        <w:tc>
          <w:tcPr>
            <w:tcW w:w="3240" w:type="dxa"/>
          </w:tcPr>
          <w:p w:rsidR="00864009" w:rsidRDefault="00864009" w:rsidP="009011AA">
            <w:pPr>
              <w:ind w:left="-360"/>
              <w:jc w:val="center"/>
            </w:pPr>
            <w:r>
              <w:t>Age 65 – 74</w:t>
            </w:r>
          </w:p>
        </w:tc>
        <w:tc>
          <w:tcPr>
            <w:tcW w:w="2700" w:type="dxa"/>
          </w:tcPr>
          <w:p w:rsidR="00864009" w:rsidRDefault="00864009" w:rsidP="00805A2E">
            <w:pPr>
              <w:ind w:left="-360"/>
              <w:jc w:val="center"/>
            </w:pPr>
            <w:r>
              <w:t>7319</w:t>
            </w:r>
          </w:p>
        </w:tc>
        <w:tc>
          <w:tcPr>
            <w:tcW w:w="1710" w:type="dxa"/>
          </w:tcPr>
          <w:p w:rsidR="00864009" w:rsidRDefault="00864009" w:rsidP="00805A2E">
            <w:pPr>
              <w:ind w:left="-360"/>
              <w:jc w:val="center"/>
            </w:pPr>
            <w:r>
              <w:t>38%</w:t>
            </w:r>
          </w:p>
        </w:tc>
        <w:tc>
          <w:tcPr>
            <w:tcW w:w="2070" w:type="dxa"/>
          </w:tcPr>
          <w:p w:rsidR="00864009" w:rsidRDefault="00864009" w:rsidP="00805A2E">
            <w:pPr>
              <w:ind w:left="-360"/>
              <w:jc w:val="center"/>
            </w:pPr>
            <w:r>
              <w:t>10,101</w:t>
            </w:r>
          </w:p>
        </w:tc>
      </w:tr>
      <w:tr w:rsidR="00864009" w:rsidRPr="00FD7A27" w:rsidTr="00805A2E">
        <w:tc>
          <w:tcPr>
            <w:tcW w:w="3240" w:type="dxa"/>
          </w:tcPr>
          <w:p w:rsidR="00864009" w:rsidRPr="00FD7A27" w:rsidRDefault="00864009" w:rsidP="009011AA">
            <w:pPr>
              <w:ind w:left="-360"/>
              <w:jc w:val="center"/>
              <w:rPr>
                <w:b/>
              </w:rPr>
            </w:pPr>
            <w:r w:rsidRPr="00FD7A27">
              <w:rPr>
                <w:b/>
              </w:rPr>
              <w:t>Total</w:t>
            </w:r>
          </w:p>
        </w:tc>
        <w:tc>
          <w:tcPr>
            <w:tcW w:w="2700" w:type="dxa"/>
          </w:tcPr>
          <w:p w:rsidR="00864009" w:rsidRPr="00FD7A27" w:rsidRDefault="00864009" w:rsidP="00805A2E">
            <w:pPr>
              <w:ind w:left="-360"/>
              <w:jc w:val="center"/>
              <w:rPr>
                <w:b/>
              </w:rPr>
            </w:pPr>
            <w:r w:rsidRPr="00FD7A27">
              <w:rPr>
                <w:b/>
              </w:rPr>
              <w:t>13,712</w:t>
            </w:r>
          </w:p>
        </w:tc>
        <w:tc>
          <w:tcPr>
            <w:tcW w:w="1710" w:type="dxa"/>
          </w:tcPr>
          <w:p w:rsidR="00864009" w:rsidRPr="00FD7A27" w:rsidRDefault="00864009" w:rsidP="00805A2E">
            <w:pPr>
              <w:ind w:left="-360"/>
              <w:jc w:val="center"/>
              <w:rPr>
                <w:b/>
              </w:rPr>
            </w:pPr>
          </w:p>
        </w:tc>
        <w:tc>
          <w:tcPr>
            <w:tcW w:w="2070" w:type="dxa"/>
          </w:tcPr>
          <w:p w:rsidR="00864009" w:rsidRPr="00FD7A27" w:rsidRDefault="00864009" w:rsidP="00805A2E">
            <w:pPr>
              <w:ind w:left="-360"/>
              <w:jc w:val="center"/>
              <w:rPr>
                <w:b/>
              </w:rPr>
            </w:pPr>
            <w:r w:rsidRPr="00FD7A27">
              <w:rPr>
                <w:b/>
              </w:rPr>
              <w:t>17,950</w:t>
            </w:r>
          </w:p>
        </w:tc>
      </w:tr>
    </w:tbl>
    <w:p w:rsidR="00864009" w:rsidRPr="00752871" w:rsidRDefault="00864009" w:rsidP="00805A2E">
      <w:pPr>
        <w:ind w:left="-360"/>
        <w:rPr>
          <w:sz w:val="16"/>
          <w:szCs w:val="16"/>
        </w:rPr>
      </w:pPr>
    </w:p>
    <w:p w:rsidR="00864009" w:rsidRPr="009B19F4" w:rsidRDefault="00864009" w:rsidP="00805A2E">
      <w:pPr>
        <w:ind w:left="-360"/>
        <w:jc w:val="both"/>
      </w:pPr>
      <w:r w:rsidRPr="009B19F4">
        <w:t>This rate of growth coincides with the State of Maine as a whole</w:t>
      </w:r>
      <w:r w:rsidR="00B71C53">
        <w:t>,</w:t>
      </w:r>
      <w:r w:rsidRPr="009B19F4">
        <w:t xml:space="preserve"> where the 65 and over population continues to grow at a rate faster than New England and</w:t>
      </w:r>
      <w:r w:rsidR="00555F55">
        <w:t xml:space="preserve"> the United States as a whole. </w:t>
      </w:r>
      <w:r w:rsidRPr="009B19F4">
        <w:t xml:space="preserve">Statewide nursing home utilization declined between 2000 and 2008 but leveled off in 2010. Utilization of residential care facilities grew 30% between 2000 and 2010 before declining slightly in 2010. The average statewide percentages of the 65+ population utilizing SNF/NF and RCF services are as </w:t>
      </w:r>
      <w:r w:rsidRPr="009F3BAB">
        <w:t>follows:</w:t>
      </w:r>
    </w:p>
    <w:p w:rsidR="00864009" w:rsidRPr="00752871" w:rsidRDefault="00864009" w:rsidP="00805A2E">
      <w:pPr>
        <w:ind w:left="-360"/>
        <w:rPr>
          <w:sz w:val="16"/>
          <w:szCs w:val="16"/>
        </w:rPr>
      </w:pPr>
    </w:p>
    <w:tbl>
      <w:tblPr>
        <w:tblStyle w:val="TableGrid"/>
        <w:tblW w:w="9720" w:type="dxa"/>
        <w:tblInd w:w="-252" w:type="dxa"/>
        <w:tblLook w:val="04A0" w:firstRow="1" w:lastRow="0" w:firstColumn="1" w:lastColumn="0" w:noHBand="0" w:noVBand="1"/>
      </w:tblPr>
      <w:tblGrid>
        <w:gridCol w:w="3084"/>
        <w:gridCol w:w="3192"/>
        <w:gridCol w:w="3444"/>
      </w:tblGrid>
      <w:tr w:rsidR="00864009" w:rsidTr="00805A2E">
        <w:tc>
          <w:tcPr>
            <w:tcW w:w="3084" w:type="dxa"/>
          </w:tcPr>
          <w:p w:rsidR="00864009" w:rsidRPr="00FD7A27" w:rsidRDefault="00864009" w:rsidP="00805A2E">
            <w:pPr>
              <w:ind w:left="-360"/>
              <w:jc w:val="center"/>
              <w:rPr>
                <w:b/>
              </w:rPr>
            </w:pPr>
            <w:r w:rsidRPr="00FD7A27">
              <w:rPr>
                <w:b/>
              </w:rPr>
              <w:t>Age Group</w:t>
            </w:r>
          </w:p>
        </w:tc>
        <w:tc>
          <w:tcPr>
            <w:tcW w:w="3192" w:type="dxa"/>
          </w:tcPr>
          <w:p w:rsidR="00864009" w:rsidRPr="00FD7A27" w:rsidRDefault="00864009" w:rsidP="00805A2E">
            <w:pPr>
              <w:ind w:left="-360"/>
              <w:jc w:val="center"/>
              <w:rPr>
                <w:b/>
              </w:rPr>
            </w:pPr>
            <w:r w:rsidRPr="00FD7A27">
              <w:rPr>
                <w:b/>
              </w:rPr>
              <w:t>% of age group needing SNF/NF care</w:t>
            </w:r>
          </w:p>
        </w:tc>
        <w:tc>
          <w:tcPr>
            <w:tcW w:w="3444" w:type="dxa"/>
          </w:tcPr>
          <w:p w:rsidR="00805A2E" w:rsidRDefault="00864009" w:rsidP="00805A2E">
            <w:pPr>
              <w:ind w:left="-360"/>
              <w:jc w:val="center"/>
              <w:rPr>
                <w:b/>
              </w:rPr>
            </w:pPr>
            <w:r w:rsidRPr="00FD7A27">
              <w:rPr>
                <w:b/>
              </w:rPr>
              <w:t xml:space="preserve">% of age group needing </w:t>
            </w:r>
          </w:p>
          <w:p w:rsidR="00864009" w:rsidRPr="00FD7A27" w:rsidRDefault="00864009" w:rsidP="00805A2E">
            <w:pPr>
              <w:ind w:left="-360"/>
              <w:jc w:val="center"/>
              <w:rPr>
                <w:b/>
              </w:rPr>
            </w:pPr>
            <w:r w:rsidRPr="00FD7A27">
              <w:rPr>
                <w:b/>
              </w:rPr>
              <w:t>RCF care</w:t>
            </w:r>
          </w:p>
        </w:tc>
      </w:tr>
      <w:tr w:rsidR="00864009" w:rsidTr="00805A2E">
        <w:tc>
          <w:tcPr>
            <w:tcW w:w="3084" w:type="dxa"/>
          </w:tcPr>
          <w:p w:rsidR="00864009" w:rsidRDefault="00864009" w:rsidP="00805A2E">
            <w:pPr>
              <w:ind w:left="-360"/>
              <w:jc w:val="center"/>
            </w:pPr>
            <w:r>
              <w:t>Age 85+</w:t>
            </w:r>
          </w:p>
        </w:tc>
        <w:tc>
          <w:tcPr>
            <w:tcW w:w="3192" w:type="dxa"/>
          </w:tcPr>
          <w:p w:rsidR="00864009" w:rsidRDefault="00864009" w:rsidP="00805A2E">
            <w:pPr>
              <w:ind w:left="-360"/>
              <w:jc w:val="center"/>
            </w:pPr>
            <w:r>
              <w:t>11.50%</w:t>
            </w:r>
          </w:p>
        </w:tc>
        <w:tc>
          <w:tcPr>
            <w:tcW w:w="3444" w:type="dxa"/>
          </w:tcPr>
          <w:p w:rsidR="00864009" w:rsidRDefault="00864009" w:rsidP="00805A2E">
            <w:pPr>
              <w:ind w:left="-360"/>
              <w:jc w:val="center"/>
            </w:pPr>
            <w:r>
              <w:t>6.30%</w:t>
            </w:r>
          </w:p>
        </w:tc>
      </w:tr>
      <w:tr w:rsidR="00864009" w:rsidTr="00805A2E">
        <w:tc>
          <w:tcPr>
            <w:tcW w:w="3084" w:type="dxa"/>
          </w:tcPr>
          <w:p w:rsidR="00864009" w:rsidRDefault="00864009" w:rsidP="00805A2E">
            <w:pPr>
              <w:ind w:left="-360"/>
              <w:jc w:val="center"/>
            </w:pPr>
            <w:r>
              <w:t>Age 75 – 84</w:t>
            </w:r>
          </w:p>
        </w:tc>
        <w:tc>
          <w:tcPr>
            <w:tcW w:w="3192" w:type="dxa"/>
          </w:tcPr>
          <w:p w:rsidR="00864009" w:rsidRDefault="00864009" w:rsidP="00805A2E">
            <w:pPr>
              <w:ind w:left="-360"/>
              <w:jc w:val="center"/>
            </w:pPr>
            <w:r>
              <w:t>3.60%</w:t>
            </w:r>
          </w:p>
        </w:tc>
        <w:tc>
          <w:tcPr>
            <w:tcW w:w="3444" w:type="dxa"/>
          </w:tcPr>
          <w:p w:rsidR="00864009" w:rsidRDefault="00864009" w:rsidP="00805A2E">
            <w:pPr>
              <w:ind w:left="-360"/>
              <w:jc w:val="center"/>
            </w:pPr>
            <w:r>
              <w:t>1.80%</w:t>
            </w:r>
          </w:p>
        </w:tc>
      </w:tr>
      <w:tr w:rsidR="00864009" w:rsidTr="00805A2E">
        <w:tc>
          <w:tcPr>
            <w:tcW w:w="3084" w:type="dxa"/>
          </w:tcPr>
          <w:p w:rsidR="00864009" w:rsidRDefault="00864009" w:rsidP="00805A2E">
            <w:pPr>
              <w:ind w:left="-360"/>
              <w:jc w:val="center"/>
            </w:pPr>
            <w:r>
              <w:t>Age 65 – 74</w:t>
            </w:r>
          </w:p>
        </w:tc>
        <w:tc>
          <w:tcPr>
            <w:tcW w:w="3192" w:type="dxa"/>
          </w:tcPr>
          <w:p w:rsidR="00864009" w:rsidRDefault="00864009" w:rsidP="00805A2E">
            <w:pPr>
              <w:ind w:left="-360"/>
              <w:jc w:val="center"/>
            </w:pPr>
            <w:r>
              <w:t>0.80%</w:t>
            </w:r>
          </w:p>
        </w:tc>
        <w:tc>
          <w:tcPr>
            <w:tcW w:w="3444" w:type="dxa"/>
          </w:tcPr>
          <w:p w:rsidR="00864009" w:rsidRDefault="00864009" w:rsidP="00805A2E">
            <w:pPr>
              <w:ind w:left="-360"/>
              <w:jc w:val="center"/>
            </w:pPr>
            <w:r>
              <w:t>0.50%</w:t>
            </w:r>
          </w:p>
        </w:tc>
      </w:tr>
    </w:tbl>
    <w:p w:rsidR="00864009" w:rsidRPr="00752871" w:rsidRDefault="00864009" w:rsidP="00805A2E">
      <w:pPr>
        <w:ind w:left="-360"/>
        <w:rPr>
          <w:sz w:val="16"/>
          <w:szCs w:val="16"/>
        </w:rPr>
      </w:pPr>
    </w:p>
    <w:p w:rsidR="00864009" w:rsidRDefault="00864009" w:rsidP="00805A2E">
      <w:pPr>
        <w:ind w:left="-360"/>
        <w:jc w:val="both"/>
      </w:pPr>
      <w:r w:rsidRPr="009B19F4">
        <w:t xml:space="preserve">With the projected increase in the 65+ population it is likely that additional SNF/NF and RCF services will be required over the next ten years. Adding SNF/NF and RCF beds would substantially address specific health problems associated with an aging population </w:t>
      </w:r>
      <w:r>
        <w:t xml:space="preserve">requiring more intensive care. </w:t>
      </w:r>
      <w:r w:rsidRPr="009B19F4">
        <w:t>Aroostook County had 46 NF beds a</w:t>
      </w:r>
      <w:r w:rsidR="00B71C53">
        <w:t>nd 25 RCF beds per 1,000 person</w:t>
      </w:r>
      <w:r w:rsidRPr="009B19F4">
        <w:t>s age</w:t>
      </w:r>
      <w:r w:rsidR="00B71C53">
        <w:t>d</w:t>
      </w:r>
      <w:r w:rsidRPr="009B19F4">
        <w:t xml:space="preserve"> 65-and-above in 2010 as compared to the Statewide average of 33 NF beds and 20 RCF beds per 1,000 persons age</w:t>
      </w:r>
      <w:r w:rsidR="00B71C53">
        <w:t>d</w:t>
      </w:r>
      <w:r w:rsidRPr="009B19F4">
        <w:t xml:space="preserve"> 65 and above. Although the available beds in Aroostook County exceeds the State average the applicant provided 2010 through 2012 occupancy data for b</w:t>
      </w:r>
      <w:r w:rsidR="00555F55">
        <w:t xml:space="preserve">oth MGNH </w:t>
      </w:r>
      <w:r>
        <w:t xml:space="preserve">and Aroostook County </w:t>
      </w:r>
      <w:r w:rsidR="00B71C53">
        <w:t>SNF/NF and RCF</w:t>
      </w:r>
      <w:r w:rsidRPr="009B19F4">
        <w:t xml:space="preserve">s. MGNH </w:t>
      </w:r>
      <w:r w:rsidR="00B71C53">
        <w:t>had an average 2010 – 2012 SNF/</w:t>
      </w:r>
      <w:r w:rsidRPr="009B19F4">
        <w:t xml:space="preserve">NF occupancy of 95.66% and a RCF occupancy of 92.33%. During the same time period the Aroostook County SNF/NF occupancy was 92.33% </w:t>
      </w:r>
      <w:r w:rsidR="00977039">
        <w:t xml:space="preserve">and the RCF occupancy was 97%. </w:t>
      </w:r>
      <w:r w:rsidRPr="009B19F4">
        <w:t>The applicant states that MGNH’</w:t>
      </w:r>
      <w:r w:rsidR="00B71C53">
        <w:t>s</w:t>
      </w:r>
      <w:r w:rsidRPr="009B19F4">
        <w:t xml:space="preserve"> waiting list has expanded since the closure of 28 SNF/NF beds at Houlton Regional. For the 8 month period ending January 31, 2014 there were 160 referrals to MGNH and there were 73 admissions. The remaining referrals were not admitted mainly due to a lack of beds. CONU expanded the applicants’ analysis to provide the names, locations, mileage from applicant, number of licensed beds and most</w:t>
      </w:r>
      <w:r w:rsidR="008E1B01">
        <w:t xml:space="preserve"> </w:t>
      </w:r>
      <w:r>
        <w:t xml:space="preserve">recent occupancy data for SNF/NF’s and RCF facilities in Aroostook County. </w:t>
      </w:r>
    </w:p>
    <w:p w:rsidR="00864009" w:rsidRDefault="00864009" w:rsidP="00864009">
      <w:pPr>
        <w:ind w:left="-360"/>
        <w:jc w:val="both"/>
        <w:sectPr w:rsidR="00864009" w:rsidSect="0019504F">
          <w:headerReference w:type="default" r:id="rId16"/>
          <w:footerReference w:type="default" r:id="rId17"/>
          <w:pgSz w:w="12240" w:h="15840"/>
          <w:pgMar w:top="1440" w:right="1080" w:bottom="1440" w:left="1800" w:header="720" w:footer="720" w:gutter="0"/>
          <w:cols w:space="720"/>
          <w:docGrid w:linePitch="360"/>
        </w:sectPr>
      </w:pPr>
    </w:p>
    <w:tbl>
      <w:tblPr>
        <w:tblStyle w:val="TableGrid"/>
        <w:tblW w:w="9900" w:type="dxa"/>
        <w:tblInd w:w="108" w:type="dxa"/>
        <w:tblLayout w:type="fixed"/>
        <w:tblLook w:val="04A0" w:firstRow="1" w:lastRow="0" w:firstColumn="1" w:lastColumn="0" w:noHBand="0" w:noVBand="1"/>
      </w:tblPr>
      <w:tblGrid>
        <w:gridCol w:w="2250"/>
        <w:gridCol w:w="1530"/>
        <w:gridCol w:w="1530"/>
        <w:gridCol w:w="1080"/>
        <w:gridCol w:w="810"/>
        <w:gridCol w:w="1368"/>
        <w:gridCol w:w="1332"/>
      </w:tblGrid>
      <w:tr w:rsidR="0019504F" w:rsidTr="003C315B">
        <w:tc>
          <w:tcPr>
            <w:tcW w:w="2250" w:type="dxa"/>
          </w:tcPr>
          <w:p w:rsidR="0019504F" w:rsidRPr="00BD7CA2" w:rsidRDefault="0019504F" w:rsidP="003C315B">
            <w:pPr>
              <w:ind w:left="-558" w:right="-540"/>
              <w:jc w:val="center"/>
              <w:rPr>
                <w:b/>
                <w:sz w:val="22"/>
                <w:szCs w:val="22"/>
              </w:rPr>
            </w:pPr>
            <w:r w:rsidRPr="00BD7CA2">
              <w:rPr>
                <w:b/>
                <w:sz w:val="22"/>
                <w:szCs w:val="22"/>
              </w:rPr>
              <w:t>Facility</w:t>
            </w:r>
          </w:p>
        </w:tc>
        <w:tc>
          <w:tcPr>
            <w:tcW w:w="1530" w:type="dxa"/>
          </w:tcPr>
          <w:p w:rsidR="0019504F" w:rsidRPr="00BD7CA2" w:rsidRDefault="0019504F" w:rsidP="003C315B">
            <w:pPr>
              <w:ind w:left="-558" w:right="-540"/>
              <w:jc w:val="center"/>
              <w:rPr>
                <w:b/>
                <w:sz w:val="22"/>
                <w:szCs w:val="22"/>
              </w:rPr>
            </w:pPr>
            <w:r w:rsidRPr="00BD7CA2">
              <w:rPr>
                <w:b/>
                <w:sz w:val="22"/>
                <w:szCs w:val="22"/>
              </w:rPr>
              <w:t>Location</w:t>
            </w:r>
          </w:p>
        </w:tc>
        <w:tc>
          <w:tcPr>
            <w:tcW w:w="1530" w:type="dxa"/>
          </w:tcPr>
          <w:p w:rsidR="0019504F" w:rsidRPr="00BD7CA2" w:rsidRDefault="0019504F" w:rsidP="00BF67EE">
            <w:pPr>
              <w:jc w:val="center"/>
              <w:rPr>
                <w:b/>
                <w:sz w:val="22"/>
                <w:szCs w:val="22"/>
              </w:rPr>
            </w:pPr>
            <w:r w:rsidRPr="00BD7CA2">
              <w:rPr>
                <w:b/>
                <w:sz w:val="22"/>
                <w:szCs w:val="22"/>
              </w:rPr>
              <w:t>Mileage from applicant</w:t>
            </w:r>
          </w:p>
        </w:tc>
        <w:tc>
          <w:tcPr>
            <w:tcW w:w="1080" w:type="dxa"/>
          </w:tcPr>
          <w:p w:rsidR="00BF67EE" w:rsidRDefault="0019504F" w:rsidP="00BF67EE">
            <w:pPr>
              <w:ind w:right="134"/>
              <w:jc w:val="center"/>
              <w:rPr>
                <w:b/>
                <w:sz w:val="22"/>
                <w:szCs w:val="22"/>
              </w:rPr>
            </w:pPr>
            <w:r w:rsidRPr="00BD7CA2">
              <w:rPr>
                <w:b/>
                <w:sz w:val="22"/>
                <w:szCs w:val="22"/>
              </w:rPr>
              <w:t>NF</w:t>
            </w:r>
          </w:p>
          <w:p w:rsidR="0019504F" w:rsidRPr="00BD7CA2" w:rsidRDefault="0019504F" w:rsidP="00BF67EE">
            <w:pPr>
              <w:ind w:right="134"/>
              <w:jc w:val="center"/>
              <w:rPr>
                <w:b/>
                <w:sz w:val="22"/>
                <w:szCs w:val="22"/>
              </w:rPr>
            </w:pPr>
            <w:r w:rsidRPr="00BD7CA2">
              <w:rPr>
                <w:b/>
                <w:sz w:val="22"/>
                <w:szCs w:val="22"/>
              </w:rPr>
              <w:t>Beds</w:t>
            </w:r>
          </w:p>
        </w:tc>
        <w:tc>
          <w:tcPr>
            <w:tcW w:w="810" w:type="dxa"/>
          </w:tcPr>
          <w:p w:rsidR="00BF67EE" w:rsidRDefault="0019504F" w:rsidP="00BF67EE">
            <w:pPr>
              <w:ind w:right="44"/>
              <w:jc w:val="center"/>
              <w:rPr>
                <w:b/>
                <w:sz w:val="22"/>
                <w:szCs w:val="22"/>
              </w:rPr>
            </w:pPr>
            <w:r w:rsidRPr="00BD7CA2">
              <w:rPr>
                <w:b/>
                <w:sz w:val="22"/>
                <w:szCs w:val="22"/>
              </w:rPr>
              <w:t>RCF</w:t>
            </w:r>
          </w:p>
          <w:p w:rsidR="0019504F" w:rsidRPr="00BD7CA2" w:rsidRDefault="0019504F" w:rsidP="00BF67EE">
            <w:pPr>
              <w:ind w:right="44"/>
              <w:jc w:val="center"/>
              <w:rPr>
                <w:b/>
                <w:sz w:val="22"/>
                <w:szCs w:val="22"/>
              </w:rPr>
            </w:pPr>
            <w:r w:rsidRPr="00BD7CA2">
              <w:rPr>
                <w:b/>
                <w:sz w:val="22"/>
                <w:szCs w:val="22"/>
              </w:rPr>
              <w:t>Beds</w:t>
            </w:r>
          </w:p>
        </w:tc>
        <w:tc>
          <w:tcPr>
            <w:tcW w:w="1368" w:type="dxa"/>
          </w:tcPr>
          <w:p w:rsidR="0019504F" w:rsidRPr="00BD7CA2" w:rsidRDefault="0019504F" w:rsidP="00BF67EE">
            <w:pPr>
              <w:ind w:right="72"/>
              <w:jc w:val="center"/>
              <w:rPr>
                <w:b/>
                <w:sz w:val="22"/>
                <w:szCs w:val="22"/>
              </w:rPr>
            </w:pPr>
            <w:r w:rsidRPr="00BD7CA2">
              <w:rPr>
                <w:b/>
                <w:sz w:val="22"/>
                <w:szCs w:val="22"/>
              </w:rPr>
              <w:t>Ave NF/SNF Occupancy</w:t>
            </w:r>
          </w:p>
        </w:tc>
        <w:tc>
          <w:tcPr>
            <w:tcW w:w="1332" w:type="dxa"/>
          </w:tcPr>
          <w:p w:rsidR="0019504F" w:rsidRPr="00BD7CA2" w:rsidRDefault="0019504F" w:rsidP="00BF67EE">
            <w:pPr>
              <w:jc w:val="center"/>
              <w:rPr>
                <w:b/>
                <w:sz w:val="22"/>
                <w:szCs w:val="22"/>
              </w:rPr>
            </w:pPr>
            <w:r w:rsidRPr="00BD7CA2">
              <w:rPr>
                <w:b/>
                <w:sz w:val="22"/>
                <w:szCs w:val="22"/>
              </w:rPr>
              <w:t>AVE RCF Occupancy</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 xml:space="preserve">Borderview </w:t>
            </w:r>
          </w:p>
        </w:tc>
        <w:tc>
          <w:tcPr>
            <w:tcW w:w="1530" w:type="dxa"/>
          </w:tcPr>
          <w:p w:rsidR="0019504F" w:rsidRPr="00BD7CA2" w:rsidRDefault="0019504F" w:rsidP="00BF67EE">
            <w:pPr>
              <w:ind w:right="-540"/>
              <w:rPr>
                <w:sz w:val="22"/>
                <w:szCs w:val="22"/>
              </w:rPr>
            </w:pPr>
            <w:r w:rsidRPr="00BD7CA2">
              <w:rPr>
                <w:sz w:val="22"/>
                <w:szCs w:val="22"/>
              </w:rPr>
              <w:t>Van Buren</w:t>
            </w:r>
          </w:p>
        </w:tc>
        <w:tc>
          <w:tcPr>
            <w:tcW w:w="1530" w:type="dxa"/>
          </w:tcPr>
          <w:p w:rsidR="0019504F" w:rsidRPr="00BD7CA2" w:rsidRDefault="0019504F" w:rsidP="00BF67EE">
            <w:pPr>
              <w:jc w:val="right"/>
              <w:rPr>
                <w:sz w:val="22"/>
                <w:szCs w:val="22"/>
              </w:rPr>
            </w:pPr>
            <w:r w:rsidRPr="00BD7CA2">
              <w:rPr>
                <w:sz w:val="22"/>
                <w:szCs w:val="22"/>
              </w:rPr>
              <w:t>77</w:t>
            </w:r>
          </w:p>
        </w:tc>
        <w:tc>
          <w:tcPr>
            <w:tcW w:w="1080" w:type="dxa"/>
          </w:tcPr>
          <w:p w:rsidR="0019504F" w:rsidRPr="00BD7CA2" w:rsidRDefault="0019504F" w:rsidP="00BF67EE">
            <w:pPr>
              <w:ind w:right="134"/>
              <w:jc w:val="right"/>
              <w:rPr>
                <w:sz w:val="22"/>
                <w:szCs w:val="22"/>
              </w:rPr>
            </w:pPr>
            <w:r w:rsidRPr="00BD7CA2">
              <w:rPr>
                <w:sz w:val="22"/>
                <w:szCs w:val="22"/>
              </w:rPr>
              <w:t>55</w:t>
            </w:r>
          </w:p>
        </w:tc>
        <w:tc>
          <w:tcPr>
            <w:tcW w:w="810" w:type="dxa"/>
          </w:tcPr>
          <w:p w:rsidR="0019504F" w:rsidRPr="00BD7CA2" w:rsidRDefault="0019504F" w:rsidP="00BF67EE">
            <w:pPr>
              <w:ind w:right="44"/>
              <w:jc w:val="right"/>
              <w:rPr>
                <w:sz w:val="22"/>
                <w:szCs w:val="22"/>
              </w:rPr>
            </w:pPr>
            <w:r w:rsidRPr="00BD7CA2">
              <w:rPr>
                <w:sz w:val="22"/>
                <w:szCs w:val="22"/>
              </w:rPr>
              <w:t>53</w:t>
            </w:r>
          </w:p>
        </w:tc>
        <w:tc>
          <w:tcPr>
            <w:tcW w:w="1368" w:type="dxa"/>
          </w:tcPr>
          <w:p w:rsidR="0019504F" w:rsidRPr="00BD7CA2" w:rsidRDefault="0019504F" w:rsidP="00BF67EE">
            <w:pPr>
              <w:ind w:right="72"/>
              <w:jc w:val="right"/>
              <w:rPr>
                <w:sz w:val="22"/>
                <w:szCs w:val="22"/>
              </w:rPr>
            </w:pPr>
            <w:r w:rsidRPr="00BD7CA2">
              <w:rPr>
                <w:sz w:val="22"/>
                <w:szCs w:val="22"/>
              </w:rPr>
              <w:t>92.73%</w:t>
            </w:r>
          </w:p>
        </w:tc>
        <w:tc>
          <w:tcPr>
            <w:tcW w:w="1332" w:type="dxa"/>
          </w:tcPr>
          <w:p w:rsidR="0019504F" w:rsidRPr="00BD7CA2" w:rsidRDefault="0019504F" w:rsidP="00BF67EE">
            <w:pPr>
              <w:jc w:val="right"/>
              <w:rPr>
                <w:sz w:val="22"/>
                <w:szCs w:val="22"/>
              </w:rPr>
            </w:pPr>
            <w:r w:rsidRPr="00BD7CA2">
              <w:rPr>
                <w:sz w:val="22"/>
                <w:szCs w:val="22"/>
              </w:rPr>
              <w:t>90.57%</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Caribou</w:t>
            </w:r>
          </w:p>
        </w:tc>
        <w:tc>
          <w:tcPr>
            <w:tcW w:w="1530" w:type="dxa"/>
          </w:tcPr>
          <w:p w:rsidR="0019504F" w:rsidRPr="00BD7CA2" w:rsidRDefault="00904FDF" w:rsidP="00BF67EE">
            <w:pPr>
              <w:ind w:right="-540"/>
              <w:rPr>
                <w:sz w:val="22"/>
                <w:szCs w:val="22"/>
              </w:rPr>
            </w:pPr>
            <w:r>
              <w:rPr>
                <w:sz w:val="22"/>
                <w:szCs w:val="22"/>
              </w:rPr>
              <w:t>Caribou</w:t>
            </w:r>
          </w:p>
        </w:tc>
        <w:tc>
          <w:tcPr>
            <w:tcW w:w="1530" w:type="dxa"/>
          </w:tcPr>
          <w:p w:rsidR="0019504F" w:rsidRPr="00BD7CA2" w:rsidRDefault="0019504F" w:rsidP="00BF67EE">
            <w:pPr>
              <w:jc w:val="right"/>
              <w:rPr>
                <w:sz w:val="22"/>
                <w:szCs w:val="22"/>
              </w:rPr>
            </w:pPr>
            <w:r w:rsidRPr="00BD7CA2">
              <w:rPr>
                <w:sz w:val="22"/>
                <w:szCs w:val="22"/>
              </w:rPr>
              <w:t>54</w:t>
            </w:r>
          </w:p>
        </w:tc>
        <w:tc>
          <w:tcPr>
            <w:tcW w:w="1080" w:type="dxa"/>
          </w:tcPr>
          <w:p w:rsidR="0019504F" w:rsidRPr="00BD7CA2" w:rsidRDefault="0019504F" w:rsidP="00BF67EE">
            <w:pPr>
              <w:ind w:right="134"/>
              <w:jc w:val="right"/>
              <w:rPr>
                <w:sz w:val="22"/>
                <w:szCs w:val="22"/>
              </w:rPr>
            </w:pPr>
            <w:r w:rsidRPr="00BD7CA2">
              <w:rPr>
                <w:sz w:val="22"/>
                <w:szCs w:val="22"/>
              </w:rPr>
              <w:t>61</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98.36%</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Forest Hill</w:t>
            </w:r>
          </w:p>
        </w:tc>
        <w:tc>
          <w:tcPr>
            <w:tcW w:w="1530" w:type="dxa"/>
          </w:tcPr>
          <w:p w:rsidR="0019504F" w:rsidRPr="00BD7CA2" w:rsidRDefault="0019504F" w:rsidP="00BF67EE">
            <w:pPr>
              <w:ind w:right="-540"/>
              <w:rPr>
                <w:sz w:val="22"/>
                <w:szCs w:val="22"/>
              </w:rPr>
            </w:pPr>
            <w:r w:rsidRPr="00BD7CA2">
              <w:rPr>
                <w:sz w:val="22"/>
                <w:szCs w:val="22"/>
              </w:rPr>
              <w:t>Fort Kent</w:t>
            </w:r>
          </w:p>
        </w:tc>
        <w:tc>
          <w:tcPr>
            <w:tcW w:w="1530" w:type="dxa"/>
          </w:tcPr>
          <w:p w:rsidR="0019504F" w:rsidRPr="00BD7CA2" w:rsidRDefault="0019504F" w:rsidP="00BF67EE">
            <w:pPr>
              <w:jc w:val="right"/>
              <w:rPr>
                <w:sz w:val="22"/>
                <w:szCs w:val="22"/>
              </w:rPr>
            </w:pPr>
            <w:r w:rsidRPr="00BD7CA2">
              <w:rPr>
                <w:sz w:val="22"/>
                <w:szCs w:val="22"/>
              </w:rPr>
              <w:t>98</w:t>
            </w:r>
          </w:p>
        </w:tc>
        <w:tc>
          <w:tcPr>
            <w:tcW w:w="1080" w:type="dxa"/>
          </w:tcPr>
          <w:p w:rsidR="0019504F" w:rsidRPr="00BD7CA2" w:rsidRDefault="0019504F" w:rsidP="00BF67EE">
            <w:pPr>
              <w:ind w:right="134"/>
              <w:jc w:val="right"/>
              <w:rPr>
                <w:sz w:val="22"/>
                <w:szCs w:val="22"/>
              </w:rPr>
            </w:pPr>
            <w:r w:rsidRPr="00BD7CA2">
              <w:rPr>
                <w:sz w:val="22"/>
                <w:szCs w:val="22"/>
              </w:rPr>
              <w:t>45</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97.78%</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Gardiner</w:t>
            </w:r>
          </w:p>
        </w:tc>
        <w:tc>
          <w:tcPr>
            <w:tcW w:w="1530" w:type="dxa"/>
          </w:tcPr>
          <w:p w:rsidR="0019504F" w:rsidRPr="00BD7CA2" w:rsidRDefault="0019504F" w:rsidP="00BF67EE">
            <w:pPr>
              <w:ind w:right="-540"/>
              <w:rPr>
                <w:sz w:val="22"/>
                <w:szCs w:val="22"/>
              </w:rPr>
            </w:pPr>
            <w:r w:rsidRPr="00BD7CA2">
              <w:rPr>
                <w:sz w:val="22"/>
                <w:szCs w:val="22"/>
              </w:rPr>
              <w:t>Houlton</w:t>
            </w:r>
          </w:p>
        </w:tc>
        <w:tc>
          <w:tcPr>
            <w:tcW w:w="1530" w:type="dxa"/>
          </w:tcPr>
          <w:p w:rsidR="0019504F" w:rsidRPr="00BD7CA2" w:rsidRDefault="0019504F" w:rsidP="00BF67EE">
            <w:pPr>
              <w:jc w:val="right"/>
              <w:rPr>
                <w:sz w:val="22"/>
                <w:szCs w:val="22"/>
              </w:rPr>
            </w:pPr>
            <w:r w:rsidRPr="00BD7CA2">
              <w:rPr>
                <w:sz w:val="22"/>
                <w:szCs w:val="22"/>
              </w:rPr>
              <w:t>0</w:t>
            </w:r>
          </w:p>
        </w:tc>
        <w:tc>
          <w:tcPr>
            <w:tcW w:w="1080" w:type="dxa"/>
          </w:tcPr>
          <w:p w:rsidR="0019504F" w:rsidRPr="00BD7CA2" w:rsidRDefault="0019504F" w:rsidP="00BF67EE">
            <w:pPr>
              <w:ind w:right="134"/>
              <w:jc w:val="right"/>
              <w:rPr>
                <w:sz w:val="22"/>
                <w:szCs w:val="22"/>
              </w:rPr>
            </w:pPr>
            <w:r w:rsidRPr="00BD7CA2">
              <w:rPr>
                <w:sz w:val="22"/>
                <w:szCs w:val="22"/>
              </w:rPr>
              <w:t>45</w:t>
            </w:r>
          </w:p>
        </w:tc>
        <w:tc>
          <w:tcPr>
            <w:tcW w:w="810" w:type="dxa"/>
          </w:tcPr>
          <w:p w:rsidR="0019504F" w:rsidRPr="00BD7CA2" w:rsidRDefault="0019504F" w:rsidP="00BF67EE">
            <w:pPr>
              <w:ind w:right="44"/>
              <w:jc w:val="right"/>
              <w:rPr>
                <w:sz w:val="22"/>
                <w:szCs w:val="22"/>
              </w:rPr>
            </w:pPr>
            <w:r w:rsidRPr="00BD7CA2">
              <w:rPr>
                <w:sz w:val="22"/>
                <w:szCs w:val="22"/>
              </w:rPr>
              <w:t>10</w:t>
            </w:r>
          </w:p>
        </w:tc>
        <w:tc>
          <w:tcPr>
            <w:tcW w:w="1368" w:type="dxa"/>
          </w:tcPr>
          <w:p w:rsidR="0019504F" w:rsidRPr="00BD7CA2" w:rsidRDefault="0019504F" w:rsidP="00BF67EE">
            <w:pPr>
              <w:ind w:right="72"/>
              <w:jc w:val="right"/>
              <w:rPr>
                <w:sz w:val="22"/>
                <w:szCs w:val="22"/>
              </w:rPr>
            </w:pPr>
            <w:r w:rsidRPr="00BD7CA2">
              <w:rPr>
                <w:sz w:val="22"/>
                <w:szCs w:val="22"/>
              </w:rPr>
              <w:t>95.56%</w:t>
            </w:r>
          </w:p>
        </w:tc>
        <w:tc>
          <w:tcPr>
            <w:tcW w:w="1332" w:type="dxa"/>
          </w:tcPr>
          <w:p w:rsidR="0019504F" w:rsidRPr="00BD7CA2" w:rsidRDefault="0019504F" w:rsidP="00BF67EE">
            <w:pPr>
              <w:jc w:val="right"/>
              <w:rPr>
                <w:sz w:val="22"/>
                <w:szCs w:val="22"/>
              </w:rPr>
            </w:pPr>
            <w:r w:rsidRPr="00BD7CA2">
              <w:rPr>
                <w:sz w:val="22"/>
                <w:szCs w:val="22"/>
              </w:rPr>
              <w:t>100.00%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High View</w:t>
            </w:r>
          </w:p>
        </w:tc>
        <w:tc>
          <w:tcPr>
            <w:tcW w:w="1530" w:type="dxa"/>
          </w:tcPr>
          <w:p w:rsidR="0019504F" w:rsidRPr="00BD7CA2" w:rsidRDefault="0019504F" w:rsidP="00BF67EE">
            <w:pPr>
              <w:ind w:right="-540"/>
              <w:rPr>
                <w:sz w:val="22"/>
                <w:szCs w:val="22"/>
              </w:rPr>
            </w:pPr>
            <w:r w:rsidRPr="00BD7CA2">
              <w:rPr>
                <w:sz w:val="22"/>
                <w:szCs w:val="22"/>
              </w:rPr>
              <w:t>Madawaska</w:t>
            </w:r>
          </w:p>
        </w:tc>
        <w:tc>
          <w:tcPr>
            <w:tcW w:w="1530" w:type="dxa"/>
          </w:tcPr>
          <w:p w:rsidR="0019504F" w:rsidRPr="00BD7CA2" w:rsidRDefault="0019504F" w:rsidP="00BF67EE">
            <w:pPr>
              <w:jc w:val="right"/>
              <w:rPr>
                <w:sz w:val="22"/>
                <w:szCs w:val="22"/>
              </w:rPr>
            </w:pPr>
            <w:r w:rsidRPr="00BD7CA2">
              <w:rPr>
                <w:sz w:val="22"/>
                <w:szCs w:val="22"/>
              </w:rPr>
              <w:t>102</w:t>
            </w:r>
          </w:p>
        </w:tc>
        <w:tc>
          <w:tcPr>
            <w:tcW w:w="1080" w:type="dxa"/>
          </w:tcPr>
          <w:p w:rsidR="0019504F" w:rsidRPr="00BD7CA2" w:rsidRDefault="0019504F" w:rsidP="00BF67EE">
            <w:pPr>
              <w:ind w:right="134"/>
              <w:jc w:val="right"/>
              <w:rPr>
                <w:sz w:val="22"/>
                <w:szCs w:val="22"/>
              </w:rPr>
            </w:pPr>
            <w:r w:rsidRPr="00BD7CA2">
              <w:rPr>
                <w:sz w:val="22"/>
                <w:szCs w:val="22"/>
              </w:rPr>
              <w:t>51</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100.00%</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Madigan</w:t>
            </w:r>
          </w:p>
        </w:tc>
        <w:tc>
          <w:tcPr>
            <w:tcW w:w="1530" w:type="dxa"/>
          </w:tcPr>
          <w:p w:rsidR="0019504F" w:rsidRPr="00BD7CA2" w:rsidRDefault="0019504F" w:rsidP="00BF67EE">
            <w:pPr>
              <w:ind w:right="-540"/>
              <w:rPr>
                <w:sz w:val="22"/>
                <w:szCs w:val="22"/>
              </w:rPr>
            </w:pPr>
            <w:r w:rsidRPr="00BD7CA2">
              <w:rPr>
                <w:sz w:val="22"/>
                <w:szCs w:val="22"/>
              </w:rPr>
              <w:t>Houlton</w:t>
            </w:r>
          </w:p>
        </w:tc>
        <w:tc>
          <w:tcPr>
            <w:tcW w:w="1530" w:type="dxa"/>
          </w:tcPr>
          <w:p w:rsidR="0019504F" w:rsidRPr="00BD7CA2" w:rsidRDefault="0019504F" w:rsidP="00BF67EE">
            <w:pPr>
              <w:jc w:val="right"/>
              <w:rPr>
                <w:sz w:val="22"/>
                <w:szCs w:val="22"/>
              </w:rPr>
            </w:pPr>
            <w:r w:rsidRPr="00BD7CA2">
              <w:rPr>
                <w:sz w:val="22"/>
                <w:szCs w:val="22"/>
              </w:rPr>
              <w:t>0</w:t>
            </w:r>
          </w:p>
        </w:tc>
        <w:tc>
          <w:tcPr>
            <w:tcW w:w="1080" w:type="dxa"/>
          </w:tcPr>
          <w:p w:rsidR="0019504F" w:rsidRPr="00BD7CA2" w:rsidRDefault="0019504F" w:rsidP="00BF67EE">
            <w:pPr>
              <w:ind w:right="134"/>
              <w:jc w:val="right"/>
              <w:rPr>
                <w:sz w:val="22"/>
                <w:szCs w:val="22"/>
              </w:rPr>
            </w:pPr>
            <w:r w:rsidRPr="00BD7CA2">
              <w:rPr>
                <w:sz w:val="22"/>
                <w:szCs w:val="22"/>
              </w:rPr>
              <w:t>86</w:t>
            </w:r>
          </w:p>
        </w:tc>
        <w:tc>
          <w:tcPr>
            <w:tcW w:w="810" w:type="dxa"/>
          </w:tcPr>
          <w:p w:rsidR="0019504F" w:rsidRPr="00BD7CA2" w:rsidRDefault="0019504F" w:rsidP="00BF67EE">
            <w:pPr>
              <w:ind w:right="44"/>
              <w:jc w:val="right"/>
              <w:rPr>
                <w:sz w:val="22"/>
                <w:szCs w:val="22"/>
              </w:rPr>
            </w:pPr>
            <w:r w:rsidRPr="00BD7CA2">
              <w:rPr>
                <w:sz w:val="22"/>
                <w:szCs w:val="22"/>
              </w:rPr>
              <w:t>47</w:t>
            </w:r>
          </w:p>
        </w:tc>
        <w:tc>
          <w:tcPr>
            <w:tcW w:w="1368" w:type="dxa"/>
          </w:tcPr>
          <w:p w:rsidR="0019504F" w:rsidRPr="00BD7CA2" w:rsidRDefault="0019504F" w:rsidP="00BF67EE">
            <w:pPr>
              <w:ind w:right="72"/>
              <w:jc w:val="right"/>
              <w:rPr>
                <w:sz w:val="22"/>
                <w:szCs w:val="22"/>
              </w:rPr>
            </w:pPr>
            <w:r w:rsidRPr="00BD7CA2">
              <w:rPr>
                <w:sz w:val="22"/>
                <w:szCs w:val="22"/>
              </w:rPr>
              <w:t>95.35%</w:t>
            </w:r>
          </w:p>
        </w:tc>
        <w:tc>
          <w:tcPr>
            <w:tcW w:w="1332" w:type="dxa"/>
          </w:tcPr>
          <w:p w:rsidR="0019504F" w:rsidRPr="00BD7CA2" w:rsidRDefault="0019504F" w:rsidP="00BF67EE">
            <w:pPr>
              <w:jc w:val="right"/>
              <w:rPr>
                <w:sz w:val="22"/>
                <w:szCs w:val="22"/>
              </w:rPr>
            </w:pPr>
            <w:r w:rsidRPr="00BD7CA2">
              <w:rPr>
                <w:sz w:val="22"/>
                <w:szCs w:val="22"/>
              </w:rPr>
              <w:t>87.23%</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MVH - Caribou</w:t>
            </w:r>
          </w:p>
        </w:tc>
        <w:tc>
          <w:tcPr>
            <w:tcW w:w="1530" w:type="dxa"/>
          </w:tcPr>
          <w:p w:rsidR="0019504F" w:rsidRPr="00BD7CA2" w:rsidRDefault="0019504F" w:rsidP="00BF67EE">
            <w:pPr>
              <w:ind w:right="-540"/>
              <w:rPr>
                <w:sz w:val="22"/>
                <w:szCs w:val="22"/>
              </w:rPr>
            </w:pPr>
            <w:r w:rsidRPr="00BD7CA2">
              <w:rPr>
                <w:sz w:val="22"/>
                <w:szCs w:val="22"/>
              </w:rPr>
              <w:t>Caribou</w:t>
            </w:r>
          </w:p>
        </w:tc>
        <w:tc>
          <w:tcPr>
            <w:tcW w:w="1530" w:type="dxa"/>
          </w:tcPr>
          <w:p w:rsidR="0019504F" w:rsidRPr="00BD7CA2" w:rsidRDefault="0019504F" w:rsidP="00BF67EE">
            <w:pPr>
              <w:jc w:val="right"/>
              <w:rPr>
                <w:sz w:val="22"/>
                <w:szCs w:val="22"/>
              </w:rPr>
            </w:pPr>
            <w:r w:rsidRPr="00BD7CA2">
              <w:rPr>
                <w:sz w:val="22"/>
                <w:szCs w:val="22"/>
              </w:rPr>
              <w:t>54</w:t>
            </w:r>
          </w:p>
        </w:tc>
        <w:tc>
          <w:tcPr>
            <w:tcW w:w="1080" w:type="dxa"/>
          </w:tcPr>
          <w:p w:rsidR="0019504F" w:rsidRPr="00BD7CA2" w:rsidRDefault="0019504F" w:rsidP="00BF67EE">
            <w:pPr>
              <w:ind w:right="134"/>
              <w:jc w:val="right"/>
              <w:rPr>
                <w:sz w:val="22"/>
                <w:szCs w:val="22"/>
              </w:rPr>
            </w:pPr>
            <w:r w:rsidRPr="00BD7CA2">
              <w:rPr>
                <w:sz w:val="22"/>
                <w:szCs w:val="22"/>
              </w:rPr>
              <w:t>40</w:t>
            </w:r>
          </w:p>
        </w:tc>
        <w:tc>
          <w:tcPr>
            <w:tcW w:w="810" w:type="dxa"/>
          </w:tcPr>
          <w:p w:rsidR="0019504F" w:rsidRPr="00BD7CA2" w:rsidRDefault="0019504F" w:rsidP="00BF67EE">
            <w:pPr>
              <w:ind w:right="44"/>
              <w:jc w:val="right"/>
              <w:rPr>
                <w:sz w:val="22"/>
                <w:szCs w:val="22"/>
              </w:rPr>
            </w:pPr>
            <w:r w:rsidRPr="00BD7CA2">
              <w:rPr>
                <w:sz w:val="22"/>
                <w:szCs w:val="22"/>
              </w:rPr>
              <w:t>30</w:t>
            </w:r>
          </w:p>
        </w:tc>
        <w:tc>
          <w:tcPr>
            <w:tcW w:w="1368" w:type="dxa"/>
          </w:tcPr>
          <w:p w:rsidR="0019504F" w:rsidRPr="00BD7CA2" w:rsidRDefault="0019504F" w:rsidP="00BF67EE">
            <w:pPr>
              <w:ind w:right="72"/>
              <w:jc w:val="right"/>
              <w:rPr>
                <w:sz w:val="22"/>
                <w:szCs w:val="22"/>
              </w:rPr>
            </w:pPr>
            <w:r w:rsidRPr="00BD7CA2">
              <w:rPr>
                <w:sz w:val="22"/>
                <w:szCs w:val="22"/>
              </w:rPr>
              <w:t>95.00%</w:t>
            </w:r>
          </w:p>
        </w:tc>
        <w:tc>
          <w:tcPr>
            <w:tcW w:w="1332" w:type="dxa"/>
          </w:tcPr>
          <w:p w:rsidR="0019504F" w:rsidRPr="00BD7CA2" w:rsidRDefault="0019504F" w:rsidP="00BF67EE">
            <w:pPr>
              <w:jc w:val="right"/>
              <w:rPr>
                <w:sz w:val="22"/>
                <w:szCs w:val="22"/>
              </w:rPr>
            </w:pPr>
            <w:r w:rsidRPr="00BD7CA2">
              <w:rPr>
                <w:sz w:val="22"/>
                <w:szCs w:val="22"/>
              </w:rPr>
              <w:t>100.00%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 xml:space="preserve">Mercy </w:t>
            </w:r>
          </w:p>
        </w:tc>
        <w:tc>
          <w:tcPr>
            <w:tcW w:w="1530" w:type="dxa"/>
          </w:tcPr>
          <w:p w:rsidR="0019504F" w:rsidRPr="00BD7CA2" w:rsidRDefault="0019504F" w:rsidP="00BF67EE">
            <w:pPr>
              <w:ind w:right="-540"/>
              <w:rPr>
                <w:sz w:val="22"/>
                <w:szCs w:val="22"/>
              </w:rPr>
            </w:pPr>
            <w:r w:rsidRPr="00BD7CA2">
              <w:rPr>
                <w:sz w:val="22"/>
                <w:szCs w:val="22"/>
              </w:rPr>
              <w:t>Eagle Lake</w:t>
            </w:r>
          </w:p>
        </w:tc>
        <w:tc>
          <w:tcPr>
            <w:tcW w:w="1530" w:type="dxa"/>
          </w:tcPr>
          <w:p w:rsidR="0019504F" w:rsidRPr="00BD7CA2" w:rsidRDefault="0019504F" w:rsidP="00BF67EE">
            <w:pPr>
              <w:jc w:val="right"/>
              <w:rPr>
                <w:sz w:val="22"/>
                <w:szCs w:val="22"/>
              </w:rPr>
            </w:pPr>
            <w:r w:rsidRPr="00BD7CA2">
              <w:rPr>
                <w:sz w:val="22"/>
                <w:szCs w:val="22"/>
              </w:rPr>
              <w:t>92</w:t>
            </w:r>
          </w:p>
        </w:tc>
        <w:tc>
          <w:tcPr>
            <w:tcW w:w="1080" w:type="dxa"/>
          </w:tcPr>
          <w:p w:rsidR="0019504F" w:rsidRPr="00BD7CA2" w:rsidRDefault="0019504F" w:rsidP="00BF67EE">
            <w:pPr>
              <w:ind w:right="134"/>
              <w:jc w:val="right"/>
              <w:rPr>
                <w:sz w:val="22"/>
                <w:szCs w:val="22"/>
              </w:rPr>
            </w:pPr>
            <w:r w:rsidRPr="00BD7CA2">
              <w:rPr>
                <w:sz w:val="22"/>
                <w:szCs w:val="22"/>
              </w:rPr>
              <w:t>40</w:t>
            </w:r>
          </w:p>
        </w:tc>
        <w:tc>
          <w:tcPr>
            <w:tcW w:w="810" w:type="dxa"/>
          </w:tcPr>
          <w:p w:rsidR="0019504F" w:rsidRPr="00BD7CA2" w:rsidRDefault="0019504F" w:rsidP="00BF67EE">
            <w:pPr>
              <w:ind w:right="44"/>
              <w:jc w:val="right"/>
              <w:rPr>
                <w:sz w:val="22"/>
                <w:szCs w:val="22"/>
              </w:rPr>
            </w:pPr>
            <w:r w:rsidRPr="00BD7CA2">
              <w:rPr>
                <w:sz w:val="22"/>
                <w:szCs w:val="22"/>
              </w:rPr>
              <w:t>10</w:t>
            </w:r>
          </w:p>
        </w:tc>
        <w:tc>
          <w:tcPr>
            <w:tcW w:w="1368" w:type="dxa"/>
          </w:tcPr>
          <w:p w:rsidR="0019504F" w:rsidRPr="00BD7CA2" w:rsidRDefault="0019504F" w:rsidP="00BF67EE">
            <w:pPr>
              <w:ind w:right="72"/>
              <w:jc w:val="right"/>
              <w:rPr>
                <w:sz w:val="22"/>
                <w:szCs w:val="22"/>
              </w:rPr>
            </w:pPr>
            <w:r w:rsidRPr="00BD7CA2">
              <w:rPr>
                <w:sz w:val="22"/>
                <w:szCs w:val="22"/>
              </w:rPr>
              <w:t>95.00%</w:t>
            </w:r>
          </w:p>
        </w:tc>
        <w:tc>
          <w:tcPr>
            <w:tcW w:w="1332" w:type="dxa"/>
          </w:tcPr>
          <w:p w:rsidR="0019504F" w:rsidRPr="00BD7CA2" w:rsidRDefault="0019504F" w:rsidP="00BF67EE">
            <w:pPr>
              <w:jc w:val="right"/>
              <w:rPr>
                <w:sz w:val="22"/>
                <w:szCs w:val="22"/>
              </w:rPr>
            </w:pPr>
            <w:r w:rsidRPr="00BD7CA2">
              <w:rPr>
                <w:sz w:val="22"/>
                <w:szCs w:val="22"/>
              </w:rPr>
              <w:t>110.00%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Presque Isle</w:t>
            </w:r>
          </w:p>
        </w:tc>
        <w:tc>
          <w:tcPr>
            <w:tcW w:w="1530" w:type="dxa"/>
          </w:tcPr>
          <w:p w:rsidR="0019504F" w:rsidRPr="00BD7CA2" w:rsidRDefault="0019504F" w:rsidP="00BF67EE">
            <w:pPr>
              <w:ind w:right="-540"/>
              <w:rPr>
                <w:sz w:val="22"/>
                <w:szCs w:val="22"/>
              </w:rPr>
            </w:pPr>
            <w:r w:rsidRPr="00BD7CA2">
              <w:rPr>
                <w:sz w:val="22"/>
                <w:szCs w:val="22"/>
              </w:rPr>
              <w:t>Presque Isle</w:t>
            </w:r>
          </w:p>
        </w:tc>
        <w:tc>
          <w:tcPr>
            <w:tcW w:w="1530" w:type="dxa"/>
          </w:tcPr>
          <w:p w:rsidR="0019504F" w:rsidRPr="00BD7CA2" w:rsidRDefault="0019504F" w:rsidP="00BF67EE">
            <w:pPr>
              <w:jc w:val="right"/>
              <w:rPr>
                <w:sz w:val="22"/>
                <w:szCs w:val="22"/>
              </w:rPr>
            </w:pPr>
            <w:r w:rsidRPr="00BD7CA2">
              <w:rPr>
                <w:sz w:val="22"/>
                <w:szCs w:val="22"/>
              </w:rPr>
              <w:t>42</w:t>
            </w:r>
          </w:p>
        </w:tc>
        <w:tc>
          <w:tcPr>
            <w:tcW w:w="1080" w:type="dxa"/>
          </w:tcPr>
          <w:p w:rsidR="0019504F" w:rsidRPr="00BD7CA2" w:rsidRDefault="0019504F" w:rsidP="00BF67EE">
            <w:pPr>
              <w:ind w:right="134"/>
              <w:jc w:val="right"/>
              <w:rPr>
                <w:sz w:val="22"/>
                <w:szCs w:val="22"/>
              </w:rPr>
            </w:pPr>
            <w:r w:rsidRPr="00BD7CA2">
              <w:rPr>
                <w:sz w:val="22"/>
                <w:szCs w:val="22"/>
              </w:rPr>
              <w:t>67</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98.51%</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St. Joseph</w:t>
            </w:r>
          </w:p>
        </w:tc>
        <w:tc>
          <w:tcPr>
            <w:tcW w:w="1530" w:type="dxa"/>
          </w:tcPr>
          <w:p w:rsidR="0019504F" w:rsidRPr="00BD7CA2" w:rsidRDefault="0019504F" w:rsidP="00BF67EE">
            <w:pPr>
              <w:ind w:right="-540"/>
              <w:rPr>
                <w:sz w:val="22"/>
                <w:szCs w:val="22"/>
              </w:rPr>
            </w:pPr>
            <w:r w:rsidRPr="00BD7CA2">
              <w:rPr>
                <w:sz w:val="22"/>
                <w:szCs w:val="22"/>
              </w:rPr>
              <w:t>Frenchville</w:t>
            </w:r>
          </w:p>
        </w:tc>
        <w:tc>
          <w:tcPr>
            <w:tcW w:w="1530" w:type="dxa"/>
          </w:tcPr>
          <w:p w:rsidR="0019504F" w:rsidRPr="00BD7CA2" w:rsidRDefault="0019504F" w:rsidP="00BF67EE">
            <w:pPr>
              <w:jc w:val="right"/>
              <w:rPr>
                <w:sz w:val="22"/>
                <w:szCs w:val="22"/>
              </w:rPr>
            </w:pPr>
            <w:r w:rsidRPr="00BD7CA2">
              <w:rPr>
                <w:sz w:val="22"/>
                <w:szCs w:val="22"/>
              </w:rPr>
              <w:t>61</w:t>
            </w:r>
          </w:p>
        </w:tc>
        <w:tc>
          <w:tcPr>
            <w:tcW w:w="1080" w:type="dxa"/>
          </w:tcPr>
          <w:p w:rsidR="0019504F" w:rsidRPr="00BD7CA2" w:rsidRDefault="0019504F" w:rsidP="00BF67EE">
            <w:pPr>
              <w:ind w:right="134"/>
              <w:jc w:val="right"/>
              <w:rPr>
                <w:sz w:val="22"/>
                <w:szCs w:val="22"/>
              </w:rPr>
            </w:pPr>
            <w:r w:rsidRPr="00BD7CA2">
              <w:rPr>
                <w:sz w:val="22"/>
                <w:szCs w:val="22"/>
              </w:rPr>
              <w:t>43</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100.00%</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TAMC -AHC</w:t>
            </w:r>
          </w:p>
        </w:tc>
        <w:tc>
          <w:tcPr>
            <w:tcW w:w="1530" w:type="dxa"/>
          </w:tcPr>
          <w:p w:rsidR="0019504F" w:rsidRPr="00BD7CA2" w:rsidRDefault="0019504F" w:rsidP="00BF67EE">
            <w:pPr>
              <w:ind w:right="-540"/>
              <w:rPr>
                <w:sz w:val="22"/>
                <w:szCs w:val="22"/>
              </w:rPr>
            </w:pPr>
            <w:r w:rsidRPr="00BD7CA2">
              <w:rPr>
                <w:sz w:val="22"/>
                <w:szCs w:val="22"/>
              </w:rPr>
              <w:t>Mars Hill</w:t>
            </w:r>
          </w:p>
        </w:tc>
        <w:tc>
          <w:tcPr>
            <w:tcW w:w="1530" w:type="dxa"/>
          </w:tcPr>
          <w:p w:rsidR="0019504F" w:rsidRPr="00BD7CA2" w:rsidRDefault="0019504F" w:rsidP="00BF67EE">
            <w:pPr>
              <w:jc w:val="right"/>
              <w:rPr>
                <w:sz w:val="22"/>
                <w:szCs w:val="22"/>
              </w:rPr>
            </w:pPr>
            <w:r w:rsidRPr="00BD7CA2">
              <w:rPr>
                <w:sz w:val="22"/>
                <w:szCs w:val="22"/>
              </w:rPr>
              <w:t>28</w:t>
            </w:r>
          </w:p>
        </w:tc>
        <w:tc>
          <w:tcPr>
            <w:tcW w:w="1080" w:type="dxa"/>
          </w:tcPr>
          <w:p w:rsidR="0019504F" w:rsidRPr="00BD7CA2" w:rsidRDefault="0019504F" w:rsidP="00BF67EE">
            <w:pPr>
              <w:ind w:right="134"/>
              <w:jc w:val="right"/>
              <w:rPr>
                <w:sz w:val="22"/>
                <w:szCs w:val="22"/>
              </w:rPr>
            </w:pPr>
            <w:r w:rsidRPr="00BD7CA2">
              <w:rPr>
                <w:sz w:val="22"/>
                <w:szCs w:val="22"/>
              </w:rPr>
              <w:t>72</w:t>
            </w:r>
          </w:p>
        </w:tc>
        <w:tc>
          <w:tcPr>
            <w:tcW w:w="810" w:type="dxa"/>
          </w:tcPr>
          <w:p w:rsidR="0019504F" w:rsidRPr="00BD7CA2" w:rsidRDefault="0019504F" w:rsidP="00BF67EE">
            <w:pPr>
              <w:ind w:right="44"/>
              <w:jc w:val="right"/>
              <w:rPr>
                <w:sz w:val="22"/>
                <w:szCs w:val="22"/>
              </w:rPr>
            </w:pPr>
            <w:r w:rsidRPr="00BD7CA2">
              <w:rPr>
                <w:sz w:val="22"/>
                <w:szCs w:val="22"/>
              </w:rPr>
              <w:t>0</w:t>
            </w:r>
          </w:p>
        </w:tc>
        <w:tc>
          <w:tcPr>
            <w:tcW w:w="1368" w:type="dxa"/>
          </w:tcPr>
          <w:p w:rsidR="0019504F" w:rsidRPr="00BD7CA2" w:rsidRDefault="0019504F" w:rsidP="00BF67EE">
            <w:pPr>
              <w:ind w:right="72"/>
              <w:jc w:val="right"/>
              <w:rPr>
                <w:sz w:val="22"/>
                <w:szCs w:val="22"/>
              </w:rPr>
            </w:pPr>
            <w:r w:rsidRPr="00BD7CA2">
              <w:rPr>
                <w:sz w:val="22"/>
                <w:szCs w:val="22"/>
              </w:rPr>
              <w:t>80.56%</w:t>
            </w:r>
          </w:p>
        </w:tc>
        <w:tc>
          <w:tcPr>
            <w:tcW w:w="1332" w:type="dxa"/>
          </w:tcPr>
          <w:p w:rsidR="0019504F" w:rsidRPr="00BD7CA2" w:rsidRDefault="0019504F" w:rsidP="00BF67EE">
            <w:pPr>
              <w:jc w:val="right"/>
              <w:rPr>
                <w:sz w:val="22"/>
                <w:szCs w:val="22"/>
              </w:rPr>
            </w:pPr>
            <w:r w:rsidRPr="00BD7CA2">
              <w:rPr>
                <w:sz w:val="22"/>
                <w:szCs w:val="22"/>
              </w:rPr>
              <w:t>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 xml:space="preserve">Crestview </w:t>
            </w:r>
          </w:p>
        </w:tc>
        <w:tc>
          <w:tcPr>
            <w:tcW w:w="1530" w:type="dxa"/>
          </w:tcPr>
          <w:p w:rsidR="0019504F" w:rsidRPr="00BD7CA2" w:rsidRDefault="0019504F" w:rsidP="00BF67EE">
            <w:pPr>
              <w:ind w:right="-540"/>
              <w:rPr>
                <w:sz w:val="22"/>
                <w:szCs w:val="22"/>
              </w:rPr>
            </w:pPr>
            <w:r w:rsidRPr="00BD7CA2">
              <w:rPr>
                <w:sz w:val="22"/>
                <w:szCs w:val="22"/>
              </w:rPr>
              <w:t>Houlton</w:t>
            </w:r>
          </w:p>
        </w:tc>
        <w:tc>
          <w:tcPr>
            <w:tcW w:w="1530" w:type="dxa"/>
          </w:tcPr>
          <w:p w:rsidR="0019504F" w:rsidRPr="00BD7CA2" w:rsidRDefault="0019504F" w:rsidP="00BF67EE">
            <w:pPr>
              <w:jc w:val="right"/>
              <w:rPr>
                <w:sz w:val="22"/>
                <w:szCs w:val="22"/>
              </w:rPr>
            </w:pPr>
            <w:r w:rsidRPr="00BD7CA2">
              <w:rPr>
                <w:sz w:val="22"/>
                <w:szCs w:val="22"/>
              </w:rPr>
              <w:t>0</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20</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105.00%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Crosswinds</w:t>
            </w:r>
          </w:p>
        </w:tc>
        <w:tc>
          <w:tcPr>
            <w:tcW w:w="1530" w:type="dxa"/>
          </w:tcPr>
          <w:p w:rsidR="0019504F" w:rsidRPr="00BD7CA2" w:rsidRDefault="0019504F" w:rsidP="00BF67EE">
            <w:pPr>
              <w:ind w:right="-540"/>
              <w:rPr>
                <w:sz w:val="22"/>
                <w:szCs w:val="22"/>
              </w:rPr>
            </w:pPr>
            <w:r w:rsidRPr="00BD7CA2">
              <w:rPr>
                <w:sz w:val="22"/>
                <w:szCs w:val="22"/>
              </w:rPr>
              <w:t>Fort Kent</w:t>
            </w:r>
          </w:p>
        </w:tc>
        <w:tc>
          <w:tcPr>
            <w:tcW w:w="1530" w:type="dxa"/>
          </w:tcPr>
          <w:p w:rsidR="0019504F" w:rsidRPr="00BD7CA2" w:rsidRDefault="0019504F" w:rsidP="00BF67EE">
            <w:pPr>
              <w:jc w:val="right"/>
              <w:rPr>
                <w:sz w:val="22"/>
                <w:szCs w:val="22"/>
              </w:rPr>
            </w:pPr>
            <w:r w:rsidRPr="00BD7CA2">
              <w:rPr>
                <w:sz w:val="22"/>
                <w:szCs w:val="22"/>
              </w:rPr>
              <w:t>98</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45</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97.78%</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Country Village</w:t>
            </w:r>
          </w:p>
        </w:tc>
        <w:tc>
          <w:tcPr>
            <w:tcW w:w="1530" w:type="dxa"/>
          </w:tcPr>
          <w:p w:rsidR="0019504F" w:rsidRPr="00BD7CA2" w:rsidRDefault="0019504F" w:rsidP="00BF67EE">
            <w:pPr>
              <w:ind w:right="-540"/>
              <w:rPr>
                <w:sz w:val="22"/>
                <w:szCs w:val="22"/>
              </w:rPr>
            </w:pPr>
            <w:r w:rsidRPr="00BD7CA2">
              <w:rPr>
                <w:sz w:val="22"/>
                <w:szCs w:val="22"/>
              </w:rPr>
              <w:t>Madawaska</w:t>
            </w:r>
          </w:p>
        </w:tc>
        <w:tc>
          <w:tcPr>
            <w:tcW w:w="1530" w:type="dxa"/>
          </w:tcPr>
          <w:p w:rsidR="0019504F" w:rsidRPr="00BD7CA2" w:rsidRDefault="0019504F" w:rsidP="00BF67EE">
            <w:pPr>
              <w:jc w:val="right"/>
              <w:rPr>
                <w:sz w:val="22"/>
                <w:szCs w:val="22"/>
              </w:rPr>
            </w:pPr>
            <w:r w:rsidRPr="00BD7CA2">
              <w:rPr>
                <w:sz w:val="22"/>
                <w:szCs w:val="22"/>
              </w:rPr>
              <w:t>102</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27</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96.30%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Limestone Manor</w:t>
            </w:r>
          </w:p>
        </w:tc>
        <w:tc>
          <w:tcPr>
            <w:tcW w:w="1530" w:type="dxa"/>
          </w:tcPr>
          <w:p w:rsidR="0019504F" w:rsidRPr="00BD7CA2" w:rsidRDefault="0019504F" w:rsidP="00BF67EE">
            <w:pPr>
              <w:ind w:right="-540"/>
              <w:rPr>
                <w:sz w:val="22"/>
                <w:szCs w:val="22"/>
              </w:rPr>
            </w:pPr>
            <w:r w:rsidRPr="00BD7CA2">
              <w:rPr>
                <w:sz w:val="22"/>
                <w:szCs w:val="22"/>
              </w:rPr>
              <w:t>Limestone</w:t>
            </w:r>
          </w:p>
        </w:tc>
        <w:tc>
          <w:tcPr>
            <w:tcW w:w="1530" w:type="dxa"/>
          </w:tcPr>
          <w:p w:rsidR="0019504F" w:rsidRPr="00BD7CA2" w:rsidRDefault="0019504F" w:rsidP="00BF67EE">
            <w:pPr>
              <w:jc w:val="right"/>
              <w:rPr>
                <w:sz w:val="22"/>
                <w:szCs w:val="22"/>
              </w:rPr>
            </w:pPr>
            <w:r w:rsidRPr="00BD7CA2">
              <w:rPr>
                <w:sz w:val="22"/>
                <w:szCs w:val="22"/>
              </w:rPr>
              <w:t>57</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40</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85.00%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Ridgewood Estates</w:t>
            </w:r>
          </w:p>
        </w:tc>
        <w:tc>
          <w:tcPr>
            <w:tcW w:w="1530" w:type="dxa"/>
          </w:tcPr>
          <w:p w:rsidR="0019504F" w:rsidRPr="00BD7CA2" w:rsidRDefault="0019504F" w:rsidP="00BF67EE">
            <w:pPr>
              <w:ind w:right="-540"/>
              <w:rPr>
                <w:sz w:val="22"/>
                <w:szCs w:val="22"/>
              </w:rPr>
            </w:pPr>
            <w:r w:rsidRPr="00BD7CA2">
              <w:rPr>
                <w:sz w:val="22"/>
                <w:szCs w:val="22"/>
              </w:rPr>
              <w:t>Madawaska</w:t>
            </w:r>
          </w:p>
        </w:tc>
        <w:tc>
          <w:tcPr>
            <w:tcW w:w="1530" w:type="dxa"/>
          </w:tcPr>
          <w:p w:rsidR="0019504F" w:rsidRPr="00BD7CA2" w:rsidRDefault="0019504F" w:rsidP="00BF67EE">
            <w:pPr>
              <w:jc w:val="right"/>
              <w:rPr>
                <w:sz w:val="22"/>
                <w:szCs w:val="22"/>
              </w:rPr>
            </w:pPr>
            <w:r w:rsidRPr="00BD7CA2">
              <w:rPr>
                <w:sz w:val="22"/>
                <w:szCs w:val="22"/>
              </w:rPr>
              <w:t>102</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43</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100.00%</w:t>
            </w:r>
          </w:p>
        </w:tc>
      </w:tr>
      <w:tr w:rsidR="0019504F" w:rsidTr="003C315B">
        <w:tc>
          <w:tcPr>
            <w:tcW w:w="2250" w:type="dxa"/>
            <w:vAlign w:val="bottom"/>
          </w:tcPr>
          <w:p w:rsidR="0019504F" w:rsidRPr="00BD7CA2" w:rsidRDefault="0019504F" w:rsidP="00BF67EE">
            <w:pPr>
              <w:ind w:right="-540"/>
              <w:rPr>
                <w:color w:val="000000"/>
                <w:sz w:val="22"/>
                <w:szCs w:val="22"/>
              </w:rPr>
            </w:pPr>
            <w:r w:rsidRPr="00BD7CA2">
              <w:rPr>
                <w:color w:val="000000"/>
                <w:sz w:val="22"/>
                <w:szCs w:val="22"/>
              </w:rPr>
              <w:t>Southern Acres</w:t>
            </w:r>
          </w:p>
        </w:tc>
        <w:tc>
          <w:tcPr>
            <w:tcW w:w="1530" w:type="dxa"/>
          </w:tcPr>
          <w:p w:rsidR="0019504F" w:rsidRPr="00BD7CA2" w:rsidRDefault="0019504F" w:rsidP="00BF67EE">
            <w:pPr>
              <w:ind w:right="-540"/>
              <w:rPr>
                <w:sz w:val="22"/>
                <w:szCs w:val="22"/>
              </w:rPr>
            </w:pPr>
            <w:r w:rsidRPr="00BD7CA2">
              <w:rPr>
                <w:sz w:val="22"/>
                <w:szCs w:val="22"/>
              </w:rPr>
              <w:t>Westfield</w:t>
            </w:r>
          </w:p>
        </w:tc>
        <w:tc>
          <w:tcPr>
            <w:tcW w:w="1530" w:type="dxa"/>
          </w:tcPr>
          <w:p w:rsidR="0019504F" w:rsidRPr="00BD7CA2" w:rsidRDefault="0019504F" w:rsidP="00BF67EE">
            <w:pPr>
              <w:jc w:val="right"/>
              <w:rPr>
                <w:sz w:val="22"/>
                <w:szCs w:val="22"/>
              </w:rPr>
            </w:pPr>
            <w:r w:rsidRPr="00BD7CA2">
              <w:rPr>
                <w:sz w:val="22"/>
                <w:szCs w:val="22"/>
              </w:rPr>
              <w:t>33</w:t>
            </w:r>
          </w:p>
        </w:tc>
        <w:tc>
          <w:tcPr>
            <w:tcW w:w="1080" w:type="dxa"/>
          </w:tcPr>
          <w:p w:rsidR="0019504F" w:rsidRPr="00BD7CA2" w:rsidRDefault="0019504F" w:rsidP="00BF67EE">
            <w:pPr>
              <w:ind w:right="134"/>
              <w:jc w:val="right"/>
              <w:rPr>
                <w:sz w:val="22"/>
                <w:szCs w:val="22"/>
              </w:rPr>
            </w:pPr>
            <w:r w:rsidRPr="00BD7CA2">
              <w:rPr>
                <w:sz w:val="22"/>
                <w:szCs w:val="22"/>
              </w:rPr>
              <w:t>0</w:t>
            </w:r>
          </w:p>
        </w:tc>
        <w:tc>
          <w:tcPr>
            <w:tcW w:w="810" w:type="dxa"/>
          </w:tcPr>
          <w:p w:rsidR="0019504F" w:rsidRPr="00BD7CA2" w:rsidRDefault="0019504F" w:rsidP="00BF67EE">
            <w:pPr>
              <w:ind w:right="44"/>
              <w:jc w:val="right"/>
              <w:rPr>
                <w:sz w:val="22"/>
                <w:szCs w:val="22"/>
              </w:rPr>
            </w:pPr>
            <w:r w:rsidRPr="00BD7CA2">
              <w:rPr>
                <w:sz w:val="22"/>
                <w:szCs w:val="22"/>
              </w:rPr>
              <w:t>30</w:t>
            </w:r>
          </w:p>
        </w:tc>
        <w:tc>
          <w:tcPr>
            <w:tcW w:w="1368" w:type="dxa"/>
          </w:tcPr>
          <w:p w:rsidR="0019504F" w:rsidRPr="00BD7CA2" w:rsidRDefault="0019504F" w:rsidP="00BF67EE">
            <w:pPr>
              <w:ind w:right="72"/>
              <w:jc w:val="right"/>
              <w:rPr>
                <w:sz w:val="22"/>
                <w:szCs w:val="22"/>
              </w:rPr>
            </w:pPr>
            <w:r w:rsidRPr="00BD7CA2">
              <w:rPr>
                <w:sz w:val="22"/>
                <w:szCs w:val="22"/>
              </w:rPr>
              <w:t>0.00%</w:t>
            </w:r>
          </w:p>
        </w:tc>
        <w:tc>
          <w:tcPr>
            <w:tcW w:w="1332" w:type="dxa"/>
          </w:tcPr>
          <w:p w:rsidR="0019504F" w:rsidRPr="00BD7CA2" w:rsidRDefault="0019504F" w:rsidP="00BF67EE">
            <w:pPr>
              <w:jc w:val="right"/>
              <w:rPr>
                <w:sz w:val="22"/>
                <w:szCs w:val="22"/>
              </w:rPr>
            </w:pPr>
            <w:r w:rsidRPr="00BD7CA2">
              <w:rPr>
                <w:sz w:val="22"/>
                <w:szCs w:val="22"/>
              </w:rPr>
              <w:t>90.00%</w:t>
            </w:r>
          </w:p>
        </w:tc>
      </w:tr>
      <w:tr w:rsidR="0019504F" w:rsidRPr="00BD7CA2" w:rsidTr="003C315B">
        <w:tc>
          <w:tcPr>
            <w:tcW w:w="2250" w:type="dxa"/>
            <w:vAlign w:val="bottom"/>
          </w:tcPr>
          <w:p w:rsidR="0019504F" w:rsidRPr="00BD7CA2" w:rsidRDefault="0019504F" w:rsidP="00BF67EE">
            <w:pPr>
              <w:ind w:right="-540"/>
              <w:jc w:val="center"/>
              <w:rPr>
                <w:b/>
                <w:bCs/>
                <w:color w:val="000000"/>
                <w:sz w:val="22"/>
                <w:szCs w:val="22"/>
              </w:rPr>
            </w:pPr>
            <w:r w:rsidRPr="00BD7CA2">
              <w:rPr>
                <w:b/>
                <w:bCs/>
                <w:color w:val="000000"/>
                <w:sz w:val="22"/>
                <w:szCs w:val="22"/>
              </w:rPr>
              <w:t>TOTAL</w:t>
            </w:r>
          </w:p>
        </w:tc>
        <w:tc>
          <w:tcPr>
            <w:tcW w:w="1530" w:type="dxa"/>
          </w:tcPr>
          <w:p w:rsidR="0019504F" w:rsidRPr="00BD7CA2" w:rsidRDefault="0019504F" w:rsidP="00BF67EE">
            <w:pPr>
              <w:ind w:right="-540"/>
              <w:jc w:val="center"/>
              <w:rPr>
                <w:b/>
                <w:sz w:val="22"/>
                <w:szCs w:val="22"/>
              </w:rPr>
            </w:pPr>
          </w:p>
        </w:tc>
        <w:tc>
          <w:tcPr>
            <w:tcW w:w="1530" w:type="dxa"/>
          </w:tcPr>
          <w:p w:rsidR="0019504F" w:rsidRPr="00BD7CA2" w:rsidRDefault="0019504F" w:rsidP="00BF67EE">
            <w:pPr>
              <w:ind w:right="-540"/>
              <w:rPr>
                <w:b/>
                <w:sz w:val="22"/>
                <w:szCs w:val="22"/>
              </w:rPr>
            </w:pPr>
          </w:p>
        </w:tc>
        <w:tc>
          <w:tcPr>
            <w:tcW w:w="1080" w:type="dxa"/>
          </w:tcPr>
          <w:p w:rsidR="0019504F" w:rsidRPr="00BD7CA2" w:rsidRDefault="0019504F" w:rsidP="00BF67EE">
            <w:pPr>
              <w:ind w:right="134"/>
              <w:jc w:val="right"/>
              <w:rPr>
                <w:b/>
                <w:sz w:val="22"/>
                <w:szCs w:val="22"/>
              </w:rPr>
            </w:pPr>
            <w:r w:rsidRPr="00BD7CA2">
              <w:rPr>
                <w:b/>
                <w:sz w:val="22"/>
                <w:szCs w:val="22"/>
              </w:rPr>
              <w:t>605</w:t>
            </w:r>
          </w:p>
        </w:tc>
        <w:tc>
          <w:tcPr>
            <w:tcW w:w="810" w:type="dxa"/>
          </w:tcPr>
          <w:p w:rsidR="0019504F" w:rsidRPr="00BD7CA2" w:rsidRDefault="0019504F" w:rsidP="00BF67EE">
            <w:pPr>
              <w:ind w:right="44"/>
              <w:jc w:val="right"/>
              <w:rPr>
                <w:b/>
                <w:sz w:val="22"/>
                <w:szCs w:val="22"/>
              </w:rPr>
            </w:pPr>
            <w:r w:rsidRPr="00BD7CA2">
              <w:rPr>
                <w:b/>
                <w:sz w:val="22"/>
                <w:szCs w:val="22"/>
              </w:rPr>
              <w:t>355</w:t>
            </w:r>
          </w:p>
        </w:tc>
        <w:tc>
          <w:tcPr>
            <w:tcW w:w="1368" w:type="dxa"/>
          </w:tcPr>
          <w:p w:rsidR="0019504F" w:rsidRPr="00BD7CA2" w:rsidRDefault="0019504F" w:rsidP="00BF67EE">
            <w:pPr>
              <w:ind w:right="72"/>
              <w:jc w:val="right"/>
              <w:rPr>
                <w:b/>
                <w:sz w:val="22"/>
                <w:szCs w:val="22"/>
              </w:rPr>
            </w:pPr>
            <w:r w:rsidRPr="00BD7CA2">
              <w:rPr>
                <w:b/>
                <w:sz w:val="22"/>
                <w:szCs w:val="22"/>
              </w:rPr>
              <w:t>95.35%</w:t>
            </w:r>
          </w:p>
        </w:tc>
        <w:tc>
          <w:tcPr>
            <w:tcW w:w="1332" w:type="dxa"/>
          </w:tcPr>
          <w:p w:rsidR="0019504F" w:rsidRPr="00BD7CA2" w:rsidRDefault="0019504F" w:rsidP="00BF67EE">
            <w:pPr>
              <w:jc w:val="right"/>
              <w:rPr>
                <w:b/>
                <w:sz w:val="22"/>
                <w:szCs w:val="22"/>
              </w:rPr>
            </w:pPr>
            <w:r w:rsidRPr="00BD7CA2">
              <w:rPr>
                <w:b/>
                <w:sz w:val="22"/>
                <w:szCs w:val="22"/>
              </w:rPr>
              <w:t>96.53%</w:t>
            </w:r>
          </w:p>
        </w:tc>
      </w:tr>
    </w:tbl>
    <w:p w:rsidR="0019504F" w:rsidRPr="0019504F" w:rsidRDefault="0019504F" w:rsidP="00BF67EE">
      <w:pPr>
        <w:ind w:right="-540"/>
        <w:rPr>
          <w:szCs w:val="24"/>
        </w:rPr>
      </w:pPr>
    </w:p>
    <w:p w:rsidR="00864009" w:rsidRPr="009B19F4" w:rsidRDefault="00864009" w:rsidP="00BF67EE">
      <w:pPr>
        <w:ind w:right="-540"/>
        <w:jc w:val="both"/>
      </w:pPr>
      <w:r w:rsidRPr="009B19F4">
        <w:t xml:space="preserve">As shown in the table above TAMC-AHC has an occupancy rate of 80.56% for SNF/NF beds. A review of almost two years of occupancy data shows that the average occupancy rate at TAMC-AHC is approximately 79%. In addition, although Houlton Regional </w:t>
      </w:r>
      <w:r w:rsidR="00EA3AD7">
        <w:t xml:space="preserve">has </w:t>
      </w:r>
      <w:r w:rsidRPr="009B19F4">
        <w:t>closed i</w:t>
      </w:r>
      <w:r w:rsidR="00B71C53">
        <w:t>t</w:t>
      </w:r>
      <w:r w:rsidRPr="009B19F4">
        <w:t>s 28 SNF/NF bed nursing unit</w:t>
      </w:r>
      <w:r w:rsidR="00EA3AD7">
        <w:t>,</w:t>
      </w:r>
      <w:r w:rsidRPr="009B19F4">
        <w:t xml:space="preserve"> the hospital has received a swing bed designation which allows it to use its beds, as needed, to provide either acute or SNF care. Due to the availability of SNF/NF beds in close proximity (within 30 miles) to Houlton we recommend</w:t>
      </w:r>
      <w:r w:rsidR="00EA3AD7">
        <w:t xml:space="preserve">ed and the applicant agreed </w:t>
      </w:r>
      <w:r w:rsidRPr="009B19F4">
        <w:t xml:space="preserve">that the applicant </w:t>
      </w:r>
      <w:r w:rsidR="00EA3AD7">
        <w:t xml:space="preserve">should </w:t>
      </w:r>
      <w:r w:rsidRPr="009B19F4">
        <w:t xml:space="preserve">downsize the requested </w:t>
      </w:r>
      <w:r w:rsidR="00EA3AD7">
        <w:t xml:space="preserve">number of </w:t>
      </w:r>
      <w:r w:rsidRPr="009B19F4">
        <w:t>new SNF/NF beds.</w:t>
      </w:r>
      <w:r w:rsidR="00EA3AD7">
        <w:t xml:space="preserve"> </w:t>
      </w:r>
    </w:p>
    <w:p w:rsidR="00864009" w:rsidRPr="008E1B01" w:rsidRDefault="00864009" w:rsidP="00BF67EE">
      <w:pPr>
        <w:ind w:right="-540"/>
        <w:rPr>
          <w:sz w:val="16"/>
          <w:szCs w:val="16"/>
        </w:rPr>
      </w:pPr>
    </w:p>
    <w:p w:rsidR="00864009" w:rsidRPr="009B19F4" w:rsidRDefault="00864009" w:rsidP="00BF67EE">
      <w:pPr>
        <w:ind w:right="-540"/>
        <w:jc w:val="both"/>
      </w:pPr>
      <w:r w:rsidRPr="009B19F4">
        <w:t xml:space="preserve">This </w:t>
      </w:r>
      <w:r w:rsidR="00EA3AD7">
        <w:t xml:space="preserve">original </w:t>
      </w:r>
      <w:r w:rsidRPr="009B19F4">
        <w:t>proposal also request</w:t>
      </w:r>
      <w:r w:rsidR="00EA3AD7">
        <w:t>ed</w:t>
      </w:r>
      <w:r w:rsidRPr="009B19F4">
        <w:t xml:space="preserve"> that 13 RCF beds be converted to SNF/NF beds. An analysis of </w:t>
      </w:r>
      <w:r w:rsidR="00B71C53">
        <w:t>RCFs</w:t>
      </w:r>
      <w:r w:rsidRPr="009B19F4">
        <w:t xml:space="preserve"> within a </w:t>
      </w:r>
      <w:r w:rsidR="005B0243" w:rsidRPr="009B19F4">
        <w:t>30-mile</w:t>
      </w:r>
      <w:r w:rsidRPr="009B19F4">
        <w:t xml:space="preserve"> radius of Houlton reveals that both Crestview and Gardiner currently have occupancy rates of over </w:t>
      </w:r>
      <w:r w:rsidR="005B0243">
        <w:t>93</w:t>
      </w:r>
      <w:r w:rsidRPr="009B19F4">
        <w:t xml:space="preserve">%. The applicant states that Madigan averaged over 92% occupancy during this </w:t>
      </w:r>
      <w:r w:rsidR="005B0243" w:rsidRPr="009B19F4">
        <w:t>time</w:t>
      </w:r>
      <w:r w:rsidRPr="009B19F4">
        <w:t xml:space="preserve">. This analysis shows that RCF services in close proximity (within 30 miles) to Houlton are equally </w:t>
      </w:r>
      <w:r w:rsidR="00EA3AD7">
        <w:t>in demand</w:t>
      </w:r>
      <w:r w:rsidRPr="009B19F4">
        <w:t xml:space="preserve">. By reducing the requested number of SNF/NF </w:t>
      </w:r>
      <w:r w:rsidR="005B0243" w:rsidRPr="009B19F4">
        <w:t>beds,</w:t>
      </w:r>
      <w:r w:rsidRPr="009B19F4">
        <w:t xml:space="preserve"> the RCF beds can be retained</w:t>
      </w:r>
      <w:r w:rsidR="005B0243">
        <w:t xml:space="preserve"> and difficult relocations avoided.</w:t>
      </w:r>
    </w:p>
    <w:p w:rsidR="00864009" w:rsidRPr="008E1B01" w:rsidRDefault="00864009" w:rsidP="00BF67EE">
      <w:pPr>
        <w:ind w:right="-540"/>
        <w:rPr>
          <w:sz w:val="16"/>
          <w:szCs w:val="16"/>
        </w:rPr>
      </w:pPr>
    </w:p>
    <w:p w:rsidR="00864009" w:rsidRPr="009B19F4" w:rsidRDefault="00864009" w:rsidP="00BF67EE">
      <w:pPr>
        <w:ind w:right="-540"/>
        <w:jc w:val="both"/>
      </w:pPr>
      <w:r w:rsidRPr="009B19F4">
        <w:t>Maintaining and enhancing needed SNF/NF</w:t>
      </w:r>
      <w:r w:rsidR="00B71C53">
        <w:t xml:space="preserve"> beds</w:t>
      </w:r>
      <w:r w:rsidRPr="009B19F4">
        <w:t xml:space="preserve"> will have a positive impact on the health status indicators o</w:t>
      </w:r>
      <w:r w:rsidR="00977039">
        <w:t xml:space="preserve">f the population. </w:t>
      </w:r>
      <w:r w:rsidRPr="009B19F4">
        <w:t>This facility enables residents to remain close to home and family while receiving services. The facility will continue to provide individualized care and specialized rehabilitation services</w:t>
      </w:r>
      <w:r w:rsidR="00B71C53">
        <w:t>,</w:t>
      </w:r>
      <w:r w:rsidRPr="009B19F4">
        <w:t xml:space="preserve"> which include podiatry services, occupational therapy, speech therapy and physical therapy.</w:t>
      </w:r>
    </w:p>
    <w:p w:rsidR="00BF67EE" w:rsidRDefault="00BF67EE" w:rsidP="000F6EB1">
      <w:pPr>
        <w:ind w:right="-540"/>
        <w:jc w:val="both"/>
      </w:pPr>
    </w:p>
    <w:p w:rsidR="00864009" w:rsidRPr="009B19F4" w:rsidRDefault="00864009" w:rsidP="000F6EB1">
      <w:pPr>
        <w:ind w:right="-540"/>
        <w:jc w:val="both"/>
      </w:pPr>
      <w:r w:rsidRPr="009B19F4">
        <w:t>The services affected by the project will be accessible to all residents in the area.</w:t>
      </w:r>
    </w:p>
    <w:p w:rsidR="009120BE" w:rsidRDefault="009120BE" w:rsidP="000F6EB1">
      <w:pPr>
        <w:ind w:right="-540"/>
        <w:jc w:val="both"/>
      </w:pPr>
    </w:p>
    <w:p w:rsidR="00864009" w:rsidRDefault="00864009" w:rsidP="000F6EB1">
      <w:pPr>
        <w:ind w:right="-540"/>
        <w:jc w:val="both"/>
      </w:pPr>
      <w:r w:rsidRPr="009B19F4">
        <w:t>MGNH plans to continue to enhance its rehabilitation program</w:t>
      </w:r>
      <w:r w:rsidR="00B71C53">
        <w:t>,</w:t>
      </w:r>
      <w:r w:rsidRPr="009B19F4">
        <w:t xml:space="preserve"> which will benefit patients by speeding their recovery and eventual discharge to home or community based services</w:t>
      </w:r>
      <w:r w:rsidR="00B71C53">
        <w:t>,</w:t>
      </w:r>
      <w:r w:rsidRPr="009B19F4">
        <w:t xml:space="preserve"> which are far less</w:t>
      </w:r>
      <w:r>
        <w:t xml:space="preserve"> expensive than long-term care.</w:t>
      </w:r>
    </w:p>
    <w:p w:rsidR="00EA3AD7" w:rsidRDefault="00EA3AD7" w:rsidP="000F6EB1">
      <w:pPr>
        <w:ind w:right="-540"/>
        <w:jc w:val="both"/>
      </w:pPr>
    </w:p>
    <w:p w:rsidR="00864009" w:rsidRPr="001B696D" w:rsidRDefault="00864009" w:rsidP="000F6EB1">
      <w:pPr>
        <w:ind w:right="-540"/>
        <w:jc w:val="both"/>
      </w:pPr>
      <w:r>
        <w:t>The applicant</w:t>
      </w:r>
      <w:r w:rsidR="00EA3AD7">
        <w:t>’s</w:t>
      </w:r>
      <w:r>
        <w:t xml:space="preserve"> revised project has addressed previous CONU concerns. Leaving the existing 47 bed RCF capacity in place at Madigan estates will ensure that necessary RCF services in the Houlton area will remain in place. The addition of only 13 SNF/NF beds ensures MaineCare neutrality while meeting current demand for SNF/NF services.</w:t>
      </w:r>
    </w:p>
    <w:p w:rsidR="00E53BD1" w:rsidRPr="00BD7CA2" w:rsidRDefault="00E53BD1" w:rsidP="000F6EB1">
      <w:pPr>
        <w:ind w:right="-540"/>
        <w:jc w:val="both"/>
        <w:rPr>
          <w:szCs w:val="24"/>
        </w:rPr>
      </w:pPr>
    </w:p>
    <w:p w:rsidR="00B92D52" w:rsidRPr="005E2E11" w:rsidRDefault="00B92D52" w:rsidP="000F6EB1">
      <w:pPr>
        <w:numPr>
          <w:ilvl w:val="0"/>
          <w:numId w:val="44"/>
        </w:numPr>
        <w:ind w:left="1440" w:right="-540"/>
        <w:rPr>
          <w:b/>
          <w:szCs w:val="24"/>
        </w:rPr>
      </w:pPr>
      <w:r w:rsidRPr="005E2E11">
        <w:rPr>
          <w:b/>
          <w:szCs w:val="24"/>
        </w:rPr>
        <w:t>Orderly and Economic Development:</w:t>
      </w:r>
    </w:p>
    <w:p w:rsidR="00B92D52" w:rsidRPr="00BD7CA2" w:rsidRDefault="00B92D52" w:rsidP="000F6EB1">
      <w:pPr>
        <w:ind w:right="-540"/>
        <w:jc w:val="both"/>
        <w:rPr>
          <w:szCs w:val="24"/>
        </w:rPr>
      </w:pPr>
    </w:p>
    <w:p w:rsidR="00864009" w:rsidRPr="009B19F4" w:rsidRDefault="00864009" w:rsidP="000F6EB1">
      <w:pPr>
        <w:ind w:right="-540"/>
        <w:jc w:val="both"/>
      </w:pPr>
      <w:r w:rsidRPr="009B19F4">
        <w:t xml:space="preserve">The decision to increase MGNH SNF/NF capacity from 86 to 111 beds would address a demonstrated need for </w:t>
      </w:r>
      <w:r w:rsidR="00EA18A1">
        <w:t xml:space="preserve">some </w:t>
      </w:r>
      <w:r w:rsidRPr="009B19F4">
        <w:t>additional SNF/NF beds in the Houlton area. Unfortunately this benefit would be offset by a reduction in necessary RCF beds in the area by redu</w:t>
      </w:r>
      <w:r>
        <w:t xml:space="preserve">cing MGNH </w:t>
      </w:r>
      <w:r w:rsidR="00EA18A1">
        <w:t>capacity</w:t>
      </w:r>
      <w:r>
        <w:t xml:space="preserve"> from 47 to 34.</w:t>
      </w:r>
    </w:p>
    <w:p w:rsidR="00864009" w:rsidRPr="00BD7CA2" w:rsidRDefault="00864009" w:rsidP="000F6EB1">
      <w:pPr>
        <w:ind w:right="-540"/>
        <w:jc w:val="both"/>
        <w:rPr>
          <w:szCs w:val="24"/>
        </w:rPr>
      </w:pPr>
    </w:p>
    <w:p w:rsidR="00864009" w:rsidRPr="009B19F4" w:rsidRDefault="00864009" w:rsidP="000F6EB1">
      <w:pPr>
        <w:ind w:right="-540"/>
        <w:jc w:val="both"/>
      </w:pPr>
      <w:r w:rsidRPr="009B19F4">
        <w:t>The increased operating costs associated with the 25 additional SNF/NF beds</w:t>
      </w:r>
      <w:r w:rsidR="00B71C53">
        <w:t>,</w:t>
      </w:r>
      <w:r w:rsidRPr="009B19F4">
        <w:t xml:space="preserve"> would only be partially offset by the MaineCare revenue stream associated with the 28 Houlton Regional SNF/NF beds. Total health care expenditures would increase by of $522,186. There are no State funds to cover any increased costs therefore MaineCare neutrality needs to be achieved.</w:t>
      </w:r>
    </w:p>
    <w:p w:rsidR="00864009" w:rsidRPr="00BD7CA2" w:rsidRDefault="00864009" w:rsidP="000F6EB1">
      <w:pPr>
        <w:ind w:right="-540"/>
        <w:jc w:val="both"/>
        <w:rPr>
          <w:szCs w:val="24"/>
        </w:rPr>
      </w:pPr>
    </w:p>
    <w:p w:rsidR="00864009" w:rsidRDefault="00864009" w:rsidP="000F6EB1">
      <w:pPr>
        <w:ind w:right="-540"/>
        <w:jc w:val="both"/>
      </w:pPr>
      <w:r w:rsidRPr="009B19F4">
        <w:t>A less costly alternative would be to add fewer SNF/NF beds which would require less intensive staffing while retaining some necessary RCF beds. There is additional SNF/NF capacity in the Houlton area at TAMC-AHC</w:t>
      </w:r>
      <w:r w:rsidR="00B71C53">
        <w:t>,</w:t>
      </w:r>
      <w:r w:rsidRPr="009B19F4">
        <w:t xml:space="preserve"> and Houlton Re</w:t>
      </w:r>
      <w:r>
        <w:t xml:space="preserve">gional has </w:t>
      </w:r>
      <w:r w:rsidRPr="009B19F4">
        <w:t>licensed swing beds which can be used to provide either acute or SNF care.</w:t>
      </w:r>
    </w:p>
    <w:p w:rsidR="00864009" w:rsidRPr="00BD7CA2" w:rsidRDefault="00864009" w:rsidP="000F6EB1">
      <w:pPr>
        <w:ind w:right="-540"/>
        <w:rPr>
          <w:b/>
          <w:szCs w:val="24"/>
        </w:rPr>
      </w:pPr>
    </w:p>
    <w:p w:rsidR="00864009" w:rsidRDefault="00864009" w:rsidP="000F6EB1">
      <w:pPr>
        <w:ind w:right="-540"/>
        <w:jc w:val="both"/>
        <w:rPr>
          <w:b/>
        </w:rPr>
      </w:pPr>
      <w:r>
        <w:t>The revised project</w:t>
      </w:r>
      <w:r w:rsidR="0029050A">
        <w:t>,</w:t>
      </w:r>
      <w:r>
        <w:t xml:space="preserve"> which adds only 13 SNF/NF beds</w:t>
      </w:r>
      <w:r w:rsidR="0029050A">
        <w:t>,</w:t>
      </w:r>
      <w:r>
        <w:t xml:space="preserve"> achieves MaineCare neutrality, thus eliminating the need for additional State funding. Necessary RCF services in the Houlton area will remain in place because the current 47 bed RCF licensed capacity will remain unchanged.</w:t>
      </w:r>
    </w:p>
    <w:p w:rsidR="007F066E" w:rsidRPr="00BD7CA2" w:rsidRDefault="007F066E" w:rsidP="000F6EB1">
      <w:pPr>
        <w:ind w:right="-540"/>
        <w:rPr>
          <w:szCs w:val="24"/>
        </w:rPr>
      </w:pPr>
    </w:p>
    <w:p w:rsidR="00605C80" w:rsidRPr="005E2E11" w:rsidRDefault="00605C80" w:rsidP="000F6EB1">
      <w:pPr>
        <w:numPr>
          <w:ilvl w:val="0"/>
          <w:numId w:val="44"/>
        </w:numPr>
        <w:ind w:left="1440" w:right="-540"/>
        <w:rPr>
          <w:b/>
          <w:szCs w:val="24"/>
        </w:rPr>
      </w:pPr>
      <w:r w:rsidRPr="005E2E11">
        <w:rPr>
          <w:b/>
          <w:szCs w:val="24"/>
        </w:rPr>
        <w:t>Outcomes and Community Impact:</w:t>
      </w:r>
    </w:p>
    <w:p w:rsidR="00EA18A1" w:rsidRDefault="00EA18A1" w:rsidP="000F6EB1">
      <w:pPr>
        <w:tabs>
          <w:tab w:val="left" w:pos="-180"/>
        </w:tabs>
        <w:ind w:right="-540"/>
        <w:jc w:val="both"/>
      </w:pPr>
    </w:p>
    <w:p w:rsidR="007D4799" w:rsidRDefault="00864009" w:rsidP="000F6EB1">
      <w:pPr>
        <w:tabs>
          <w:tab w:val="left" w:pos="-180"/>
        </w:tabs>
        <w:ind w:right="-540"/>
        <w:jc w:val="both"/>
      </w:pPr>
      <w:r>
        <w:t>No additional analysis is needed for the Outcome and Community Impact standard as a result of the revised project. The addition of only 13 SNF/NF beds to the area</w:t>
      </w:r>
      <w:r w:rsidR="00B71C53">
        <w:t>,</w:t>
      </w:r>
      <w:r>
        <w:t xml:space="preserve"> instead of the original 25</w:t>
      </w:r>
      <w:r w:rsidR="00B71C53">
        <w:t>,</w:t>
      </w:r>
      <w:r>
        <w:t xml:space="preserve"> will further minimize any impact on other service providers while still addressing the need for additional SNF/NF beds in the area. Existing RCF services will remain in place.</w:t>
      </w:r>
    </w:p>
    <w:p w:rsidR="00BD7CA2" w:rsidRDefault="00BD7CA2" w:rsidP="000F6EB1">
      <w:pPr>
        <w:tabs>
          <w:tab w:val="left" w:pos="-180"/>
        </w:tabs>
        <w:ind w:right="-540"/>
        <w:jc w:val="both"/>
        <w:rPr>
          <w:szCs w:val="24"/>
        </w:rPr>
      </w:pPr>
    </w:p>
    <w:p w:rsidR="00544CAB" w:rsidRPr="005E2E11" w:rsidRDefault="009120BE" w:rsidP="000F6EB1">
      <w:pPr>
        <w:widowControl w:val="0"/>
        <w:tabs>
          <w:tab w:val="left" w:pos="1440"/>
        </w:tabs>
        <w:autoSpaceDE w:val="0"/>
        <w:autoSpaceDN w:val="0"/>
        <w:adjustRightInd w:val="0"/>
        <w:ind w:left="1440" w:right="-540" w:hanging="720"/>
        <w:jc w:val="both"/>
        <w:rPr>
          <w:b/>
          <w:szCs w:val="24"/>
        </w:rPr>
      </w:pPr>
      <w:r>
        <w:rPr>
          <w:b/>
          <w:szCs w:val="24"/>
        </w:rPr>
        <w:t>f)</w:t>
      </w:r>
      <w:r w:rsidR="007D4799">
        <w:rPr>
          <w:szCs w:val="24"/>
        </w:rPr>
        <w:tab/>
      </w:r>
      <w:r w:rsidR="00544CAB" w:rsidRPr="005E2E11">
        <w:rPr>
          <w:b/>
          <w:szCs w:val="24"/>
        </w:rPr>
        <w:t>Service Utilization:</w:t>
      </w:r>
    </w:p>
    <w:p w:rsidR="00A104BB" w:rsidRPr="005E2E11" w:rsidRDefault="00A104BB" w:rsidP="000F6EB1">
      <w:pPr>
        <w:ind w:right="-540"/>
        <w:rPr>
          <w:b/>
          <w:szCs w:val="24"/>
        </w:rPr>
      </w:pPr>
    </w:p>
    <w:p w:rsidR="00A56B6E" w:rsidRDefault="00A56B6E" w:rsidP="000F6EB1">
      <w:pPr>
        <w:ind w:right="-540"/>
        <w:jc w:val="both"/>
      </w:pPr>
      <w:r w:rsidRPr="0019690A">
        <w:t>The Maine Quality Forum has not adopted any principles of evidence-based medicine directly applicable to the application; therefore this application meets the standard for this determination.</w:t>
      </w:r>
    </w:p>
    <w:p w:rsidR="00E2087D" w:rsidRDefault="00E2087D" w:rsidP="00B308C5">
      <w:pPr>
        <w:rPr>
          <w:szCs w:val="24"/>
        </w:rPr>
      </w:pPr>
    </w:p>
    <w:p w:rsidR="00622EE7" w:rsidRDefault="00622EE7" w:rsidP="00B308C5">
      <w:pPr>
        <w:rPr>
          <w:szCs w:val="24"/>
        </w:rPr>
      </w:pPr>
    </w:p>
    <w:p w:rsidR="00622EE7" w:rsidRDefault="00622EE7" w:rsidP="00B308C5">
      <w:pPr>
        <w:rPr>
          <w:szCs w:val="24"/>
        </w:rPr>
      </w:pPr>
    </w:p>
    <w:p w:rsidR="000F6EB1" w:rsidRDefault="000F6EB1" w:rsidP="00B308C5">
      <w:pPr>
        <w:rPr>
          <w:szCs w:val="24"/>
        </w:rPr>
        <w:sectPr w:rsidR="000F6EB1" w:rsidSect="00BF67EE">
          <w:headerReference w:type="default" r:id="rId18"/>
          <w:footerReference w:type="default" r:id="rId19"/>
          <w:headerReference w:type="first" r:id="rId20"/>
          <w:footerReference w:type="first" r:id="rId21"/>
          <w:footnotePr>
            <w:numRestart w:val="eachSect"/>
          </w:footnotePr>
          <w:pgSz w:w="12240" w:h="15840" w:code="1"/>
          <w:pgMar w:top="907" w:right="1440" w:bottom="720" w:left="1440" w:header="720" w:footer="720" w:gutter="0"/>
          <w:pgNumType w:start="2"/>
          <w:cols w:space="720"/>
          <w:titlePg/>
          <w:docGrid w:linePitch="326"/>
        </w:sectPr>
      </w:pPr>
    </w:p>
    <w:p w:rsidR="00A56B6E" w:rsidRPr="009120BE" w:rsidRDefault="009120BE" w:rsidP="009120BE">
      <w:pPr>
        <w:tabs>
          <w:tab w:val="left" w:pos="1440"/>
        </w:tabs>
        <w:ind w:left="1440" w:hanging="720"/>
        <w:rPr>
          <w:szCs w:val="24"/>
        </w:rPr>
      </w:pPr>
      <w:r w:rsidRPr="009120BE">
        <w:rPr>
          <w:b/>
          <w:szCs w:val="24"/>
        </w:rPr>
        <w:t>g)</w:t>
      </w:r>
      <w:r>
        <w:rPr>
          <w:szCs w:val="24"/>
        </w:rPr>
        <w:tab/>
      </w:r>
      <w:r w:rsidR="00A56B6E" w:rsidRPr="009120BE">
        <w:rPr>
          <w:b/>
          <w:szCs w:val="24"/>
        </w:rPr>
        <w:t>Consistency with MaineCare Funding Pool and 333-A and 334-A.</w:t>
      </w:r>
    </w:p>
    <w:p w:rsidR="00A56B6E" w:rsidRPr="00A56B6E" w:rsidRDefault="00A56B6E" w:rsidP="00A56B6E">
      <w:pPr>
        <w:pStyle w:val="ListParagraph"/>
        <w:ind w:left="1080"/>
        <w:rPr>
          <w:szCs w:val="24"/>
        </w:rPr>
      </w:pPr>
    </w:p>
    <w:p w:rsidR="00864009" w:rsidRDefault="00864009" w:rsidP="000F6EB1">
      <w:pPr>
        <w:ind w:right="-630"/>
        <w:jc w:val="both"/>
      </w:pPr>
      <w:r>
        <w:t>The revised information provided by the applicant changes the results of the MaineCare neutrality calculation as follows:</w:t>
      </w:r>
    </w:p>
    <w:p w:rsidR="00864009" w:rsidRPr="00BD7CA2" w:rsidRDefault="00864009" w:rsidP="000F6EB1">
      <w:pPr>
        <w:ind w:right="-630"/>
        <w:jc w:val="both"/>
        <w:rPr>
          <w:szCs w:val="24"/>
        </w:rPr>
      </w:pPr>
    </w:p>
    <w:p w:rsidR="00864009" w:rsidRPr="009B19F4" w:rsidRDefault="00864009" w:rsidP="000F6EB1">
      <w:pPr>
        <w:ind w:right="-630"/>
        <w:jc w:val="both"/>
        <w:rPr>
          <w:b/>
        </w:rPr>
      </w:pPr>
      <w:r w:rsidRPr="009B19F4">
        <w:rPr>
          <w:b/>
        </w:rPr>
        <w:t>Table 1: Sources and Uses of MaineCare Funding:</w:t>
      </w:r>
    </w:p>
    <w:tbl>
      <w:tblPr>
        <w:tblW w:w="9972" w:type="dxa"/>
        <w:tblInd w:w="108" w:type="dxa"/>
        <w:tblLook w:val="04A0" w:firstRow="1" w:lastRow="0" w:firstColumn="1" w:lastColumn="0" w:noHBand="0" w:noVBand="1"/>
      </w:tblPr>
      <w:tblGrid>
        <w:gridCol w:w="2250"/>
        <w:gridCol w:w="2070"/>
        <w:gridCol w:w="1260"/>
        <w:gridCol w:w="1228"/>
        <w:gridCol w:w="1742"/>
        <w:gridCol w:w="1422"/>
      </w:tblGrid>
      <w:tr w:rsidR="00864009" w:rsidRPr="009B19F4" w:rsidTr="000F6EB1">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Pr>
                <w:b/>
                <w:color w:val="000000"/>
                <w:sz w:val="22"/>
                <w:szCs w:val="22"/>
              </w:rPr>
              <w:t>Source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Facility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 of Beds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 Value</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Allocated Beds</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 value</w:t>
            </w: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The Houlton Reg</w:t>
            </w:r>
            <w:r>
              <w:rPr>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28</w:t>
            </w: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xml:space="preserve">$844,800 </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28</w:t>
            </w: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$844,800</w:t>
            </w: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Prog</w:t>
            </w:r>
            <w:r>
              <w:rPr>
                <w:color w:val="000000"/>
                <w:sz w:val="22"/>
                <w:szCs w:val="22"/>
              </w:rPr>
              <w:t>.</w:t>
            </w:r>
            <w:r w:rsidRPr="009B19F4">
              <w:rPr>
                <w:color w:val="000000"/>
                <w:sz w:val="22"/>
                <w:szCs w:val="22"/>
              </w:rPr>
              <w:t xml:space="preserve"> Care Fac</w:t>
            </w:r>
            <w:r>
              <w:rPr>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28</w:t>
            </w: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xml:space="preserve">$844,800 </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28</w:t>
            </w: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$844,800</w:t>
            </w: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Pr>
                <w:b/>
                <w:color w:val="000000"/>
                <w:sz w:val="22"/>
                <w:szCs w:val="22"/>
              </w:rPr>
              <w:t>Use</w:t>
            </w: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Madigan SNF/NF</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Pr>
                <w:b/>
                <w:color w:val="000000"/>
                <w:sz w:val="22"/>
                <w:szCs w:val="22"/>
              </w:rPr>
              <w:t>13</w:t>
            </w: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w:t>
            </w:r>
            <w:r>
              <w:rPr>
                <w:b/>
                <w:color w:val="000000"/>
                <w:sz w:val="22"/>
                <w:szCs w:val="22"/>
              </w:rPr>
              <w:t>815,232</w:t>
            </w:r>
            <w:r w:rsidRPr="009B19F4">
              <w:rPr>
                <w:b/>
                <w:color w:val="000000"/>
                <w:sz w:val="22"/>
                <w:szCs w:val="22"/>
              </w:rPr>
              <w:t xml:space="preserve"> </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Pr>
                <w:b/>
                <w:color w:val="000000"/>
                <w:sz w:val="22"/>
                <w:szCs w:val="22"/>
              </w:rPr>
              <w:t>13</w:t>
            </w: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w:t>
            </w:r>
            <w:r>
              <w:rPr>
                <w:b/>
                <w:color w:val="000000"/>
                <w:sz w:val="22"/>
                <w:szCs w:val="22"/>
              </w:rPr>
              <w:t>815,232</w:t>
            </w:r>
          </w:p>
        </w:tc>
      </w:tr>
      <w:tr w:rsidR="00864009" w:rsidRPr="009B19F4" w:rsidTr="000F6EB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64009" w:rsidRPr="009B19F4" w:rsidRDefault="00864009" w:rsidP="000F6EB1">
            <w:pPr>
              <w:ind w:right="-630"/>
              <w:rPr>
                <w:b/>
                <w:color w:val="000000"/>
                <w:sz w:val="22"/>
                <w:szCs w:val="22"/>
              </w:rPr>
            </w:pPr>
            <w:r w:rsidRPr="009B19F4">
              <w:rPr>
                <w:b/>
                <w:color w:val="000000"/>
                <w:sz w:val="22"/>
                <w:szCs w:val="22"/>
              </w:rPr>
              <w:t xml:space="preserve">Additional </w:t>
            </w:r>
            <w:r>
              <w:rPr>
                <w:b/>
                <w:color w:val="000000"/>
                <w:sz w:val="22"/>
                <w:szCs w:val="22"/>
              </w:rPr>
              <w:t>Savings</w:t>
            </w:r>
          </w:p>
        </w:tc>
        <w:tc>
          <w:tcPr>
            <w:tcW w:w="207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sidRPr="009B19F4">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64009" w:rsidRPr="009B19F4" w:rsidRDefault="00864009" w:rsidP="000F6EB1">
            <w:pPr>
              <w:ind w:right="-630"/>
              <w:rPr>
                <w:color w:val="000000"/>
                <w:sz w:val="22"/>
                <w:szCs w:val="22"/>
              </w:rPr>
            </w:pPr>
            <w:r>
              <w:rPr>
                <w:color w:val="000000"/>
                <w:sz w:val="22"/>
                <w:szCs w:val="22"/>
              </w:rPr>
              <w:t>15</w:t>
            </w:r>
          </w:p>
        </w:tc>
        <w:tc>
          <w:tcPr>
            <w:tcW w:w="1228" w:type="dxa"/>
            <w:tcBorders>
              <w:top w:val="nil"/>
              <w:left w:val="nil"/>
              <w:bottom w:val="single" w:sz="4" w:space="0" w:color="auto"/>
              <w:right w:val="single" w:sz="4" w:space="0" w:color="auto"/>
            </w:tcBorders>
            <w:shd w:val="clear" w:color="auto" w:fill="auto"/>
            <w:noWrap/>
            <w:vAlign w:val="bottom"/>
            <w:hideMark/>
          </w:tcPr>
          <w:p w:rsidR="00864009" w:rsidRPr="00FF26E6" w:rsidRDefault="00864009" w:rsidP="000F6EB1">
            <w:pPr>
              <w:ind w:right="-630"/>
              <w:rPr>
                <w:sz w:val="22"/>
                <w:szCs w:val="22"/>
              </w:rPr>
            </w:pPr>
            <w:r w:rsidRPr="00FF26E6">
              <w:rPr>
                <w:sz w:val="22"/>
                <w:szCs w:val="22"/>
              </w:rPr>
              <w:t>$29,568</w:t>
            </w:r>
          </w:p>
        </w:tc>
        <w:tc>
          <w:tcPr>
            <w:tcW w:w="1742" w:type="dxa"/>
            <w:tcBorders>
              <w:top w:val="nil"/>
              <w:left w:val="nil"/>
              <w:bottom w:val="single" w:sz="4" w:space="0" w:color="auto"/>
              <w:right w:val="single" w:sz="4" w:space="0" w:color="auto"/>
            </w:tcBorders>
            <w:shd w:val="clear" w:color="auto" w:fill="auto"/>
            <w:noWrap/>
            <w:vAlign w:val="bottom"/>
            <w:hideMark/>
          </w:tcPr>
          <w:p w:rsidR="00864009" w:rsidRPr="00FF26E6" w:rsidRDefault="00864009" w:rsidP="000F6EB1">
            <w:pPr>
              <w:ind w:right="-630"/>
              <w:rPr>
                <w:sz w:val="22"/>
                <w:szCs w:val="22"/>
              </w:rPr>
            </w:pPr>
          </w:p>
        </w:tc>
        <w:tc>
          <w:tcPr>
            <w:tcW w:w="1422" w:type="dxa"/>
            <w:tcBorders>
              <w:top w:val="nil"/>
              <w:left w:val="nil"/>
              <w:bottom w:val="single" w:sz="4" w:space="0" w:color="auto"/>
              <w:right w:val="single" w:sz="4" w:space="0" w:color="auto"/>
            </w:tcBorders>
            <w:shd w:val="clear" w:color="auto" w:fill="auto"/>
            <w:noWrap/>
            <w:vAlign w:val="bottom"/>
            <w:hideMark/>
          </w:tcPr>
          <w:p w:rsidR="00864009" w:rsidRPr="00FF26E6" w:rsidRDefault="00864009" w:rsidP="000F6EB1">
            <w:pPr>
              <w:ind w:right="-630"/>
              <w:rPr>
                <w:sz w:val="22"/>
                <w:szCs w:val="22"/>
              </w:rPr>
            </w:pPr>
            <w:r w:rsidRPr="00FF26E6">
              <w:rPr>
                <w:sz w:val="22"/>
                <w:szCs w:val="22"/>
              </w:rPr>
              <w:t>$29,568</w:t>
            </w:r>
          </w:p>
        </w:tc>
      </w:tr>
    </w:tbl>
    <w:p w:rsidR="00864009" w:rsidRPr="00BD7CA2" w:rsidRDefault="00864009" w:rsidP="000F6EB1">
      <w:pPr>
        <w:ind w:right="-630"/>
        <w:jc w:val="both"/>
        <w:rPr>
          <w:szCs w:val="24"/>
        </w:rPr>
      </w:pPr>
    </w:p>
    <w:p w:rsidR="00864009" w:rsidRDefault="00864009" w:rsidP="000F6EB1">
      <w:pPr>
        <w:ind w:right="-630"/>
        <w:jc w:val="both"/>
      </w:pPr>
      <w:r>
        <w:t>The above table shows that the addit</w:t>
      </w:r>
      <w:r w:rsidR="001F0CE2">
        <w:t>ional resources purchased from t</w:t>
      </w:r>
      <w:r>
        <w:t>he Houlton Reg</w:t>
      </w:r>
      <w:r w:rsidR="00752871">
        <w:t>ional</w:t>
      </w:r>
      <w:r>
        <w:t xml:space="preserve"> Prog</w:t>
      </w:r>
      <w:r w:rsidR="00752871">
        <w:t>ram</w:t>
      </w:r>
      <w:r>
        <w:t xml:space="preserve"> Care Facility are sufficient to offset the additional expense of adding 13 additional SNF/NF beds.</w:t>
      </w:r>
    </w:p>
    <w:p w:rsidR="00752871" w:rsidRDefault="00752871" w:rsidP="000F6EB1">
      <w:pPr>
        <w:ind w:right="-630"/>
        <w:jc w:val="both"/>
      </w:pPr>
    </w:p>
    <w:p w:rsidR="00864009" w:rsidRDefault="00864009" w:rsidP="000F6EB1">
      <w:pPr>
        <w:ind w:right="-630"/>
        <w:jc w:val="both"/>
      </w:pPr>
      <w:r>
        <w:t>MaineCare neutrality has been achieved. The remainder of the bed rights will be transferred to the MaineCare funding pool.</w:t>
      </w:r>
    </w:p>
    <w:p w:rsidR="00864009" w:rsidRDefault="00864009" w:rsidP="000F6EB1">
      <w:pPr>
        <w:ind w:right="-630"/>
        <w:jc w:val="both"/>
      </w:pPr>
    </w:p>
    <w:p w:rsidR="00864009" w:rsidRDefault="00864009" w:rsidP="000F6EB1">
      <w:pPr>
        <w:ind w:right="-630"/>
        <w:jc w:val="both"/>
      </w:pPr>
      <w:r>
        <w:t>No funding is utilized from the MaineCare funding pool.</w:t>
      </w:r>
    </w:p>
    <w:p w:rsidR="00A56B6E" w:rsidRPr="005E2E11" w:rsidRDefault="00A56B6E" w:rsidP="000F6EB1">
      <w:pPr>
        <w:ind w:right="-630"/>
        <w:rPr>
          <w:szCs w:val="24"/>
        </w:rPr>
      </w:pPr>
    </w:p>
    <w:p w:rsidR="00960CC0" w:rsidRPr="005E2E11" w:rsidRDefault="00AF28BB" w:rsidP="000F6EB1">
      <w:pPr>
        <w:ind w:right="-630"/>
        <w:rPr>
          <w:szCs w:val="24"/>
        </w:rPr>
      </w:pPr>
      <w:r w:rsidRPr="005E2E11">
        <w:rPr>
          <w:b/>
          <w:szCs w:val="24"/>
        </w:rPr>
        <w:t>V</w:t>
      </w:r>
      <w:r w:rsidR="00F007C4" w:rsidRPr="005E2E11">
        <w:rPr>
          <w:b/>
          <w:szCs w:val="24"/>
        </w:rPr>
        <w:t xml:space="preserve">I. </w:t>
      </w:r>
      <w:r w:rsidR="00960CC0" w:rsidRPr="005E2E11">
        <w:rPr>
          <w:b/>
          <w:szCs w:val="24"/>
        </w:rPr>
        <w:t>CONCLUSION:</w:t>
      </w:r>
    </w:p>
    <w:p w:rsidR="00960CC0" w:rsidRPr="005E2E11" w:rsidRDefault="00960CC0" w:rsidP="000F6EB1">
      <w:pPr>
        <w:ind w:right="-630"/>
        <w:rPr>
          <w:b/>
          <w:szCs w:val="24"/>
        </w:rPr>
      </w:pPr>
    </w:p>
    <w:p w:rsidR="0083726D" w:rsidRPr="005E2E11" w:rsidRDefault="0083726D" w:rsidP="000F6EB1">
      <w:pPr>
        <w:ind w:right="-630"/>
        <w:jc w:val="both"/>
        <w:rPr>
          <w:szCs w:val="24"/>
        </w:rPr>
      </w:pPr>
      <w:r w:rsidRPr="005E2E11">
        <w:rPr>
          <w:szCs w:val="24"/>
        </w:rPr>
        <w:t>For all the reasons set forth in the Preliminary Analysis</w:t>
      </w:r>
      <w:r w:rsidR="008035E8" w:rsidRPr="005E2E11">
        <w:rPr>
          <w:szCs w:val="24"/>
        </w:rPr>
        <w:t xml:space="preserve"> and in the record, CONU concludes</w:t>
      </w:r>
      <w:r w:rsidRPr="005E2E11">
        <w:rPr>
          <w:szCs w:val="24"/>
        </w:rPr>
        <w:t xml:space="preserve"> that the review criteria have been satisfied. </w:t>
      </w:r>
      <w:r w:rsidR="004F78B9" w:rsidRPr="005E2E11">
        <w:rPr>
          <w:szCs w:val="24"/>
        </w:rPr>
        <w:t>CONU recommends</w:t>
      </w:r>
      <w:r w:rsidRPr="005E2E11">
        <w:rPr>
          <w:szCs w:val="24"/>
        </w:rPr>
        <w:t xml:space="preserve"> </w:t>
      </w:r>
      <w:r w:rsidR="008035E8" w:rsidRPr="005E2E11">
        <w:rPr>
          <w:szCs w:val="24"/>
        </w:rPr>
        <w:t>the approval of the CON</w:t>
      </w:r>
      <w:r w:rsidR="004951B4" w:rsidRPr="005E2E11">
        <w:rPr>
          <w:szCs w:val="24"/>
        </w:rPr>
        <w:t>.</w:t>
      </w:r>
    </w:p>
    <w:p w:rsidR="0083726D" w:rsidRPr="005E2E11" w:rsidRDefault="0083726D" w:rsidP="000F6EB1">
      <w:pPr>
        <w:ind w:right="-630"/>
        <w:rPr>
          <w:b/>
          <w:szCs w:val="24"/>
        </w:rPr>
      </w:pPr>
    </w:p>
    <w:p w:rsidR="00960CC0" w:rsidRPr="005E2E11" w:rsidRDefault="00F007C4" w:rsidP="000F6EB1">
      <w:pPr>
        <w:pStyle w:val="Intro"/>
        <w:spacing w:before="0" w:line="240" w:lineRule="auto"/>
        <w:ind w:left="0" w:right="-630" w:firstLine="0"/>
        <w:rPr>
          <w:b/>
          <w:szCs w:val="24"/>
        </w:rPr>
      </w:pPr>
      <w:r w:rsidRPr="005E2E11">
        <w:rPr>
          <w:b/>
          <w:szCs w:val="24"/>
        </w:rPr>
        <w:t xml:space="preserve">VII. </w:t>
      </w:r>
      <w:r w:rsidR="00960CC0" w:rsidRPr="005E2E11">
        <w:rPr>
          <w:b/>
          <w:szCs w:val="24"/>
        </w:rPr>
        <w:t>RECOMMENDATION:</w:t>
      </w:r>
    </w:p>
    <w:p w:rsidR="00960CC0" w:rsidRPr="005E2E11" w:rsidRDefault="00960CC0" w:rsidP="000F6EB1">
      <w:pPr>
        <w:ind w:right="-630"/>
        <w:rPr>
          <w:b/>
          <w:szCs w:val="24"/>
        </w:rPr>
      </w:pPr>
    </w:p>
    <w:p w:rsidR="00A104BB" w:rsidRDefault="00960CC0" w:rsidP="000F6EB1">
      <w:pPr>
        <w:ind w:right="-630"/>
        <w:rPr>
          <w:b/>
          <w:szCs w:val="24"/>
        </w:rPr>
      </w:pPr>
      <w:r w:rsidRPr="005E2E11">
        <w:rPr>
          <w:szCs w:val="24"/>
        </w:rPr>
        <w:t xml:space="preserve">CONU recommends </w:t>
      </w:r>
      <w:r w:rsidR="00256CD7">
        <w:rPr>
          <w:szCs w:val="24"/>
        </w:rPr>
        <w:t xml:space="preserve">that </w:t>
      </w:r>
      <w:r w:rsidRPr="005E2E11">
        <w:rPr>
          <w:szCs w:val="24"/>
        </w:rPr>
        <w:t xml:space="preserve">this </w:t>
      </w:r>
      <w:r w:rsidR="000A2C6D" w:rsidRPr="005E2E11">
        <w:rPr>
          <w:szCs w:val="24"/>
        </w:rPr>
        <w:t>application</w:t>
      </w:r>
      <w:r w:rsidRPr="005E2E11">
        <w:rPr>
          <w:szCs w:val="24"/>
        </w:rPr>
        <w:t xml:space="preserve"> be </w:t>
      </w:r>
      <w:r w:rsidR="00016199" w:rsidRPr="005E2E11">
        <w:rPr>
          <w:b/>
          <w:szCs w:val="24"/>
        </w:rPr>
        <w:t>Approved</w:t>
      </w:r>
      <w:r w:rsidR="004951B4" w:rsidRPr="005E2E11">
        <w:rPr>
          <w:b/>
          <w:szCs w:val="24"/>
        </w:rPr>
        <w:t>.</w:t>
      </w:r>
    </w:p>
    <w:p w:rsidR="00A56B6E" w:rsidRPr="005E2E11" w:rsidRDefault="00A56B6E" w:rsidP="007D4799">
      <w:pPr>
        <w:rPr>
          <w:szCs w:val="24"/>
        </w:rPr>
      </w:pPr>
    </w:p>
    <w:sectPr w:rsidR="00A56B6E" w:rsidRPr="005E2E11" w:rsidSect="00A70970">
      <w:footerReference w:type="first" r:id="rId22"/>
      <w:footnotePr>
        <w:numRestart w:val="eachSect"/>
      </w:footnotePr>
      <w:pgSz w:w="12240" w:h="15840" w:code="1"/>
      <w:pgMar w:top="900" w:right="1440" w:bottom="72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4F" w:rsidRDefault="0019504F">
      <w:r>
        <w:separator/>
      </w:r>
    </w:p>
  </w:endnote>
  <w:endnote w:type="continuationSeparator" w:id="0">
    <w:p w:rsidR="0019504F" w:rsidRDefault="0019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83" w:rsidRPr="00B47E59" w:rsidRDefault="002C6583" w:rsidP="000F6EB1">
    <w:pPr>
      <w:pStyle w:val="Footer"/>
    </w:pPr>
  </w:p>
  <w:p w:rsidR="002C6583" w:rsidRDefault="002C65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91802"/>
      <w:docPartObj>
        <w:docPartGallery w:val="Page Numbers (Bottom of Page)"/>
        <w:docPartUnique/>
      </w:docPartObj>
    </w:sdtPr>
    <w:sdtEndPr>
      <w:rPr>
        <w:b/>
      </w:rPr>
    </w:sdtEndPr>
    <w:sdtContent>
      <w:sdt>
        <w:sdtPr>
          <w:id w:val="-457097883"/>
          <w:docPartObj>
            <w:docPartGallery w:val="Page Numbers (Top of Page)"/>
            <w:docPartUnique/>
          </w:docPartObj>
        </w:sdtPr>
        <w:sdtEndPr>
          <w:rPr>
            <w:b/>
          </w:rPr>
        </w:sdtEndPr>
        <w:sdtContent>
          <w:p w:rsidR="00805A2E" w:rsidRPr="00B47E59" w:rsidRDefault="00805A2E">
            <w:pPr>
              <w:pStyle w:val="Footer"/>
              <w:jc w:val="center"/>
            </w:pPr>
            <w:r w:rsidRPr="00B47E59">
              <w:t xml:space="preserve">Page </w:t>
            </w:r>
            <w:r w:rsidR="003C315B" w:rsidRPr="003C315B">
              <w:rPr>
                <w:b/>
              </w:rPr>
              <w:t>2</w:t>
            </w:r>
            <w:r w:rsidRPr="00B47E59">
              <w:t xml:space="preserve"> of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2</w:t>
            </w:r>
            <w:r w:rsidRPr="00B47E59">
              <w:rPr>
                <w:b/>
                <w:bCs/>
                <w:szCs w:val="24"/>
              </w:rPr>
              <w:fldChar w:fldCharType="end"/>
            </w:r>
          </w:p>
        </w:sdtContent>
      </w:sdt>
    </w:sdtContent>
  </w:sdt>
  <w:p w:rsidR="00805A2E" w:rsidRDefault="00805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07933"/>
      <w:docPartObj>
        <w:docPartGallery w:val="Page Numbers (Bottom of Page)"/>
        <w:docPartUnique/>
      </w:docPartObj>
    </w:sdtPr>
    <w:sdtEndPr/>
    <w:sdtContent>
      <w:sdt>
        <w:sdtPr>
          <w:id w:val="-903910619"/>
          <w:docPartObj>
            <w:docPartGallery w:val="Page Numbers (Top of Page)"/>
            <w:docPartUnique/>
          </w:docPartObj>
        </w:sdtPr>
        <w:sdtEndPr/>
        <w:sdtContent>
          <w:p w:rsidR="00FF45B0" w:rsidRPr="00B47E59" w:rsidRDefault="00FF45B0">
            <w:pPr>
              <w:pStyle w:val="Footer"/>
              <w:jc w:val="center"/>
            </w:pPr>
            <w:r w:rsidRPr="00B47E59">
              <w:t xml:space="preserve">Page </w:t>
            </w:r>
            <w:r w:rsidR="003C315B">
              <w:rPr>
                <w:b/>
              </w:rPr>
              <w:t>3</w:t>
            </w:r>
            <w:r w:rsidRPr="00B47E59">
              <w:t xml:space="preserve"> of</w:t>
            </w:r>
            <w:r w:rsidRPr="00B47E59">
              <w:rPr>
                <w:b/>
              </w:rPr>
              <w:t xml:space="preserve">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3</w:t>
            </w:r>
            <w:r w:rsidRPr="00B47E59">
              <w:rPr>
                <w:b/>
                <w:bCs/>
                <w:szCs w:val="24"/>
              </w:rPr>
              <w:fldChar w:fldCharType="end"/>
            </w:r>
          </w:p>
        </w:sdtContent>
      </w:sdt>
    </w:sdtContent>
  </w:sdt>
  <w:p w:rsidR="00FF45B0" w:rsidRDefault="00FF45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46817"/>
      <w:docPartObj>
        <w:docPartGallery w:val="Page Numbers (Bottom of Page)"/>
        <w:docPartUnique/>
      </w:docPartObj>
    </w:sdtPr>
    <w:sdtEndPr/>
    <w:sdtContent>
      <w:sdt>
        <w:sdtPr>
          <w:id w:val="-2022004626"/>
          <w:docPartObj>
            <w:docPartGallery w:val="Page Numbers (Top of Page)"/>
            <w:docPartUnique/>
          </w:docPartObj>
        </w:sdtPr>
        <w:sdtEndPr/>
        <w:sdtContent>
          <w:p w:rsidR="003C315B" w:rsidRPr="00B47E59" w:rsidRDefault="003C315B">
            <w:pPr>
              <w:pStyle w:val="Footer"/>
              <w:jc w:val="center"/>
            </w:pPr>
            <w:r w:rsidRPr="00B47E59">
              <w:t xml:space="preserve">Page </w:t>
            </w:r>
            <w:r w:rsidRPr="003C315B">
              <w:rPr>
                <w:b/>
              </w:rPr>
              <w:t>4</w:t>
            </w:r>
            <w:r w:rsidRPr="00B47E59">
              <w:t xml:space="preserve"> of</w:t>
            </w:r>
            <w:r w:rsidRPr="00B47E59">
              <w:rPr>
                <w:b/>
              </w:rPr>
              <w:t xml:space="preserve">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4</w:t>
            </w:r>
            <w:r w:rsidRPr="00B47E59">
              <w:rPr>
                <w:b/>
                <w:bCs/>
                <w:szCs w:val="24"/>
              </w:rPr>
              <w:fldChar w:fldCharType="end"/>
            </w:r>
          </w:p>
        </w:sdtContent>
      </w:sdt>
    </w:sdtContent>
  </w:sdt>
  <w:p w:rsidR="003C315B" w:rsidRDefault="003C31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12453"/>
      <w:docPartObj>
        <w:docPartGallery w:val="Page Numbers (Bottom of Page)"/>
        <w:docPartUnique/>
      </w:docPartObj>
    </w:sdtPr>
    <w:sdtEndPr/>
    <w:sdtContent>
      <w:sdt>
        <w:sdtPr>
          <w:id w:val="-1551606380"/>
          <w:docPartObj>
            <w:docPartGallery w:val="Page Numbers (Top of Page)"/>
            <w:docPartUnique/>
          </w:docPartObj>
        </w:sdtPr>
        <w:sdtEndPr/>
        <w:sdtContent>
          <w:p w:rsidR="003C315B" w:rsidRPr="00B47E59" w:rsidRDefault="003C315B">
            <w:pPr>
              <w:pStyle w:val="Footer"/>
              <w:jc w:val="center"/>
            </w:pPr>
            <w:r w:rsidRPr="00B47E59">
              <w:t xml:space="preserve">Page </w:t>
            </w:r>
            <w:r>
              <w:rPr>
                <w:b/>
              </w:rPr>
              <w:t>5</w:t>
            </w:r>
            <w:r w:rsidRPr="00B47E59">
              <w:t xml:space="preserve"> of</w:t>
            </w:r>
            <w:r w:rsidRPr="00B47E59">
              <w:rPr>
                <w:b/>
              </w:rPr>
              <w:t xml:space="preserve">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5</w:t>
            </w:r>
            <w:r w:rsidRPr="00B47E59">
              <w:rPr>
                <w:b/>
                <w:bCs/>
                <w:szCs w:val="24"/>
              </w:rPr>
              <w:fldChar w:fldCharType="end"/>
            </w:r>
          </w:p>
        </w:sdtContent>
      </w:sdt>
    </w:sdtContent>
  </w:sdt>
  <w:p w:rsidR="003C315B" w:rsidRDefault="003C31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280024"/>
      <w:docPartObj>
        <w:docPartGallery w:val="Page Numbers (Bottom of Page)"/>
        <w:docPartUnique/>
      </w:docPartObj>
    </w:sdtPr>
    <w:sdtEndPr/>
    <w:sdtContent>
      <w:sdt>
        <w:sdtPr>
          <w:id w:val="817923747"/>
          <w:docPartObj>
            <w:docPartGallery w:val="Page Numbers (Top of Page)"/>
            <w:docPartUnique/>
          </w:docPartObj>
        </w:sdtPr>
        <w:sdtEndPr/>
        <w:sdtContent>
          <w:p w:rsidR="00BF67EE" w:rsidRPr="00B47E59" w:rsidRDefault="00BF67EE">
            <w:pPr>
              <w:pStyle w:val="Footer"/>
              <w:jc w:val="center"/>
            </w:pPr>
            <w:r w:rsidRPr="00B47E59">
              <w:t xml:space="preserve">Page </w:t>
            </w:r>
            <w:r>
              <w:rPr>
                <w:b/>
              </w:rPr>
              <w:t>7</w:t>
            </w:r>
            <w:r w:rsidRPr="00B47E59">
              <w:t xml:space="preserve"> of</w:t>
            </w:r>
            <w:r w:rsidRPr="00B47E59">
              <w:rPr>
                <w:b/>
              </w:rPr>
              <w:t xml:space="preserve">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7</w:t>
            </w:r>
            <w:r w:rsidRPr="00B47E59">
              <w:rPr>
                <w:b/>
                <w:bCs/>
                <w:szCs w:val="24"/>
              </w:rPr>
              <w:fldChar w:fldCharType="end"/>
            </w:r>
          </w:p>
        </w:sdtContent>
      </w:sdt>
    </w:sdtContent>
  </w:sdt>
  <w:p w:rsidR="00BF67EE" w:rsidRDefault="00BF67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79207"/>
      <w:docPartObj>
        <w:docPartGallery w:val="Page Numbers (Bottom of Page)"/>
        <w:docPartUnique/>
      </w:docPartObj>
    </w:sdtPr>
    <w:sdtEndPr/>
    <w:sdtContent>
      <w:sdt>
        <w:sdtPr>
          <w:id w:val="934249846"/>
          <w:docPartObj>
            <w:docPartGallery w:val="Page Numbers (Top of Page)"/>
            <w:docPartUnique/>
          </w:docPartObj>
        </w:sdtPr>
        <w:sdtEndPr/>
        <w:sdtContent>
          <w:p w:rsidR="00805A2E" w:rsidRPr="00B47E59" w:rsidRDefault="00805A2E">
            <w:pPr>
              <w:pStyle w:val="Footer"/>
              <w:jc w:val="center"/>
            </w:pPr>
          </w:p>
          <w:p w:rsidR="00805A2E" w:rsidRPr="00B47E59" w:rsidRDefault="00805A2E">
            <w:pPr>
              <w:pStyle w:val="Footer"/>
              <w:jc w:val="center"/>
            </w:pPr>
            <w:r w:rsidRPr="00B47E59">
              <w:t xml:space="preserve">Page </w:t>
            </w:r>
            <w:r w:rsidR="00BF67EE">
              <w:rPr>
                <w:b/>
              </w:rPr>
              <w:t>6</w:t>
            </w:r>
            <w:r w:rsidRPr="00B47E59">
              <w:t xml:space="preserve"> of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6</w:t>
            </w:r>
            <w:r w:rsidRPr="00B47E59">
              <w:rPr>
                <w:b/>
                <w:bCs/>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9525"/>
      <w:docPartObj>
        <w:docPartGallery w:val="Page Numbers (Bottom of Page)"/>
        <w:docPartUnique/>
      </w:docPartObj>
    </w:sdtPr>
    <w:sdtEndPr/>
    <w:sdtContent>
      <w:sdt>
        <w:sdtPr>
          <w:id w:val="1647471912"/>
          <w:docPartObj>
            <w:docPartGallery w:val="Page Numbers (Top of Page)"/>
            <w:docPartUnique/>
          </w:docPartObj>
        </w:sdtPr>
        <w:sdtEndPr/>
        <w:sdtContent>
          <w:p w:rsidR="00BF67EE" w:rsidRPr="00B47E59" w:rsidRDefault="00BF67EE">
            <w:pPr>
              <w:pStyle w:val="Footer"/>
              <w:jc w:val="center"/>
            </w:pPr>
          </w:p>
          <w:p w:rsidR="00BF67EE" w:rsidRPr="00B47E59" w:rsidRDefault="00BF67EE">
            <w:pPr>
              <w:pStyle w:val="Footer"/>
              <w:jc w:val="center"/>
            </w:pPr>
            <w:r w:rsidRPr="00B47E59">
              <w:t xml:space="preserve">Page </w:t>
            </w:r>
            <w:r w:rsidRPr="00BF67EE">
              <w:rPr>
                <w:b/>
              </w:rPr>
              <w:t>8</w:t>
            </w:r>
            <w:r w:rsidRPr="00B47E59">
              <w:t xml:space="preserve"> of </w:t>
            </w:r>
            <w:r w:rsidRPr="00B47E59">
              <w:rPr>
                <w:b/>
                <w:bCs/>
                <w:szCs w:val="24"/>
              </w:rPr>
              <w:fldChar w:fldCharType="begin"/>
            </w:r>
            <w:r w:rsidRPr="00B47E59">
              <w:rPr>
                <w:b/>
                <w:bCs/>
              </w:rPr>
              <w:instrText xml:space="preserve"> NUMPAGES  </w:instrText>
            </w:r>
            <w:r w:rsidRPr="00B47E59">
              <w:rPr>
                <w:b/>
                <w:bCs/>
                <w:szCs w:val="24"/>
              </w:rPr>
              <w:fldChar w:fldCharType="separate"/>
            </w:r>
            <w:r w:rsidR="00847444">
              <w:rPr>
                <w:b/>
                <w:bCs/>
                <w:noProof/>
              </w:rPr>
              <w:t>8</w:t>
            </w:r>
            <w:r w:rsidRPr="00B47E59">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4F" w:rsidRDefault="0019504F">
      <w:r>
        <w:separator/>
      </w:r>
    </w:p>
  </w:footnote>
  <w:footnote w:type="continuationSeparator" w:id="0">
    <w:p w:rsidR="0019504F" w:rsidRDefault="0019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5B" w:rsidRPr="003C315B" w:rsidRDefault="003C315B" w:rsidP="003C315B">
    <w:pPr>
      <w:pStyle w:val="Header"/>
      <w:tabs>
        <w:tab w:val="clear" w:pos="8640"/>
        <w:tab w:val="right" w:pos="9990"/>
      </w:tabs>
      <w:jc w:val="center"/>
      <w:rPr>
        <w:b/>
        <w:sz w:val="32"/>
        <w:szCs w:val="32"/>
        <w:u w:val="single"/>
      </w:rPr>
    </w:pPr>
    <w:r w:rsidRPr="003C315B">
      <w:rPr>
        <w:b/>
        <w:sz w:val="32"/>
        <w:szCs w:val="32"/>
        <w:u w:val="single"/>
      </w:rPr>
      <w:t>BRIEFING MEMO</w:t>
    </w:r>
  </w:p>
  <w:p w:rsidR="003C315B" w:rsidRPr="003C315B" w:rsidRDefault="00BF67EE" w:rsidP="003C315B">
    <w:pPr>
      <w:pStyle w:val="Header"/>
      <w:tabs>
        <w:tab w:val="clear" w:pos="8640"/>
        <w:tab w:val="right" w:pos="9990"/>
      </w:tabs>
      <w:jc w:val="center"/>
      <w:rPr>
        <w:sz w:val="32"/>
        <w:szCs w:val="32"/>
      </w:rPr>
    </w:pPr>
    <w:r w:rsidRPr="003C315B">
      <w:rPr>
        <w:sz w:val="32"/>
        <w:szCs w:val="32"/>
      </w:rPr>
      <w:t>M</w:t>
    </w:r>
    <w:r w:rsidR="003C315B" w:rsidRPr="003C315B">
      <w:rPr>
        <w:sz w:val="32"/>
        <w:szCs w:val="32"/>
      </w:rPr>
      <w:t>adigan Estates (Maple Grove)</w:t>
    </w:r>
  </w:p>
  <w:p w:rsidR="00BF67EE" w:rsidRPr="003C315B" w:rsidRDefault="00BF67EE" w:rsidP="003C315B">
    <w:pPr>
      <w:pStyle w:val="Header"/>
      <w:tabs>
        <w:tab w:val="clear" w:pos="8640"/>
        <w:tab w:val="right" w:pos="9990"/>
      </w:tabs>
      <w:jc w:val="center"/>
      <w:rPr>
        <w:sz w:val="32"/>
        <w:szCs w:val="32"/>
      </w:rPr>
    </w:pPr>
    <w:r w:rsidRPr="003C315B">
      <w:rPr>
        <w:sz w:val="32"/>
        <w:szCs w:val="32"/>
      </w:rPr>
      <w:t>Change in Bed Complement</w:t>
    </w:r>
  </w:p>
  <w:p w:rsidR="000F6EB1" w:rsidRPr="003C315B" w:rsidRDefault="000F6EB1" w:rsidP="003C315B">
    <w:pPr>
      <w:pStyle w:val="Header"/>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B1" w:rsidRDefault="000F6EB1" w:rsidP="000F6EB1">
    <w:pPr>
      <w:pStyle w:val="Header"/>
      <w:tabs>
        <w:tab w:val="clear" w:pos="8640"/>
        <w:tab w:val="right" w:pos="9360"/>
      </w:tabs>
      <w:ind w:left="-360"/>
    </w:pPr>
    <w:r>
      <w:t>Madigan Estates (Maple Grove)</w:t>
    </w:r>
    <w:r>
      <w:tab/>
    </w:r>
    <w:r>
      <w:tab/>
      <w:t>Change in Bed Complement</w:t>
    </w:r>
  </w:p>
  <w:p w:rsidR="000F6EB1" w:rsidRDefault="000F6EB1" w:rsidP="000F6EB1">
    <w:pPr>
      <w:pStyle w:val="Header"/>
      <w:ind w:left="-360"/>
    </w:pPr>
    <w:r>
      <w:t>Adding 13 NF Beds</w:t>
    </w:r>
  </w:p>
  <w:p w:rsidR="000F6EB1" w:rsidRDefault="000F6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53" w:rsidRDefault="003F4A53" w:rsidP="000F6EB1">
    <w:pPr>
      <w:pStyle w:val="Header"/>
      <w:tabs>
        <w:tab w:val="clear" w:pos="8640"/>
        <w:tab w:val="right" w:pos="9360"/>
      </w:tabs>
      <w:ind w:left="-360"/>
    </w:pPr>
    <w:r>
      <w:t>Madigan Estates (Maple Grove)</w:t>
    </w:r>
    <w:r>
      <w:tab/>
    </w:r>
    <w:r>
      <w:tab/>
      <w:t>Change in Bed Complement</w:t>
    </w:r>
  </w:p>
  <w:p w:rsidR="003F4A53" w:rsidRDefault="003F4A53" w:rsidP="000F6EB1">
    <w:pPr>
      <w:pStyle w:val="Header"/>
      <w:ind w:left="-360"/>
    </w:pPr>
    <w:r>
      <w:t>Adding 13 NF Beds</w:t>
    </w:r>
  </w:p>
  <w:p w:rsidR="003F4A53" w:rsidRDefault="003F4A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E" w:rsidRDefault="00BF67EE" w:rsidP="00BF67EE">
    <w:pPr>
      <w:pStyle w:val="Header"/>
      <w:tabs>
        <w:tab w:val="clear" w:pos="8640"/>
        <w:tab w:val="right" w:pos="9900"/>
      </w:tabs>
    </w:pPr>
    <w:r>
      <w:t>Madigan Estates (Maple Grove)</w:t>
    </w:r>
    <w:r>
      <w:tab/>
    </w:r>
    <w:r>
      <w:tab/>
      <w:t>Change in Bed Complement</w:t>
    </w:r>
  </w:p>
  <w:p w:rsidR="00BF67EE" w:rsidRDefault="00BF67EE" w:rsidP="00BF67EE">
    <w:pPr>
      <w:pStyle w:val="Header"/>
    </w:pPr>
    <w:r>
      <w:t>Adding 13 NF Beds</w:t>
    </w:r>
  </w:p>
  <w:p w:rsidR="00BF67EE" w:rsidRDefault="00BF6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53" w:rsidRDefault="003F4A53" w:rsidP="00387EE5">
    <w:pPr>
      <w:pStyle w:val="Header"/>
      <w:tabs>
        <w:tab w:val="clear" w:pos="8640"/>
        <w:tab w:val="right" w:pos="9900"/>
      </w:tabs>
    </w:pPr>
    <w:r>
      <w:t>Madigan Estates (Maple Grove)</w:t>
    </w:r>
    <w:r>
      <w:tab/>
    </w:r>
    <w:r>
      <w:tab/>
      <w:t>Change in Bed Complement</w:t>
    </w:r>
  </w:p>
  <w:p w:rsidR="003F4A53" w:rsidRDefault="003F4A53" w:rsidP="00387EE5">
    <w:pPr>
      <w:pStyle w:val="Header"/>
      <w:tabs>
        <w:tab w:val="right" w:pos="9900"/>
      </w:tabs>
    </w:pPr>
    <w:r>
      <w:t>Adding 13 NF Beds</w:t>
    </w:r>
  </w:p>
  <w:p w:rsidR="003F4A53" w:rsidRDefault="003F4A53" w:rsidP="00387EE5">
    <w:pPr>
      <w:pStyle w:val="Header"/>
      <w:tabs>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A8"/>
    <w:multiLevelType w:val="hybridMultilevel"/>
    <w:tmpl w:val="21980A6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A7F5F"/>
    <w:multiLevelType w:val="hybridMultilevel"/>
    <w:tmpl w:val="7C682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2A14CE"/>
    <w:multiLevelType w:val="hybridMultilevel"/>
    <w:tmpl w:val="979A7B58"/>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34801A6"/>
    <w:multiLevelType w:val="hybridMultilevel"/>
    <w:tmpl w:val="B7389466"/>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4F2BC9"/>
    <w:multiLevelType w:val="hybridMultilevel"/>
    <w:tmpl w:val="70A01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715FD"/>
    <w:multiLevelType w:val="multilevel"/>
    <w:tmpl w:val="68FAB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000B06"/>
    <w:multiLevelType w:val="hybridMultilevel"/>
    <w:tmpl w:val="41E8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9D5CA9"/>
    <w:multiLevelType w:val="hybridMultilevel"/>
    <w:tmpl w:val="322C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3E292A"/>
    <w:multiLevelType w:val="hybridMultilevel"/>
    <w:tmpl w:val="0B4A857A"/>
    <w:lvl w:ilvl="0" w:tplc="75E08DF4">
      <w:start w:val="1"/>
      <w:numFmt w:val="decimal"/>
      <w:lvlText w:val="%1)"/>
      <w:lvlJc w:val="left"/>
      <w:pPr>
        <w:tabs>
          <w:tab w:val="num" w:pos="630"/>
        </w:tabs>
        <w:ind w:left="630" w:hanging="360"/>
      </w:pPr>
      <w:rPr>
        <w:b/>
      </w:rPr>
    </w:lvl>
    <w:lvl w:ilvl="1" w:tplc="04090001">
      <w:start w:val="1"/>
      <w:numFmt w:val="bullet"/>
      <w:lvlText w:val=""/>
      <w:lvlJc w:val="left"/>
      <w:pPr>
        <w:tabs>
          <w:tab w:val="num" w:pos="1440"/>
        </w:tabs>
        <w:ind w:left="1440" w:hanging="360"/>
      </w:pPr>
      <w:rPr>
        <w:rFonts w:ascii="Symbol" w:hAnsi="Symbol" w:hint="default"/>
      </w:rPr>
    </w:lvl>
    <w:lvl w:ilvl="2" w:tplc="713ED9EA">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943489"/>
    <w:multiLevelType w:val="hybridMultilevel"/>
    <w:tmpl w:val="6080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A4CAE"/>
    <w:multiLevelType w:val="hybridMultilevel"/>
    <w:tmpl w:val="C9C4FE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5464BF"/>
    <w:multiLevelType w:val="hybridMultilevel"/>
    <w:tmpl w:val="1B76F4F4"/>
    <w:lvl w:ilvl="0" w:tplc="FAB6CA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E3237"/>
    <w:multiLevelType w:val="hybridMultilevel"/>
    <w:tmpl w:val="37B2FB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CD0436"/>
    <w:multiLevelType w:val="hybridMultilevel"/>
    <w:tmpl w:val="80E66E2C"/>
    <w:lvl w:ilvl="0" w:tplc="10F4B2B0">
      <w:start w:val="7"/>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1150A"/>
    <w:multiLevelType w:val="hybridMultilevel"/>
    <w:tmpl w:val="F8A0A7B0"/>
    <w:lvl w:ilvl="0" w:tplc="44E205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19448C"/>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1B332AE9"/>
    <w:multiLevelType w:val="multilevel"/>
    <w:tmpl w:val="E1EA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45684C"/>
    <w:multiLevelType w:val="hybridMultilevel"/>
    <w:tmpl w:val="FE2EC0C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5D4F2E"/>
    <w:multiLevelType w:val="hybridMultilevel"/>
    <w:tmpl w:val="D2161B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2B396B18"/>
    <w:multiLevelType w:val="hybridMultilevel"/>
    <w:tmpl w:val="E42E623E"/>
    <w:lvl w:ilvl="0" w:tplc="195899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9548D1"/>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A15F3"/>
    <w:multiLevelType w:val="hybridMultilevel"/>
    <w:tmpl w:val="68FA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2544B0"/>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25668"/>
    <w:multiLevelType w:val="hybridMultilevel"/>
    <w:tmpl w:val="3D6A7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A7C5678"/>
    <w:multiLevelType w:val="hybridMultilevel"/>
    <w:tmpl w:val="958CAB46"/>
    <w:lvl w:ilvl="0" w:tplc="FCE45A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A87F1B"/>
    <w:multiLevelType w:val="hybridMultilevel"/>
    <w:tmpl w:val="86108094"/>
    <w:lvl w:ilvl="0" w:tplc="000ADD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268A5"/>
    <w:multiLevelType w:val="hybridMultilevel"/>
    <w:tmpl w:val="28525786"/>
    <w:lvl w:ilvl="0" w:tplc="F0F6D1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011E6"/>
    <w:multiLevelType w:val="hybridMultilevel"/>
    <w:tmpl w:val="92DA4280"/>
    <w:lvl w:ilvl="0" w:tplc="B9E651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6425B"/>
    <w:multiLevelType w:val="hybridMultilevel"/>
    <w:tmpl w:val="F5044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003E61"/>
    <w:multiLevelType w:val="hybridMultilevel"/>
    <w:tmpl w:val="C2B670C0"/>
    <w:lvl w:ilvl="0" w:tplc="44E2055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1D73B0"/>
    <w:multiLevelType w:val="hybridMultilevel"/>
    <w:tmpl w:val="3F80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9B6841"/>
    <w:multiLevelType w:val="hybridMultilevel"/>
    <w:tmpl w:val="6C8A4224"/>
    <w:lvl w:ilvl="0" w:tplc="4B3E1566">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54690F"/>
    <w:multiLevelType w:val="hybridMultilevel"/>
    <w:tmpl w:val="477486F4"/>
    <w:lvl w:ilvl="0" w:tplc="3B767E44">
      <w:start w:val="1"/>
      <w:numFmt w:val="decimal"/>
      <w:lvlText w:val="%1)"/>
      <w:lvlJc w:val="left"/>
      <w:pPr>
        <w:tabs>
          <w:tab w:val="num" w:pos="2340"/>
        </w:tabs>
        <w:ind w:left="2340" w:hanging="360"/>
      </w:pPr>
      <w:rPr>
        <w:rFonts w:hint="default"/>
      </w:rPr>
    </w:lvl>
    <w:lvl w:ilvl="1" w:tplc="8CCE41E4">
      <w:start w:val="1"/>
      <w:numFmt w:val="lowerRoman"/>
      <w:lvlText w:val="%2."/>
      <w:lvlJc w:val="right"/>
      <w:pPr>
        <w:tabs>
          <w:tab w:val="num" w:pos="1080"/>
        </w:tabs>
        <w:ind w:left="1080" w:hanging="360"/>
      </w:pPr>
      <w:rPr>
        <w:rFonts w:hint="default"/>
        <w:b/>
      </w:rPr>
    </w:lvl>
    <w:lvl w:ilvl="2" w:tplc="04090001">
      <w:start w:val="1"/>
      <w:numFmt w:val="bullet"/>
      <w:lvlText w:val=""/>
      <w:lvlJc w:val="left"/>
      <w:pPr>
        <w:tabs>
          <w:tab w:val="num" w:pos="3960"/>
        </w:tabs>
        <w:ind w:left="3960" w:hanging="360"/>
      </w:pPr>
      <w:rPr>
        <w:rFonts w:ascii="Symbol" w:hAnsi="Symbol"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nsid w:val="50D1361E"/>
    <w:multiLevelType w:val="hybridMultilevel"/>
    <w:tmpl w:val="B01CC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53C2A5A"/>
    <w:multiLevelType w:val="hybridMultilevel"/>
    <w:tmpl w:val="D54EB43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5BE11F8"/>
    <w:multiLevelType w:val="hybridMultilevel"/>
    <w:tmpl w:val="AF0E5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337B3F"/>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E4B66"/>
    <w:multiLevelType w:val="hybridMultilevel"/>
    <w:tmpl w:val="8D94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F86FAF"/>
    <w:multiLevelType w:val="hybridMultilevel"/>
    <w:tmpl w:val="C94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616B4"/>
    <w:multiLevelType w:val="hybridMultilevel"/>
    <w:tmpl w:val="7E38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D87E11"/>
    <w:multiLevelType w:val="hybridMultilevel"/>
    <w:tmpl w:val="76A2C170"/>
    <w:lvl w:ilvl="0" w:tplc="B25E69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8B22A9"/>
    <w:multiLevelType w:val="hybridMultilevel"/>
    <w:tmpl w:val="FB1A9EF6"/>
    <w:lvl w:ilvl="0" w:tplc="EE0E1A6C">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3">
    <w:nsid w:val="6CF304AE"/>
    <w:multiLevelType w:val="hybridMultilevel"/>
    <w:tmpl w:val="3B5EF68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EF611C2"/>
    <w:multiLevelType w:val="hybridMultilevel"/>
    <w:tmpl w:val="FE66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4464BF"/>
    <w:multiLevelType w:val="hybridMultilevel"/>
    <w:tmpl w:val="622A4E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121EF0"/>
    <w:multiLevelType w:val="hybridMultilevel"/>
    <w:tmpl w:val="18B8BA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92A13C5"/>
    <w:multiLevelType w:val="hybridMultilevel"/>
    <w:tmpl w:val="38CE8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F7D3E21"/>
    <w:multiLevelType w:val="hybridMultilevel"/>
    <w:tmpl w:val="A3B84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48"/>
  </w:num>
  <w:num w:numId="4">
    <w:abstractNumId w:val="32"/>
  </w:num>
  <w:num w:numId="5">
    <w:abstractNumId w:val="46"/>
  </w:num>
  <w:num w:numId="6">
    <w:abstractNumId w:val="43"/>
  </w:num>
  <w:num w:numId="7">
    <w:abstractNumId w:val="34"/>
  </w:num>
  <w:num w:numId="8">
    <w:abstractNumId w:val="10"/>
  </w:num>
  <w:num w:numId="9">
    <w:abstractNumId w:val="2"/>
  </w:num>
  <w:num w:numId="10">
    <w:abstractNumId w:val="3"/>
  </w:num>
  <w:num w:numId="11">
    <w:abstractNumId w:val="0"/>
  </w:num>
  <w:num w:numId="12">
    <w:abstractNumId w:val="17"/>
  </w:num>
  <w:num w:numId="13">
    <w:abstractNumId w:val="42"/>
  </w:num>
  <w:num w:numId="14">
    <w:abstractNumId w:val="16"/>
  </w:num>
  <w:num w:numId="15">
    <w:abstractNumId w:val="40"/>
  </w:num>
  <w:num w:numId="16">
    <w:abstractNumId w:val="30"/>
  </w:num>
  <w:num w:numId="17">
    <w:abstractNumId w:val="38"/>
  </w:num>
  <w:num w:numId="18">
    <w:abstractNumId w:val="20"/>
  </w:num>
  <w:num w:numId="19">
    <w:abstractNumId w:val="15"/>
  </w:num>
  <w:num w:numId="20">
    <w:abstractNumId w:val="44"/>
  </w:num>
  <w:num w:numId="21">
    <w:abstractNumId w:val="9"/>
  </w:num>
  <w:num w:numId="22">
    <w:abstractNumId w:val="21"/>
  </w:num>
  <w:num w:numId="23">
    <w:abstractNumId w:val="5"/>
  </w:num>
  <w:num w:numId="24">
    <w:abstractNumId w:val="7"/>
  </w:num>
  <w:num w:numId="25">
    <w:abstractNumId w:val="23"/>
  </w:num>
  <w:num w:numId="26">
    <w:abstractNumId w:val="4"/>
  </w:num>
  <w:num w:numId="27">
    <w:abstractNumId w:val="28"/>
  </w:num>
  <w:num w:numId="28">
    <w:abstractNumId w:val="33"/>
  </w:num>
  <w:num w:numId="29">
    <w:abstractNumId w:val="1"/>
  </w:num>
  <w:num w:numId="30">
    <w:abstractNumId w:val="24"/>
  </w:num>
  <w:num w:numId="31">
    <w:abstractNumId w:val="14"/>
  </w:num>
  <w:num w:numId="32">
    <w:abstractNumId w:val="25"/>
  </w:num>
  <w:num w:numId="33">
    <w:abstractNumId w:val="11"/>
  </w:num>
  <w:num w:numId="34">
    <w:abstractNumId w:val="41"/>
  </w:num>
  <w:num w:numId="35">
    <w:abstractNumId w:val="31"/>
  </w:num>
  <w:num w:numId="36">
    <w:abstractNumId w:val="27"/>
  </w:num>
  <w:num w:numId="37">
    <w:abstractNumId w:val="26"/>
  </w:num>
  <w:num w:numId="38">
    <w:abstractNumId w:val="19"/>
  </w:num>
  <w:num w:numId="39">
    <w:abstractNumId w:val="47"/>
  </w:num>
  <w:num w:numId="40">
    <w:abstractNumId w:val="18"/>
  </w:num>
  <w:num w:numId="41">
    <w:abstractNumId w:val="6"/>
  </w:num>
  <w:num w:numId="42">
    <w:abstractNumId w:val="35"/>
  </w:num>
  <w:num w:numId="43">
    <w:abstractNumId w:val="12"/>
  </w:num>
  <w:num w:numId="44">
    <w:abstractNumId w:val="39"/>
  </w:num>
  <w:num w:numId="45">
    <w:abstractNumId w:val="45"/>
  </w:num>
  <w:num w:numId="46">
    <w:abstractNumId w:val="36"/>
  </w:num>
  <w:num w:numId="47">
    <w:abstractNumId w:val="22"/>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7697"/>
    <w:rsid w:val="00013531"/>
    <w:rsid w:val="00015D35"/>
    <w:rsid w:val="00016199"/>
    <w:rsid w:val="000227D8"/>
    <w:rsid w:val="00022919"/>
    <w:rsid w:val="00023DCB"/>
    <w:rsid w:val="00023F63"/>
    <w:rsid w:val="00033677"/>
    <w:rsid w:val="000347F6"/>
    <w:rsid w:val="00040F40"/>
    <w:rsid w:val="00050092"/>
    <w:rsid w:val="00057C6F"/>
    <w:rsid w:val="00065CDD"/>
    <w:rsid w:val="00071233"/>
    <w:rsid w:val="000765D0"/>
    <w:rsid w:val="000819A7"/>
    <w:rsid w:val="000A2C6D"/>
    <w:rsid w:val="000A7B87"/>
    <w:rsid w:val="000B06FB"/>
    <w:rsid w:val="000C33E5"/>
    <w:rsid w:val="000C3783"/>
    <w:rsid w:val="000D2BCF"/>
    <w:rsid w:val="000D4B09"/>
    <w:rsid w:val="000D75CA"/>
    <w:rsid w:val="000F0DE2"/>
    <w:rsid w:val="000F6EB1"/>
    <w:rsid w:val="00103178"/>
    <w:rsid w:val="00106C0B"/>
    <w:rsid w:val="0012149E"/>
    <w:rsid w:val="00125C65"/>
    <w:rsid w:val="00135384"/>
    <w:rsid w:val="00136F35"/>
    <w:rsid w:val="00141812"/>
    <w:rsid w:val="00146041"/>
    <w:rsid w:val="00146AF5"/>
    <w:rsid w:val="0015136A"/>
    <w:rsid w:val="00153761"/>
    <w:rsid w:val="00157A51"/>
    <w:rsid w:val="00161EC4"/>
    <w:rsid w:val="0019504F"/>
    <w:rsid w:val="001A0038"/>
    <w:rsid w:val="001A6A08"/>
    <w:rsid w:val="001B0061"/>
    <w:rsid w:val="001B7EC9"/>
    <w:rsid w:val="001C6C48"/>
    <w:rsid w:val="001D40D9"/>
    <w:rsid w:val="001D4D46"/>
    <w:rsid w:val="001D5309"/>
    <w:rsid w:val="001D7499"/>
    <w:rsid w:val="001E61E2"/>
    <w:rsid w:val="001F0CE2"/>
    <w:rsid w:val="001F6C8F"/>
    <w:rsid w:val="001F7E17"/>
    <w:rsid w:val="0020516B"/>
    <w:rsid w:val="00210452"/>
    <w:rsid w:val="00211D80"/>
    <w:rsid w:val="0021530B"/>
    <w:rsid w:val="00221B31"/>
    <w:rsid w:val="0024095A"/>
    <w:rsid w:val="00247F3A"/>
    <w:rsid w:val="00256CD7"/>
    <w:rsid w:val="00257618"/>
    <w:rsid w:val="00263B18"/>
    <w:rsid w:val="00280C22"/>
    <w:rsid w:val="00284C38"/>
    <w:rsid w:val="0029050A"/>
    <w:rsid w:val="00297BEF"/>
    <w:rsid w:val="002A2A02"/>
    <w:rsid w:val="002A7DE8"/>
    <w:rsid w:val="002B11BA"/>
    <w:rsid w:val="002C6583"/>
    <w:rsid w:val="002D0F18"/>
    <w:rsid w:val="002D32BB"/>
    <w:rsid w:val="002E4C96"/>
    <w:rsid w:val="002F4049"/>
    <w:rsid w:val="003106E4"/>
    <w:rsid w:val="00312B6A"/>
    <w:rsid w:val="003137F6"/>
    <w:rsid w:val="00313E6E"/>
    <w:rsid w:val="003141FB"/>
    <w:rsid w:val="00330D9E"/>
    <w:rsid w:val="00341E03"/>
    <w:rsid w:val="00342EAA"/>
    <w:rsid w:val="003454B4"/>
    <w:rsid w:val="003514A7"/>
    <w:rsid w:val="00361146"/>
    <w:rsid w:val="00361816"/>
    <w:rsid w:val="003856CE"/>
    <w:rsid w:val="00386E0A"/>
    <w:rsid w:val="00387EE5"/>
    <w:rsid w:val="00394384"/>
    <w:rsid w:val="00394D4B"/>
    <w:rsid w:val="003B25C8"/>
    <w:rsid w:val="003B626B"/>
    <w:rsid w:val="003C315B"/>
    <w:rsid w:val="003D0EF4"/>
    <w:rsid w:val="003E40C7"/>
    <w:rsid w:val="003E7C27"/>
    <w:rsid w:val="003F18C5"/>
    <w:rsid w:val="003F40D7"/>
    <w:rsid w:val="003F4A53"/>
    <w:rsid w:val="003F535E"/>
    <w:rsid w:val="003F734F"/>
    <w:rsid w:val="004048D6"/>
    <w:rsid w:val="00404E06"/>
    <w:rsid w:val="004076A4"/>
    <w:rsid w:val="0041134E"/>
    <w:rsid w:val="0042356B"/>
    <w:rsid w:val="00431A36"/>
    <w:rsid w:val="0043577D"/>
    <w:rsid w:val="004466EC"/>
    <w:rsid w:val="00446B52"/>
    <w:rsid w:val="00452A39"/>
    <w:rsid w:val="00463AA5"/>
    <w:rsid w:val="00467096"/>
    <w:rsid w:val="00467AE2"/>
    <w:rsid w:val="004719DD"/>
    <w:rsid w:val="004776EE"/>
    <w:rsid w:val="00481A0A"/>
    <w:rsid w:val="00484707"/>
    <w:rsid w:val="00485646"/>
    <w:rsid w:val="00485BD1"/>
    <w:rsid w:val="00494BCF"/>
    <w:rsid w:val="004951B4"/>
    <w:rsid w:val="004A270F"/>
    <w:rsid w:val="004A3B4A"/>
    <w:rsid w:val="004C03DF"/>
    <w:rsid w:val="004C0BFF"/>
    <w:rsid w:val="004C340D"/>
    <w:rsid w:val="004E6224"/>
    <w:rsid w:val="004E7309"/>
    <w:rsid w:val="004F30E2"/>
    <w:rsid w:val="004F4EE7"/>
    <w:rsid w:val="004F672E"/>
    <w:rsid w:val="004F78B9"/>
    <w:rsid w:val="004F7F13"/>
    <w:rsid w:val="005049C5"/>
    <w:rsid w:val="00527FB7"/>
    <w:rsid w:val="0053068D"/>
    <w:rsid w:val="0053096A"/>
    <w:rsid w:val="00531AC0"/>
    <w:rsid w:val="00537367"/>
    <w:rsid w:val="00537590"/>
    <w:rsid w:val="00542C49"/>
    <w:rsid w:val="00544CAB"/>
    <w:rsid w:val="00555F55"/>
    <w:rsid w:val="00561957"/>
    <w:rsid w:val="005660A9"/>
    <w:rsid w:val="005719F5"/>
    <w:rsid w:val="00590FAF"/>
    <w:rsid w:val="00595DD4"/>
    <w:rsid w:val="005A0C4E"/>
    <w:rsid w:val="005A3683"/>
    <w:rsid w:val="005A755D"/>
    <w:rsid w:val="005B0243"/>
    <w:rsid w:val="005C1624"/>
    <w:rsid w:val="005D10D2"/>
    <w:rsid w:val="005D6E73"/>
    <w:rsid w:val="005E1F98"/>
    <w:rsid w:val="005E2E11"/>
    <w:rsid w:val="005F6CA6"/>
    <w:rsid w:val="005F7365"/>
    <w:rsid w:val="00605C80"/>
    <w:rsid w:val="006168D7"/>
    <w:rsid w:val="00622EE7"/>
    <w:rsid w:val="0062601F"/>
    <w:rsid w:val="00633F1A"/>
    <w:rsid w:val="006406F3"/>
    <w:rsid w:val="00645957"/>
    <w:rsid w:val="006478C0"/>
    <w:rsid w:val="006578FD"/>
    <w:rsid w:val="0066751B"/>
    <w:rsid w:val="00676182"/>
    <w:rsid w:val="00687513"/>
    <w:rsid w:val="0069056C"/>
    <w:rsid w:val="0069517E"/>
    <w:rsid w:val="0069646A"/>
    <w:rsid w:val="006A60EA"/>
    <w:rsid w:val="006D101F"/>
    <w:rsid w:val="006D4F0E"/>
    <w:rsid w:val="006E4089"/>
    <w:rsid w:val="006F6DB2"/>
    <w:rsid w:val="00702AAF"/>
    <w:rsid w:val="007066F6"/>
    <w:rsid w:val="00714FBA"/>
    <w:rsid w:val="007150D5"/>
    <w:rsid w:val="0072460E"/>
    <w:rsid w:val="00724773"/>
    <w:rsid w:val="007302FD"/>
    <w:rsid w:val="007329AE"/>
    <w:rsid w:val="00737B40"/>
    <w:rsid w:val="007402E0"/>
    <w:rsid w:val="00743525"/>
    <w:rsid w:val="007437C7"/>
    <w:rsid w:val="00744558"/>
    <w:rsid w:val="00752871"/>
    <w:rsid w:val="00754874"/>
    <w:rsid w:val="00755FCE"/>
    <w:rsid w:val="00764535"/>
    <w:rsid w:val="007660E9"/>
    <w:rsid w:val="0076796D"/>
    <w:rsid w:val="00777C32"/>
    <w:rsid w:val="00781A7D"/>
    <w:rsid w:val="00786E02"/>
    <w:rsid w:val="0078779E"/>
    <w:rsid w:val="007878AE"/>
    <w:rsid w:val="00790E0B"/>
    <w:rsid w:val="00794DBD"/>
    <w:rsid w:val="007A43BF"/>
    <w:rsid w:val="007B340D"/>
    <w:rsid w:val="007B5C38"/>
    <w:rsid w:val="007C4751"/>
    <w:rsid w:val="007C5F44"/>
    <w:rsid w:val="007D116F"/>
    <w:rsid w:val="007D3E1C"/>
    <w:rsid w:val="007D4799"/>
    <w:rsid w:val="007D6211"/>
    <w:rsid w:val="007E1349"/>
    <w:rsid w:val="007E14D4"/>
    <w:rsid w:val="007E35F4"/>
    <w:rsid w:val="007E3FFF"/>
    <w:rsid w:val="007E532A"/>
    <w:rsid w:val="007E7BFF"/>
    <w:rsid w:val="007F00CE"/>
    <w:rsid w:val="007F066E"/>
    <w:rsid w:val="00800ECB"/>
    <w:rsid w:val="00801550"/>
    <w:rsid w:val="008035E8"/>
    <w:rsid w:val="0080566D"/>
    <w:rsid w:val="00805A2E"/>
    <w:rsid w:val="00821D90"/>
    <w:rsid w:val="00823F6C"/>
    <w:rsid w:val="00824194"/>
    <w:rsid w:val="008358DA"/>
    <w:rsid w:val="0083607A"/>
    <w:rsid w:val="0083726D"/>
    <w:rsid w:val="00843E17"/>
    <w:rsid w:val="00847444"/>
    <w:rsid w:val="00847597"/>
    <w:rsid w:val="00856003"/>
    <w:rsid w:val="00864009"/>
    <w:rsid w:val="00875A54"/>
    <w:rsid w:val="00882D98"/>
    <w:rsid w:val="00886E9A"/>
    <w:rsid w:val="0089352A"/>
    <w:rsid w:val="008A0BED"/>
    <w:rsid w:val="008A5179"/>
    <w:rsid w:val="008A6A5C"/>
    <w:rsid w:val="008B27E5"/>
    <w:rsid w:val="008B3994"/>
    <w:rsid w:val="008B3F91"/>
    <w:rsid w:val="008C20B9"/>
    <w:rsid w:val="008C4753"/>
    <w:rsid w:val="008C5D56"/>
    <w:rsid w:val="008C5DCE"/>
    <w:rsid w:val="008D638B"/>
    <w:rsid w:val="008E13ED"/>
    <w:rsid w:val="008E1B01"/>
    <w:rsid w:val="008F0D61"/>
    <w:rsid w:val="008F1A53"/>
    <w:rsid w:val="009011AA"/>
    <w:rsid w:val="00904FDF"/>
    <w:rsid w:val="009120BE"/>
    <w:rsid w:val="009128BC"/>
    <w:rsid w:val="00912A43"/>
    <w:rsid w:val="00927584"/>
    <w:rsid w:val="00941907"/>
    <w:rsid w:val="009432E7"/>
    <w:rsid w:val="009448E2"/>
    <w:rsid w:val="00951717"/>
    <w:rsid w:val="00953495"/>
    <w:rsid w:val="00954A41"/>
    <w:rsid w:val="00957803"/>
    <w:rsid w:val="00960CC0"/>
    <w:rsid w:val="00967D01"/>
    <w:rsid w:val="009706F2"/>
    <w:rsid w:val="00977039"/>
    <w:rsid w:val="009823F5"/>
    <w:rsid w:val="009840FC"/>
    <w:rsid w:val="00992D98"/>
    <w:rsid w:val="00996712"/>
    <w:rsid w:val="009A2CAD"/>
    <w:rsid w:val="009B7FD8"/>
    <w:rsid w:val="009C0D36"/>
    <w:rsid w:val="009C60A2"/>
    <w:rsid w:val="009D1BFC"/>
    <w:rsid w:val="009D41E4"/>
    <w:rsid w:val="009E0394"/>
    <w:rsid w:val="009F4254"/>
    <w:rsid w:val="009F6384"/>
    <w:rsid w:val="00A104BB"/>
    <w:rsid w:val="00A230C0"/>
    <w:rsid w:val="00A30288"/>
    <w:rsid w:val="00A3301F"/>
    <w:rsid w:val="00A40A99"/>
    <w:rsid w:val="00A44A1A"/>
    <w:rsid w:val="00A51157"/>
    <w:rsid w:val="00A56B6E"/>
    <w:rsid w:val="00A70970"/>
    <w:rsid w:val="00A718F9"/>
    <w:rsid w:val="00A71E30"/>
    <w:rsid w:val="00A81E0E"/>
    <w:rsid w:val="00A860CC"/>
    <w:rsid w:val="00A86CCA"/>
    <w:rsid w:val="00AA11CD"/>
    <w:rsid w:val="00AA32B3"/>
    <w:rsid w:val="00AA3CE2"/>
    <w:rsid w:val="00AB0FB8"/>
    <w:rsid w:val="00AB6D59"/>
    <w:rsid w:val="00AB73A9"/>
    <w:rsid w:val="00AB769E"/>
    <w:rsid w:val="00AC2985"/>
    <w:rsid w:val="00AC4ED0"/>
    <w:rsid w:val="00AC7E49"/>
    <w:rsid w:val="00AD1EAA"/>
    <w:rsid w:val="00AF1315"/>
    <w:rsid w:val="00AF28BB"/>
    <w:rsid w:val="00B147A6"/>
    <w:rsid w:val="00B23758"/>
    <w:rsid w:val="00B2404F"/>
    <w:rsid w:val="00B308C5"/>
    <w:rsid w:val="00B42E24"/>
    <w:rsid w:val="00B43A05"/>
    <w:rsid w:val="00B4467F"/>
    <w:rsid w:val="00B44988"/>
    <w:rsid w:val="00B464A3"/>
    <w:rsid w:val="00B47E59"/>
    <w:rsid w:val="00B70B2F"/>
    <w:rsid w:val="00B71C53"/>
    <w:rsid w:val="00B81951"/>
    <w:rsid w:val="00B848B4"/>
    <w:rsid w:val="00B875F7"/>
    <w:rsid w:val="00B92D52"/>
    <w:rsid w:val="00B95A86"/>
    <w:rsid w:val="00BA2C2D"/>
    <w:rsid w:val="00BA3538"/>
    <w:rsid w:val="00BB3715"/>
    <w:rsid w:val="00BC357F"/>
    <w:rsid w:val="00BD2124"/>
    <w:rsid w:val="00BD7CA2"/>
    <w:rsid w:val="00BE29B7"/>
    <w:rsid w:val="00BF67EE"/>
    <w:rsid w:val="00C018F8"/>
    <w:rsid w:val="00C168B0"/>
    <w:rsid w:val="00C27235"/>
    <w:rsid w:val="00C33469"/>
    <w:rsid w:val="00C4539A"/>
    <w:rsid w:val="00C4641A"/>
    <w:rsid w:val="00C47E86"/>
    <w:rsid w:val="00C5355C"/>
    <w:rsid w:val="00C608F9"/>
    <w:rsid w:val="00C612BF"/>
    <w:rsid w:val="00C75673"/>
    <w:rsid w:val="00C76457"/>
    <w:rsid w:val="00C80C18"/>
    <w:rsid w:val="00C8339A"/>
    <w:rsid w:val="00C84991"/>
    <w:rsid w:val="00C9538F"/>
    <w:rsid w:val="00CC0AF8"/>
    <w:rsid w:val="00CE4612"/>
    <w:rsid w:val="00D064E7"/>
    <w:rsid w:val="00D1168F"/>
    <w:rsid w:val="00D1241F"/>
    <w:rsid w:val="00D15F8D"/>
    <w:rsid w:val="00D26346"/>
    <w:rsid w:val="00D33BB3"/>
    <w:rsid w:val="00D40B13"/>
    <w:rsid w:val="00D41361"/>
    <w:rsid w:val="00D519BB"/>
    <w:rsid w:val="00D52DF0"/>
    <w:rsid w:val="00D57970"/>
    <w:rsid w:val="00D61161"/>
    <w:rsid w:val="00D67662"/>
    <w:rsid w:val="00D716D5"/>
    <w:rsid w:val="00D72961"/>
    <w:rsid w:val="00D9244D"/>
    <w:rsid w:val="00D946A3"/>
    <w:rsid w:val="00D958AF"/>
    <w:rsid w:val="00D95901"/>
    <w:rsid w:val="00D9752F"/>
    <w:rsid w:val="00DA6012"/>
    <w:rsid w:val="00DB1A2B"/>
    <w:rsid w:val="00DC6D2B"/>
    <w:rsid w:val="00DD0BBC"/>
    <w:rsid w:val="00DD14A4"/>
    <w:rsid w:val="00DD2A78"/>
    <w:rsid w:val="00DD4091"/>
    <w:rsid w:val="00DD5910"/>
    <w:rsid w:val="00DD6696"/>
    <w:rsid w:val="00DE16F6"/>
    <w:rsid w:val="00DE280D"/>
    <w:rsid w:val="00DE68E5"/>
    <w:rsid w:val="00DE6AEA"/>
    <w:rsid w:val="00DF631D"/>
    <w:rsid w:val="00E06F70"/>
    <w:rsid w:val="00E148E6"/>
    <w:rsid w:val="00E2087D"/>
    <w:rsid w:val="00E27373"/>
    <w:rsid w:val="00E35B5A"/>
    <w:rsid w:val="00E42931"/>
    <w:rsid w:val="00E53BD1"/>
    <w:rsid w:val="00E57232"/>
    <w:rsid w:val="00E66363"/>
    <w:rsid w:val="00E75C5F"/>
    <w:rsid w:val="00E84853"/>
    <w:rsid w:val="00E851FB"/>
    <w:rsid w:val="00EA18A1"/>
    <w:rsid w:val="00EA3AD7"/>
    <w:rsid w:val="00EB1516"/>
    <w:rsid w:val="00EC5B1E"/>
    <w:rsid w:val="00ED6760"/>
    <w:rsid w:val="00ED7B7F"/>
    <w:rsid w:val="00EE28FB"/>
    <w:rsid w:val="00EE47F6"/>
    <w:rsid w:val="00EF0D61"/>
    <w:rsid w:val="00EF1A98"/>
    <w:rsid w:val="00EF4661"/>
    <w:rsid w:val="00F00510"/>
    <w:rsid w:val="00F007C4"/>
    <w:rsid w:val="00F040E2"/>
    <w:rsid w:val="00F0503E"/>
    <w:rsid w:val="00F05333"/>
    <w:rsid w:val="00F116CB"/>
    <w:rsid w:val="00F27DCE"/>
    <w:rsid w:val="00F3439E"/>
    <w:rsid w:val="00F36423"/>
    <w:rsid w:val="00F5211E"/>
    <w:rsid w:val="00F56735"/>
    <w:rsid w:val="00F576BB"/>
    <w:rsid w:val="00F62932"/>
    <w:rsid w:val="00F63146"/>
    <w:rsid w:val="00F67537"/>
    <w:rsid w:val="00F77541"/>
    <w:rsid w:val="00F94358"/>
    <w:rsid w:val="00FA5F07"/>
    <w:rsid w:val="00FC287F"/>
    <w:rsid w:val="00FE0459"/>
    <w:rsid w:val="00FE7A24"/>
    <w:rsid w:val="00FF45B0"/>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 w:type="paragraph" w:styleId="NoSpacing">
    <w:name w:val="No Spacing"/>
    <w:uiPriority w:val="1"/>
    <w:qFormat/>
    <w:rsid w:val="00B47E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 w:type="paragraph" w:styleId="NoSpacing">
    <w:name w:val="No Spacing"/>
    <w:uiPriority w:val="1"/>
    <w:qFormat/>
    <w:rsid w:val="00B47E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317">
      <w:bodyDiv w:val="1"/>
      <w:marLeft w:val="0"/>
      <w:marRight w:val="0"/>
      <w:marTop w:val="0"/>
      <w:marBottom w:val="0"/>
      <w:divBdr>
        <w:top w:val="none" w:sz="0" w:space="0" w:color="auto"/>
        <w:left w:val="none" w:sz="0" w:space="0" w:color="auto"/>
        <w:bottom w:val="none" w:sz="0" w:space="0" w:color="auto"/>
        <w:right w:val="none" w:sz="0" w:space="0" w:color="auto"/>
      </w:divBdr>
    </w:div>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771708900">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247765444">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quickfacts.census.gov"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CDEC-757D-4FB3-886C-FA30712D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2691</Words>
  <Characters>15342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dc:description/>
  <cp:lastModifiedBy>michael.morin</cp:lastModifiedBy>
  <cp:revision>2</cp:revision>
  <cp:lastPrinted>2014-06-23T11:59:00Z</cp:lastPrinted>
  <dcterms:created xsi:type="dcterms:W3CDTF">2014-06-30T12:02:00Z</dcterms:created>
  <dcterms:modified xsi:type="dcterms:W3CDTF">2014-06-30T12:02:00Z</dcterms:modified>
</cp:coreProperties>
</file>