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72" w:rsidRDefault="00153F72" w:rsidP="00A461C0">
      <w:pPr>
        <w:tabs>
          <w:tab w:val="left" w:pos="1440"/>
        </w:tabs>
        <w:ind w:left="1440" w:hanging="1440"/>
        <w:rPr>
          <w:b/>
        </w:rPr>
      </w:pPr>
      <w:bookmarkStart w:id="0" w:name="_GoBack"/>
      <w:bookmarkEnd w:id="0"/>
    </w:p>
    <w:p w:rsidR="00153F72" w:rsidRDefault="00153F72" w:rsidP="00A461C0">
      <w:pPr>
        <w:tabs>
          <w:tab w:val="left" w:pos="1440"/>
        </w:tabs>
        <w:ind w:left="1440" w:hanging="1440"/>
        <w:rPr>
          <w:b/>
        </w:rPr>
      </w:pPr>
    </w:p>
    <w:p w:rsidR="00153F72" w:rsidRPr="00153F72" w:rsidRDefault="00153F72" w:rsidP="00153F72">
      <w:pPr>
        <w:tabs>
          <w:tab w:val="left" w:pos="1440"/>
        </w:tabs>
        <w:ind w:left="1440" w:hanging="1440"/>
        <w:jc w:val="center"/>
        <w:rPr>
          <w:b/>
          <w:sz w:val="28"/>
          <w:szCs w:val="28"/>
        </w:rPr>
      </w:pPr>
      <w:r w:rsidRPr="00153F72">
        <w:rPr>
          <w:b/>
          <w:sz w:val="28"/>
          <w:szCs w:val="28"/>
        </w:rPr>
        <w:t>Preliminary Analysis</w:t>
      </w:r>
    </w:p>
    <w:p w:rsidR="00153F72" w:rsidRDefault="00153F72" w:rsidP="00153F72">
      <w:pPr>
        <w:tabs>
          <w:tab w:val="left" w:pos="1440"/>
        </w:tabs>
        <w:ind w:left="1440" w:hanging="1440"/>
        <w:jc w:val="center"/>
        <w:rPr>
          <w:b/>
        </w:rPr>
      </w:pPr>
    </w:p>
    <w:p w:rsidR="00153F72" w:rsidRDefault="00153F72" w:rsidP="00A461C0">
      <w:pPr>
        <w:tabs>
          <w:tab w:val="left" w:pos="1440"/>
        </w:tabs>
        <w:ind w:left="1440" w:hanging="1440"/>
        <w:rPr>
          <w:b/>
        </w:rPr>
      </w:pPr>
    </w:p>
    <w:p w:rsidR="00A461C0" w:rsidRPr="002D6538" w:rsidRDefault="00A461C0" w:rsidP="00A461C0">
      <w:pPr>
        <w:tabs>
          <w:tab w:val="left" w:pos="1440"/>
        </w:tabs>
        <w:ind w:left="1440" w:hanging="1440"/>
      </w:pPr>
      <w:r w:rsidRPr="002D6538">
        <w:rPr>
          <w:b/>
        </w:rPr>
        <w:t xml:space="preserve">Date:  </w:t>
      </w:r>
      <w:r w:rsidRPr="002D6538">
        <w:rPr>
          <w:b/>
        </w:rPr>
        <w:tab/>
      </w:r>
      <w:r w:rsidR="00793C90">
        <w:rPr>
          <w:b/>
        </w:rPr>
        <w:t>October 18</w:t>
      </w:r>
      <w:r w:rsidR="00FE3179">
        <w:rPr>
          <w:b/>
        </w:rPr>
        <w:t>, 2013</w:t>
      </w:r>
    </w:p>
    <w:p w:rsidR="00A461C0" w:rsidRPr="002D6538" w:rsidRDefault="00A461C0" w:rsidP="00A461C0"/>
    <w:p w:rsidR="005B4607" w:rsidRPr="00FE3179" w:rsidRDefault="00A461C0" w:rsidP="005B4607">
      <w:pPr>
        <w:ind w:left="1440" w:hanging="1440"/>
        <w:rPr>
          <w:b/>
        </w:rPr>
      </w:pPr>
      <w:r w:rsidRPr="002D6538">
        <w:rPr>
          <w:b/>
        </w:rPr>
        <w:t>Project</w:t>
      </w:r>
      <w:r w:rsidRPr="002D6538">
        <w:t>:</w:t>
      </w:r>
      <w:r w:rsidRPr="002D6538">
        <w:tab/>
      </w:r>
      <w:r w:rsidR="002D1827" w:rsidRPr="002D1827">
        <w:rPr>
          <w:b/>
        </w:rPr>
        <w:t>Acquisition of Control through p</w:t>
      </w:r>
      <w:r w:rsidR="00FE3179" w:rsidRPr="002D1827">
        <w:rPr>
          <w:b/>
        </w:rPr>
        <w:t>urchase of Dialysis Services Program located at Maine General Medical Center in Waterville, Maine.</w:t>
      </w:r>
    </w:p>
    <w:p w:rsidR="00A461C0" w:rsidRPr="00C35B9D" w:rsidRDefault="00A461C0" w:rsidP="00A461C0">
      <w:pPr>
        <w:ind w:left="1080" w:hanging="1080"/>
        <w:rPr>
          <w:b/>
        </w:rPr>
      </w:pPr>
    </w:p>
    <w:p w:rsidR="00A461C0" w:rsidRPr="002D6538" w:rsidRDefault="00A461C0" w:rsidP="00A461C0">
      <w:pPr>
        <w:ind w:left="1080" w:hanging="1080"/>
      </w:pPr>
      <w:r w:rsidRPr="002D6538">
        <w:rPr>
          <w:b/>
        </w:rPr>
        <w:t>Proposal by:</w:t>
      </w:r>
      <w:r w:rsidR="00016C9F">
        <w:rPr>
          <w:b/>
        </w:rPr>
        <w:tab/>
      </w:r>
      <w:r w:rsidR="00FE3179">
        <w:rPr>
          <w:b/>
        </w:rPr>
        <w:t>Dialysis Clinic, Inc.</w:t>
      </w:r>
    </w:p>
    <w:p w:rsidR="00A461C0" w:rsidRPr="002D6538" w:rsidRDefault="00A461C0" w:rsidP="00A461C0"/>
    <w:p w:rsidR="00A461C0" w:rsidRPr="002D6538" w:rsidRDefault="00A461C0" w:rsidP="00A461C0">
      <w:pPr>
        <w:rPr>
          <w:b/>
        </w:rPr>
      </w:pPr>
      <w:r w:rsidRPr="002D6538">
        <w:rPr>
          <w:b/>
        </w:rPr>
        <w:t>Prepared by:</w:t>
      </w:r>
      <w:r w:rsidRPr="002D6538">
        <w:rPr>
          <w:b/>
        </w:rPr>
        <w:tab/>
        <w:t xml:space="preserve">Phyllis Powell, </w:t>
      </w:r>
      <w:r w:rsidR="001804AF" w:rsidRPr="002D6538">
        <w:rPr>
          <w:b/>
        </w:rPr>
        <w:t xml:space="preserve">Assistant </w:t>
      </w:r>
      <w:r w:rsidR="005B4607" w:rsidRPr="002D6538">
        <w:rPr>
          <w:b/>
        </w:rPr>
        <w:t>Director, Medical Facilities</w:t>
      </w:r>
    </w:p>
    <w:p w:rsidR="001804AF" w:rsidRPr="002D6538" w:rsidRDefault="00A461C0" w:rsidP="00A461C0">
      <w:pPr>
        <w:ind w:left="1440"/>
        <w:rPr>
          <w:b/>
        </w:rPr>
      </w:pPr>
      <w:r w:rsidRPr="002D6538">
        <w:rPr>
          <w:b/>
        </w:rPr>
        <w:t>Larry Carbonne</w:t>
      </w:r>
      <w:r w:rsidR="001804AF" w:rsidRPr="002D6538">
        <w:rPr>
          <w:b/>
        </w:rPr>
        <w:t xml:space="preserve">au, </w:t>
      </w:r>
      <w:r w:rsidR="00556339">
        <w:rPr>
          <w:b/>
        </w:rPr>
        <w:t>Manager, Health</w:t>
      </w:r>
      <w:r w:rsidR="008B5A6B">
        <w:rPr>
          <w:b/>
        </w:rPr>
        <w:t xml:space="preserve"> C</w:t>
      </w:r>
      <w:r w:rsidR="00556339">
        <w:rPr>
          <w:b/>
        </w:rPr>
        <w:t>are Oversight</w:t>
      </w:r>
      <w:r w:rsidR="001804AF" w:rsidRPr="002D6538">
        <w:rPr>
          <w:b/>
        </w:rPr>
        <w:t xml:space="preserve"> </w:t>
      </w:r>
    </w:p>
    <w:p w:rsidR="005A08CC" w:rsidRDefault="005A08CC" w:rsidP="00A461C0">
      <w:pPr>
        <w:ind w:left="1440"/>
        <w:rPr>
          <w:b/>
        </w:rPr>
      </w:pPr>
      <w:r w:rsidRPr="002D6538">
        <w:rPr>
          <w:b/>
        </w:rPr>
        <w:t>Richard S. Lawrence, Senior Health</w:t>
      </w:r>
      <w:r w:rsidR="008B5A6B">
        <w:rPr>
          <w:b/>
        </w:rPr>
        <w:t xml:space="preserve"> C</w:t>
      </w:r>
      <w:r w:rsidRPr="002D6538">
        <w:rPr>
          <w:b/>
        </w:rPr>
        <w:t>are Financial Analyst</w:t>
      </w:r>
    </w:p>
    <w:p w:rsidR="00BF0D2E" w:rsidRDefault="00BF0D2E" w:rsidP="00A461C0">
      <w:pPr>
        <w:ind w:left="1440"/>
        <w:rPr>
          <w:b/>
        </w:rPr>
      </w:pPr>
    </w:p>
    <w:p w:rsidR="00153F72" w:rsidRPr="002D6538" w:rsidRDefault="00153F72" w:rsidP="00A461C0">
      <w:pPr>
        <w:ind w:left="1440"/>
        <w:rPr>
          <w:b/>
        </w:rPr>
      </w:pPr>
    </w:p>
    <w:p w:rsidR="00BF0D2E" w:rsidRPr="002D6538" w:rsidRDefault="00A461C0" w:rsidP="00A461C0">
      <w:pPr>
        <w:rPr>
          <w:b/>
        </w:rPr>
      </w:pPr>
      <w:r w:rsidRPr="002D6538">
        <w:rPr>
          <w:b/>
        </w:rPr>
        <w:t>Directly Affected Party</w:t>
      </w:r>
      <w:r w:rsidR="00153F72">
        <w:rPr>
          <w:b/>
        </w:rPr>
        <w:tab/>
        <w:t>None</w:t>
      </w:r>
    </w:p>
    <w:p w:rsidR="00A461C0" w:rsidRDefault="00A461C0" w:rsidP="00362413"/>
    <w:p w:rsidR="00153F72" w:rsidRPr="002D6538" w:rsidRDefault="00153F72" w:rsidP="00362413">
      <w:pPr>
        <w:rPr>
          <w:b/>
        </w:rPr>
      </w:pPr>
    </w:p>
    <w:p w:rsidR="00A461C0" w:rsidRDefault="00153F72" w:rsidP="00A461C0">
      <w:pPr>
        <w:rPr>
          <w:b/>
        </w:rPr>
      </w:pPr>
      <w:r>
        <w:rPr>
          <w:b/>
        </w:rPr>
        <w:t>Certificate of Need</w:t>
      </w:r>
      <w:r w:rsidR="00466DB7" w:rsidRPr="002D6538">
        <w:rPr>
          <w:b/>
        </w:rPr>
        <w:t xml:space="preserve"> </w:t>
      </w:r>
      <w:r w:rsidR="00A461C0" w:rsidRPr="002D6538">
        <w:rPr>
          <w:b/>
        </w:rPr>
        <w:t>Recommend</w:t>
      </w:r>
      <w:r>
        <w:rPr>
          <w:b/>
        </w:rPr>
        <w:t>ation:</w:t>
      </w:r>
      <w:r>
        <w:rPr>
          <w:b/>
        </w:rPr>
        <w:tab/>
        <w:t>Approved</w:t>
      </w:r>
    </w:p>
    <w:p w:rsidR="00153F72" w:rsidRDefault="00153F72" w:rsidP="00A461C0">
      <w:pPr>
        <w:rPr>
          <w:b/>
        </w:rPr>
      </w:pPr>
    </w:p>
    <w:p w:rsidR="00153F72" w:rsidRPr="002D6538" w:rsidRDefault="00153F72" w:rsidP="00A461C0">
      <w:pPr>
        <w:rPr>
          <w:b/>
        </w:rPr>
      </w:pPr>
    </w:p>
    <w:p w:rsidR="00A461C0" w:rsidRPr="002D6538" w:rsidRDefault="00A461C0" w:rsidP="00A461C0">
      <w:pPr>
        <w:pBdr>
          <w:bottom w:val="single" w:sz="12" w:space="1" w:color="auto"/>
        </w:pBdr>
        <w:rPr>
          <w:b/>
        </w:rPr>
      </w:pPr>
      <w:r w:rsidRPr="002D6538">
        <w:tab/>
      </w:r>
      <w:r w:rsidRPr="002D6538">
        <w:tab/>
      </w:r>
      <w:r w:rsidRPr="002D6538">
        <w:tab/>
      </w:r>
      <w:r w:rsidRPr="002D6538">
        <w:tab/>
      </w:r>
      <w:r w:rsidRPr="002D6538">
        <w:tab/>
      </w:r>
      <w:r w:rsidRPr="002D6538">
        <w:tab/>
      </w:r>
      <w:r w:rsidRPr="002D6538">
        <w:tab/>
      </w:r>
      <w:r w:rsidRPr="002D6538">
        <w:rPr>
          <w:b/>
        </w:rPr>
        <w:t>Proposed</w:t>
      </w:r>
      <w:r w:rsidRPr="002D6538">
        <w:rPr>
          <w:b/>
        </w:rPr>
        <w:tab/>
      </w:r>
      <w:r w:rsidRPr="002D6538">
        <w:rPr>
          <w:b/>
        </w:rPr>
        <w:tab/>
        <w:t>Approved</w:t>
      </w:r>
    </w:p>
    <w:p w:rsidR="00A461C0" w:rsidRPr="002D6538" w:rsidRDefault="00A461C0" w:rsidP="00A461C0">
      <w:pPr>
        <w:pBdr>
          <w:bottom w:val="single" w:sz="12" w:space="1" w:color="auto"/>
        </w:pBdr>
      </w:pPr>
      <w:r w:rsidRPr="002D6538">
        <w:rPr>
          <w:b/>
        </w:rPr>
        <w:tab/>
      </w:r>
      <w:r w:rsidRPr="002D6538">
        <w:rPr>
          <w:b/>
        </w:rPr>
        <w:tab/>
      </w:r>
      <w:r w:rsidRPr="002D6538">
        <w:rPr>
          <w:b/>
        </w:rPr>
        <w:tab/>
      </w:r>
      <w:r w:rsidRPr="002D6538">
        <w:rPr>
          <w:b/>
        </w:rPr>
        <w:tab/>
      </w:r>
      <w:r w:rsidRPr="002D6538">
        <w:rPr>
          <w:b/>
        </w:rPr>
        <w:tab/>
      </w:r>
      <w:r w:rsidRPr="002D6538">
        <w:rPr>
          <w:b/>
        </w:rPr>
        <w:tab/>
      </w:r>
      <w:r w:rsidRPr="002D6538">
        <w:rPr>
          <w:b/>
        </w:rPr>
        <w:tab/>
        <w:t>Per Applicant</w:t>
      </w:r>
      <w:r w:rsidRPr="002D6538">
        <w:tab/>
      </w:r>
      <w:r w:rsidRPr="002D6538">
        <w:tab/>
      </w:r>
      <w:r w:rsidRPr="002D6538">
        <w:rPr>
          <w:b/>
        </w:rPr>
        <w:t>CON</w:t>
      </w:r>
    </w:p>
    <w:p w:rsidR="00A461C0" w:rsidRPr="002D6538" w:rsidRDefault="00A461C0" w:rsidP="00A461C0"/>
    <w:p w:rsidR="00A461C0" w:rsidRPr="002D6538" w:rsidRDefault="00A461C0" w:rsidP="00A461C0">
      <w:pPr>
        <w:pBdr>
          <w:bottom w:val="single" w:sz="12" w:space="1" w:color="auto"/>
        </w:pBdr>
      </w:pPr>
    </w:p>
    <w:p w:rsidR="00F83A1C" w:rsidRDefault="00126780" w:rsidP="00126780">
      <w:r w:rsidRPr="002D6538">
        <w:t>Estimated Capital Expenditure</w:t>
      </w:r>
      <w:r w:rsidR="00F83A1C">
        <w:tab/>
      </w:r>
      <w:r w:rsidR="00F83A1C">
        <w:tab/>
      </w:r>
      <w:r w:rsidR="00F83A1C">
        <w:tab/>
        <w:t>$</w:t>
      </w:r>
      <w:r w:rsidR="00FE3179">
        <w:t xml:space="preserve">   3,000,000</w:t>
      </w:r>
      <w:r w:rsidR="00822BDF">
        <w:tab/>
      </w:r>
      <w:r w:rsidR="00822BDF">
        <w:tab/>
        <w:t>$</w:t>
      </w:r>
      <w:r w:rsidR="00FE3179">
        <w:t xml:space="preserve">   3,000,000</w:t>
      </w:r>
    </w:p>
    <w:p w:rsidR="00126780" w:rsidRPr="002D6538" w:rsidRDefault="00126780" w:rsidP="00126780">
      <w:r w:rsidRPr="002D6538">
        <w:t xml:space="preserve">Maximum Contingency </w:t>
      </w:r>
      <w:r w:rsidRPr="002D6538">
        <w:tab/>
      </w:r>
      <w:r w:rsidRPr="002D6538">
        <w:tab/>
      </w:r>
      <w:r w:rsidRPr="002D6538">
        <w:tab/>
      </w:r>
      <w:r w:rsidRPr="002D6538">
        <w:tab/>
      </w:r>
      <w:r w:rsidR="00F83A1C">
        <w:t>$</w:t>
      </w:r>
      <w:r w:rsidR="00F83A1C">
        <w:tab/>
      </w:r>
      <w:r w:rsidR="003926EA">
        <w:t xml:space="preserve">       0</w:t>
      </w:r>
      <w:r w:rsidRPr="002D6538">
        <w:tab/>
      </w:r>
      <w:r w:rsidR="00B705E5">
        <w:tab/>
      </w:r>
      <w:r w:rsidRPr="002D6538">
        <w:t xml:space="preserve">$  </w:t>
      </w:r>
      <w:r w:rsidR="00B705E5">
        <w:tab/>
      </w:r>
      <w:r w:rsidR="003926EA">
        <w:t xml:space="preserve">     </w:t>
      </w:r>
      <w:r w:rsidRPr="002D6538">
        <w:t xml:space="preserve"> </w:t>
      </w:r>
      <w:r w:rsidR="003926EA">
        <w:t xml:space="preserve"> </w:t>
      </w:r>
      <w:r w:rsidR="00FE3179">
        <w:t>0</w:t>
      </w:r>
    </w:p>
    <w:p w:rsidR="00126780" w:rsidRPr="002D6538" w:rsidRDefault="00126780" w:rsidP="00126780">
      <w:r w:rsidRPr="002D6538">
        <w:t>Total Capital Expenditure with Contingency</w:t>
      </w:r>
      <w:r w:rsidRPr="002D6538">
        <w:tab/>
      </w:r>
      <w:r w:rsidRPr="002D6538">
        <w:tab/>
        <w:t xml:space="preserve">$ </w:t>
      </w:r>
      <w:r w:rsidR="00FE3179">
        <w:t xml:space="preserve">  3,000,000</w:t>
      </w:r>
      <w:r w:rsidR="003926EA">
        <w:tab/>
      </w:r>
      <w:r w:rsidRPr="002D6538">
        <w:tab/>
        <w:t xml:space="preserve">$ </w:t>
      </w:r>
      <w:r w:rsidR="00FE3179">
        <w:t xml:space="preserve">  3,000,000</w:t>
      </w:r>
    </w:p>
    <w:p w:rsidR="00C941EE" w:rsidRPr="002D6538" w:rsidRDefault="00126780" w:rsidP="00126780">
      <w:pPr>
        <w:pBdr>
          <w:bottom w:val="single" w:sz="12" w:space="1" w:color="auto"/>
        </w:pBdr>
      </w:pPr>
      <w:r w:rsidRPr="002D6538">
        <w:t>Pro-Forma Marginal Operating Costs</w:t>
      </w:r>
      <w:r w:rsidRPr="002D6538">
        <w:tab/>
      </w:r>
      <w:r w:rsidRPr="002D6538">
        <w:tab/>
      </w:r>
      <w:r w:rsidRPr="002D6538">
        <w:tab/>
        <w:t xml:space="preserve">$ </w:t>
      </w:r>
      <w:r w:rsidR="00236A10">
        <w:t xml:space="preserve">     261,833</w:t>
      </w:r>
      <w:r w:rsidR="00016C9F">
        <w:tab/>
        <w:t xml:space="preserve">      </w:t>
      </w:r>
      <w:r w:rsidRPr="002D6538">
        <w:tab/>
        <w:t xml:space="preserve">$ </w:t>
      </w:r>
      <w:r w:rsidR="00236A10">
        <w:t xml:space="preserve">     261,833</w:t>
      </w:r>
    </w:p>
    <w:p w:rsidR="00A461C0" w:rsidRPr="002D6538" w:rsidRDefault="00A461C0" w:rsidP="002D1827"/>
    <w:p w:rsidR="00C941EE" w:rsidRPr="002D6538" w:rsidRDefault="00C941EE" w:rsidP="00C941EE">
      <w:pPr>
        <w:sectPr w:rsidR="00C941EE" w:rsidRPr="002D6538" w:rsidSect="00153F72">
          <w:headerReference w:type="default" r:id="rId9"/>
          <w:pgSz w:w="12240" w:h="15840"/>
          <w:pgMar w:top="2340" w:right="1800" w:bottom="1440" w:left="1800" w:header="360" w:footer="720" w:gutter="0"/>
          <w:pgNumType w:start="1"/>
          <w:cols w:space="720"/>
          <w:docGrid w:linePitch="360"/>
        </w:sectPr>
      </w:pPr>
    </w:p>
    <w:p w:rsidR="00AE764D" w:rsidRPr="00636C1A" w:rsidRDefault="00434034" w:rsidP="0070608C">
      <w:pPr>
        <w:pStyle w:val="Heading1"/>
        <w:jc w:val="both"/>
        <w:rPr>
          <w:rFonts w:ascii="Times New Roman" w:hAnsi="Times New Roman" w:cs="Times New Roman"/>
          <w:sz w:val="28"/>
          <w:szCs w:val="28"/>
          <w:u w:val="single"/>
        </w:rPr>
      </w:pPr>
      <w:r w:rsidRPr="00636C1A">
        <w:rPr>
          <w:rFonts w:ascii="Times New Roman" w:hAnsi="Times New Roman" w:cs="Times New Roman"/>
          <w:sz w:val="28"/>
          <w:szCs w:val="28"/>
          <w:u w:val="single"/>
        </w:rPr>
        <w:lastRenderedPageBreak/>
        <w:fldChar w:fldCharType="begin">
          <w:ffData>
            <w:name w:val="Text77"/>
            <w:enabled/>
            <w:calcOnExit w:val="0"/>
            <w:textInput/>
          </w:ffData>
        </w:fldChar>
      </w:r>
      <w:bookmarkStart w:id="1" w:name="Text77"/>
      <w:r w:rsidR="00BB1625" w:rsidRPr="00636C1A">
        <w:rPr>
          <w:rFonts w:ascii="Times New Roman" w:hAnsi="Times New Roman" w:cs="Times New Roman"/>
          <w:sz w:val="28"/>
          <w:szCs w:val="28"/>
          <w:u w:val="single"/>
        </w:rPr>
        <w:instrText xml:space="preserve"> FORMTEXT </w:instrText>
      </w:r>
      <w:r w:rsidRPr="00636C1A">
        <w:rPr>
          <w:rFonts w:ascii="Times New Roman" w:hAnsi="Times New Roman" w:cs="Times New Roman"/>
          <w:sz w:val="28"/>
          <w:szCs w:val="28"/>
          <w:u w:val="single"/>
        </w:rPr>
      </w:r>
      <w:r w:rsidRPr="00636C1A">
        <w:rPr>
          <w:rFonts w:ascii="Times New Roman" w:hAnsi="Times New Roman" w:cs="Times New Roman"/>
          <w:sz w:val="28"/>
          <w:szCs w:val="28"/>
          <w:u w:val="single"/>
        </w:rPr>
        <w:fldChar w:fldCharType="separate"/>
      </w:r>
      <w:r w:rsidR="00BB1625" w:rsidRPr="00636C1A">
        <w:rPr>
          <w:rFonts w:ascii="Times New Roman" w:hAnsi="Times New Roman" w:cs="Times New Roman"/>
          <w:sz w:val="28"/>
          <w:szCs w:val="28"/>
          <w:u w:val="single"/>
        </w:rPr>
        <w:t>I. Abstract</w:t>
      </w:r>
      <w:r w:rsidRPr="00636C1A">
        <w:rPr>
          <w:rFonts w:ascii="Times New Roman" w:hAnsi="Times New Roman" w:cs="Times New Roman"/>
          <w:sz w:val="28"/>
          <w:szCs w:val="28"/>
          <w:u w:val="single"/>
        </w:rPr>
        <w:fldChar w:fldCharType="end"/>
      </w:r>
      <w:bookmarkEnd w:id="1"/>
    </w:p>
    <w:p w:rsidR="007E21E5" w:rsidRDefault="007E21E5" w:rsidP="007E21E5">
      <w:pPr>
        <w:jc w:val="both"/>
        <w:rPr>
          <w:b/>
        </w:rPr>
      </w:pPr>
    </w:p>
    <w:p w:rsidR="00E20C60" w:rsidRPr="007E21E5" w:rsidRDefault="00E20C60" w:rsidP="002767FA">
      <w:pPr>
        <w:pStyle w:val="ListParagraph"/>
        <w:numPr>
          <w:ilvl w:val="0"/>
          <w:numId w:val="21"/>
        </w:numPr>
        <w:ind w:left="270" w:hanging="270"/>
        <w:jc w:val="both"/>
        <w:rPr>
          <w:b/>
        </w:rPr>
      </w:pPr>
      <w:r w:rsidRPr="007E21E5">
        <w:rPr>
          <w:b/>
        </w:rPr>
        <w:t xml:space="preserve">From Applicant </w:t>
      </w:r>
    </w:p>
    <w:p w:rsidR="00D22A15" w:rsidRPr="00F47485" w:rsidRDefault="00D22A15" w:rsidP="0070608C">
      <w:pPr>
        <w:jc w:val="both"/>
        <w:rPr>
          <w:b/>
          <w:sz w:val="22"/>
          <w:szCs w:val="22"/>
        </w:rPr>
      </w:pPr>
    </w:p>
    <w:p w:rsidR="00F83B16" w:rsidRPr="00D22A15" w:rsidRDefault="00D22A15" w:rsidP="0070608C">
      <w:pPr>
        <w:spacing w:after="200"/>
        <w:jc w:val="both"/>
        <w:rPr>
          <w:rFonts w:eastAsiaTheme="minorHAnsi"/>
          <w:sz w:val="22"/>
          <w:szCs w:val="22"/>
        </w:rPr>
      </w:pPr>
      <w:r>
        <w:rPr>
          <w:rFonts w:eastAsiaTheme="minorHAnsi"/>
          <w:sz w:val="22"/>
          <w:szCs w:val="22"/>
        </w:rPr>
        <w:t>“</w:t>
      </w:r>
      <w:r w:rsidR="00F83B16" w:rsidRPr="00D22A15">
        <w:rPr>
          <w:rFonts w:eastAsiaTheme="minorHAnsi"/>
          <w:sz w:val="22"/>
          <w:szCs w:val="22"/>
        </w:rPr>
        <w:t xml:space="preserve">Dialysis Clinic, Inc. (DCI) desires to purchase the existing dialysis program at Maine General Medical Center, Thayer Campus, </w:t>
      </w:r>
      <w:proofErr w:type="gramStart"/>
      <w:r w:rsidR="00F83B16" w:rsidRPr="00D22A15">
        <w:rPr>
          <w:rFonts w:eastAsiaTheme="minorHAnsi"/>
          <w:sz w:val="22"/>
          <w:szCs w:val="22"/>
        </w:rPr>
        <w:t>149</w:t>
      </w:r>
      <w:proofErr w:type="gramEnd"/>
      <w:r w:rsidR="00F83B16" w:rsidRPr="00D22A15">
        <w:rPr>
          <w:rFonts w:eastAsiaTheme="minorHAnsi"/>
          <w:sz w:val="22"/>
          <w:szCs w:val="22"/>
        </w:rPr>
        <w:t xml:space="preserve"> North Street, Waterville, Maine 04901. This application requests a change of ownership. The existing dialysis program at Maine General Medical Center (MGMC) has fourteen (14) dialysis stations and operates six (6) days a week. Pending Certificate of Need Unit (CONU) approval DCI will assume ownership of the MGMC program in Waterville on January 1, 2014. No changes are planned in location or available stations, although the chronic program is nearing capacity at this time. The service area will remain primarily in Kennebec County. If approved the DCI clinic in Waterville will continue to serve those patients in Kennebec County who have been identified in the existing Certificate of Need (CON) for MGMC.</w:t>
      </w:r>
      <w:r>
        <w:rPr>
          <w:rFonts w:eastAsiaTheme="minorHAnsi"/>
          <w:sz w:val="22"/>
          <w:szCs w:val="22"/>
        </w:rPr>
        <w:t>”</w:t>
      </w:r>
    </w:p>
    <w:p w:rsidR="00F83B16" w:rsidRPr="00D22A15" w:rsidRDefault="00D22A15" w:rsidP="0070608C">
      <w:pPr>
        <w:spacing w:after="200"/>
        <w:jc w:val="both"/>
        <w:rPr>
          <w:rFonts w:eastAsiaTheme="minorHAnsi"/>
          <w:sz w:val="22"/>
          <w:szCs w:val="22"/>
        </w:rPr>
      </w:pPr>
      <w:r>
        <w:rPr>
          <w:rFonts w:eastAsiaTheme="minorHAnsi"/>
          <w:sz w:val="22"/>
          <w:szCs w:val="22"/>
        </w:rPr>
        <w:t>“</w:t>
      </w:r>
      <w:r w:rsidR="00F83B16" w:rsidRPr="00D22A15">
        <w:rPr>
          <w:rFonts w:eastAsiaTheme="minorHAnsi"/>
          <w:sz w:val="22"/>
          <w:szCs w:val="22"/>
        </w:rPr>
        <w:t>DCI operates a 12 station dialysis facility in Skowhegan located at 27 Research Drive, Skowhegan, Maine 04976 and a 12 station In-center and Home dialysis program in Belfast located at 125 Northport Ave., Suite 101, Belfast, Maine 04915.</w:t>
      </w:r>
      <w:r>
        <w:rPr>
          <w:rFonts w:eastAsiaTheme="minorHAnsi"/>
          <w:sz w:val="22"/>
          <w:szCs w:val="22"/>
        </w:rPr>
        <w:t>”</w:t>
      </w:r>
    </w:p>
    <w:p w:rsidR="00F83B16" w:rsidRPr="00D22A15" w:rsidRDefault="00D22A15" w:rsidP="0070608C">
      <w:pPr>
        <w:spacing w:after="200"/>
        <w:jc w:val="both"/>
        <w:rPr>
          <w:rFonts w:eastAsiaTheme="minorHAnsi"/>
          <w:sz w:val="22"/>
          <w:szCs w:val="22"/>
        </w:rPr>
      </w:pPr>
      <w:r>
        <w:rPr>
          <w:rFonts w:eastAsiaTheme="minorHAnsi"/>
          <w:sz w:val="22"/>
          <w:szCs w:val="22"/>
        </w:rPr>
        <w:t>“</w:t>
      </w:r>
      <w:r w:rsidR="00F83B16" w:rsidRPr="00D22A15">
        <w:rPr>
          <w:rFonts w:eastAsiaTheme="minorHAnsi"/>
          <w:sz w:val="22"/>
          <w:szCs w:val="22"/>
        </w:rPr>
        <w:t xml:space="preserve">The change of ownership will not impact service delivery. The local Medical Director and DCI will provide clinical </w:t>
      </w:r>
      <w:r>
        <w:rPr>
          <w:rFonts w:eastAsiaTheme="minorHAnsi"/>
          <w:sz w:val="22"/>
          <w:szCs w:val="22"/>
        </w:rPr>
        <w:t xml:space="preserve">oversight for the facility. </w:t>
      </w:r>
      <w:r w:rsidR="00F83B16" w:rsidRPr="00D22A15">
        <w:rPr>
          <w:rFonts w:eastAsiaTheme="minorHAnsi"/>
          <w:sz w:val="22"/>
          <w:szCs w:val="22"/>
        </w:rPr>
        <w:t>Nephrologists at MGMC will continue to fulfill</w:t>
      </w:r>
      <w:r>
        <w:rPr>
          <w:rFonts w:eastAsiaTheme="minorHAnsi"/>
          <w:sz w:val="22"/>
          <w:szCs w:val="22"/>
        </w:rPr>
        <w:t xml:space="preserve"> the role of Medical Director. </w:t>
      </w:r>
      <w:r w:rsidR="00F83B16" w:rsidRPr="00D22A15">
        <w:rPr>
          <w:rFonts w:eastAsiaTheme="minorHAnsi"/>
          <w:sz w:val="22"/>
          <w:szCs w:val="22"/>
        </w:rPr>
        <w:t>DCI believes that it can improve the facility’s financial performance while billing in accordance with the</w:t>
      </w:r>
      <w:r w:rsidR="00793B20">
        <w:rPr>
          <w:rFonts w:eastAsiaTheme="minorHAnsi"/>
          <w:sz w:val="22"/>
          <w:szCs w:val="22"/>
        </w:rPr>
        <w:t xml:space="preserve"> rates established by CMS.</w:t>
      </w:r>
      <w:r w:rsidR="00F83B16" w:rsidRPr="00D22A15">
        <w:rPr>
          <w:rFonts w:eastAsiaTheme="minorHAnsi"/>
          <w:sz w:val="22"/>
          <w:szCs w:val="22"/>
        </w:rPr>
        <w:t xml:space="preserve"> State and Federal government finances will not be affected.</w:t>
      </w:r>
      <w:r>
        <w:rPr>
          <w:rFonts w:eastAsiaTheme="minorHAnsi"/>
          <w:sz w:val="22"/>
          <w:szCs w:val="22"/>
        </w:rPr>
        <w:t>”</w:t>
      </w:r>
    </w:p>
    <w:p w:rsidR="00A022FE" w:rsidRPr="00D22A15" w:rsidRDefault="00D22A15" w:rsidP="0070608C">
      <w:pPr>
        <w:spacing w:after="200"/>
        <w:jc w:val="both"/>
        <w:rPr>
          <w:rFonts w:eastAsiaTheme="minorHAnsi"/>
          <w:sz w:val="22"/>
          <w:szCs w:val="22"/>
        </w:rPr>
      </w:pPr>
      <w:r>
        <w:rPr>
          <w:rFonts w:eastAsiaTheme="minorHAnsi"/>
          <w:sz w:val="22"/>
          <w:szCs w:val="22"/>
        </w:rPr>
        <w:t>“</w:t>
      </w:r>
      <w:r w:rsidR="00F83B16" w:rsidRPr="00D22A15">
        <w:rPr>
          <w:rFonts w:eastAsiaTheme="minorHAnsi"/>
          <w:sz w:val="22"/>
          <w:szCs w:val="22"/>
        </w:rPr>
        <w:t>The purchase price is estimated to be $3,000,000.00 including assets of the dialysis program at MGMC. The final price may vary slightly to account for the existing inventory of supplies and employee benefits.</w:t>
      </w:r>
      <w:r>
        <w:rPr>
          <w:rFonts w:eastAsiaTheme="minorHAnsi"/>
          <w:sz w:val="22"/>
          <w:szCs w:val="22"/>
        </w:rPr>
        <w:t>”</w:t>
      </w:r>
    </w:p>
    <w:p w:rsidR="00636C1A" w:rsidRDefault="00636C1A" w:rsidP="0070608C">
      <w:pPr>
        <w:pStyle w:val="ListParagraph"/>
        <w:numPr>
          <w:ilvl w:val="0"/>
          <w:numId w:val="16"/>
        </w:numPr>
        <w:jc w:val="both"/>
        <w:rPr>
          <w:b/>
        </w:rPr>
        <w:sectPr w:rsidR="00636C1A" w:rsidSect="0070608C">
          <w:headerReference w:type="default" r:id="rId10"/>
          <w:pgSz w:w="12240" w:h="15840"/>
          <w:pgMar w:top="1440" w:right="1440" w:bottom="1440" w:left="1440" w:header="720" w:footer="720" w:gutter="0"/>
          <w:cols w:space="720"/>
          <w:docGrid w:linePitch="360"/>
        </w:sectPr>
      </w:pPr>
      <w:bookmarkStart w:id="2" w:name="_Ref195319930"/>
    </w:p>
    <w:p w:rsidR="004B1D7A" w:rsidRPr="002767FA" w:rsidRDefault="002767FA" w:rsidP="002767FA">
      <w:pPr>
        <w:jc w:val="both"/>
        <w:rPr>
          <w:b/>
        </w:rPr>
      </w:pPr>
      <w:r>
        <w:rPr>
          <w:b/>
        </w:rPr>
        <w:lastRenderedPageBreak/>
        <w:t xml:space="preserve">B. </w:t>
      </w:r>
      <w:r w:rsidR="00177113" w:rsidRPr="002767FA">
        <w:rPr>
          <w:b/>
        </w:rPr>
        <w:t xml:space="preserve">CONU </w:t>
      </w:r>
      <w:r w:rsidR="004B1D7A" w:rsidRPr="002767FA">
        <w:rPr>
          <w:b/>
        </w:rPr>
        <w:t>Comments</w:t>
      </w:r>
    </w:p>
    <w:p w:rsidR="00D22A15" w:rsidRPr="00537550" w:rsidRDefault="00D22A15" w:rsidP="0070608C">
      <w:pPr>
        <w:ind w:left="360"/>
        <w:jc w:val="both"/>
        <w:rPr>
          <w:b/>
          <w:sz w:val="22"/>
          <w:szCs w:val="22"/>
        </w:rPr>
      </w:pPr>
    </w:p>
    <w:p w:rsidR="00D22A15" w:rsidRPr="00D22A15" w:rsidRDefault="00C1327B" w:rsidP="0070608C">
      <w:pPr>
        <w:spacing w:before="40" w:line="276" w:lineRule="auto"/>
        <w:jc w:val="both"/>
        <w:rPr>
          <w:sz w:val="22"/>
          <w:szCs w:val="22"/>
        </w:rPr>
      </w:pPr>
      <w:r w:rsidRPr="00D22A15">
        <w:rPr>
          <w:sz w:val="22"/>
          <w:szCs w:val="22"/>
        </w:rPr>
        <w:t>This transaction is subject to certificate of need review per 22 M</w:t>
      </w:r>
      <w:r w:rsidR="003246BB" w:rsidRPr="00D22A15">
        <w:rPr>
          <w:sz w:val="22"/>
          <w:szCs w:val="22"/>
        </w:rPr>
        <w:t>.</w:t>
      </w:r>
      <w:r w:rsidRPr="00D22A15">
        <w:rPr>
          <w:sz w:val="22"/>
          <w:szCs w:val="22"/>
        </w:rPr>
        <w:t>R</w:t>
      </w:r>
      <w:r w:rsidR="003246BB" w:rsidRPr="00D22A15">
        <w:rPr>
          <w:sz w:val="22"/>
          <w:szCs w:val="22"/>
        </w:rPr>
        <w:t>.</w:t>
      </w:r>
      <w:r w:rsidRPr="00D22A15">
        <w:rPr>
          <w:sz w:val="22"/>
          <w:szCs w:val="22"/>
        </w:rPr>
        <w:t>S</w:t>
      </w:r>
      <w:r w:rsidR="003246BB" w:rsidRPr="00D22A15">
        <w:rPr>
          <w:sz w:val="22"/>
          <w:szCs w:val="22"/>
        </w:rPr>
        <w:t>.A</w:t>
      </w:r>
      <w:r w:rsidRPr="00D22A15">
        <w:rPr>
          <w:sz w:val="22"/>
          <w:szCs w:val="22"/>
        </w:rPr>
        <w:t xml:space="preserve"> §329 which states</w:t>
      </w:r>
      <w:r w:rsidR="003246BB" w:rsidRPr="00D22A15">
        <w:rPr>
          <w:sz w:val="22"/>
          <w:szCs w:val="22"/>
        </w:rPr>
        <w:t xml:space="preserve"> that a</w:t>
      </w:r>
      <w:r w:rsidRPr="00D22A15">
        <w:rPr>
          <w:sz w:val="22"/>
          <w:szCs w:val="22"/>
        </w:rPr>
        <w:t xml:space="preserve"> certificate of need from the department is required for</w:t>
      </w:r>
      <w:r w:rsidR="003246BB" w:rsidRPr="00D22A15">
        <w:rPr>
          <w:sz w:val="22"/>
          <w:szCs w:val="22"/>
        </w:rPr>
        <w:t xml:space="preserve"> a</w:t>
      </w:r>
      <w:r w:rsidR="004B1D7A" w:rsidRPr="00D22A15">
        <w:rPr>
          <w:sz w:val="22"/>
          <w:szCs w:val="22"/>
        </w:rPr>
        <w:t>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w:t>
      </w:r>
      <w:r w:rsidR="00D22A15" w:rsidRPr="00D22A15">
        <w:rPr>
          <w:sz w:val="22"/>
          <w:szCs w:val="22"/>
        </w:rPr>
        <w:t xml:space="preserve"> </w:t>
      </w:r>
      <w:r w:rsidR="00224144" w:rsidRPr="00D22A15">
        <w:rPr>
          <w:sz w:val="22"/>
          <w:szCs w:val="22"/>
        </w:rPr>
        <w:t>except in emergencies when that acquisition of control is at the direction of the department.</w:t>
      </w:r>
    </w:p>
    <w:p w:rsidR="00D22A15" w:rsidRDefault="00D22A15" w:rsidP="0070608C">
      <w:pPr>
        <w:spacing w:before="40" w:line="276" w:lineRule="auto"/>
        <w:jc w:val="both"/>
        <w:sectPr w:rsidR="00D22A15" w:rsidSect="0070608C">
          <w:pgSz w:w="12240" w:h="15840"/>
          <w:pgMar w:top="1440" w:right="1440" w:bottom="1440" w:left="1440" w:header="720" w:footer="720" w:gutter="0"/>
          <w:cols w:space="720"/>
          <w:docGrid w:linePitch="360"/>
        </w:sectPr>
      </w:pPr>
    </w:p>
    <w:p w:rsidR="004336AF" w:rsidRPr="00636C1A" w:rsidRDefault="009467CE" w:rsidP="0070608C">
      <w:pPr>
        <w:pStyle w:val="Heading1"/>
        <w:jc w:val="both"/>
        <w:rPr>
          <w:sz w:val="28"/>
          <w:szCs w:val="28"/>
          <w:u w:val="single"/>
        </w:rPr>
      </w:pPr>
      <w:r w:rsidRPr="00636C1A">
        <w:rPr>
          <w:sz w:val="28"/>
          <w:szCs w:val="28"/>
          <w:u w:val="single"/>
        </w:rPr>
        <w:t>II</w:t>
      </w:r>
      <w:r w:rsidR="004336AF" w:rsidRPr="00636C1A">
        <w:rPr>
          <w:sz w:val="28"/>
          <w:szCs w:val="28"/>
          <w:u w:val="single"/>
        </w:rPr>
        <w:t xml:space="preserve">. </w:t>
      </w:r>
      <w:bookmarkEnd w:id="2"/>
      <w:r w:rsidR="00BB1625" w:rsidRPr="00636C1A">
        <w:rPr>
          <w:sz w:val="28"/>
          <w:szCs w:val="28"/>
          <w:u w:val="single"/>
        </w:rPr>
        <w:t>Fit, Willing and Able</w:t>
      </w:r>
    </w:p>
    <w:p w:rsidR="004336AF" w:rsidRPr="0089374C" w:rsidRDefault="004336AF" w:rsidP="0070608C">
      <w:pPr>
        <w:jc w:val="both"/>
        <w:rPr>
          <w:sz w:val="22"/>
          <w:szCs w:val="22"/>
        </w:rPr>
      </w:pPr>
    </w:p>
    <w:p w:rsidR="00BB1625" w:rsidRPr="00BE6F41" w:rsidRDefault="00537550" w:rsidP="002767FA">
      <w:pPr>
        <w:ind w:left="360" w:hanging="360"/>
        <w:jc w:val="both"/>
        <w:rPr>
          <w:b/>
          <w:i/>
        </w:rPr>
      </w:pPr>
      <w:r w:rsidRPr="00BE6F41">
        <w:rPr>
          <w:b/>
        </w:rPr>
        <w:t xml:space="preserve">A. </w:t>
      </w:r>
      <w:r w:rsidR="00E20C60" w:rsidRPr="00BE6F41">
        <w:rPr>
          <w:b/>
        </w:rPr>
        <w:t xml:space="preserve">From Applicant </w:t>
      </w:r>
    </w:p>
    <w:p w:rsidR="00016C9F" w:rsidRPr="0089374C" w:rsidRDefault="00016C9F" w:rsidP="0070608C">
      <w:pPr>
        <w:jc w:val="both"/>
        <w:rPr>
          <w:sz w:val="22"/>
          <w:szCs w:val="22"/>
        </w:rPr>
      </w:pPr>
    </w:p>
    <w:p w:rsidR="004B064E" w:rsidRPr="00D22A15" w:rsidRDefault="00D22A15" w:rsidP="002767FA">
      <w:pPr>
        <w:spacing w:after="200"/>
        <w:jc w:val="both"/>
        <w:rPr>
          <w:rFonts w:eastAsiaTheme="minorHAnsi"/>
          <w:sz w:val="22"/>
          <w:szCs w:val="22"/>
        </w:rPr>
      </w:pPr>
      <w:r w:rsidRPr="00D22A15">
        <w:rPr>
          <w:rFonts w:eastAsiaTheme="minorHAnsi"/>
          <w:sz w:val="22"/>
          <w:szCs w:val="22"/>
        </w:rPr>
        <w:t>“</w:t>
      </w:r>
      <w:r w:rsidR="004B064E" w:rsidRPr="00D22A15">
        <w:rPr>
          <w:rFonts w:eastAsiaTheme="minorHAnsi"/>
          <w:sz w:val="22"/>
          <w:szCs w:val="22"/>
        </w:rPr>
        <w:t xml:space="preserve">Dialysis Clinic, Inc. (DCI) is fit, willing and able to acquire the assets of Maine General Medical Center’s dialysis services business, including outpatient and home program dialysis services. </w:t>
      </w:r>
      <w:smartTag w:uri="urn:schemas-microsoft-com:office:smarttags" w:element="stockticker">
        <w:r w:rsidR="004B064E" w:rsidRPr="00D22A15">
          <w:rPr>
            <w:rFonts w:eastAsiaTheme="minorHAnsi"/>
            <w:sz w:val="22"/>
            <w:szCs w:val="22"/>
          </w:rPr>
          <w:t>DCI</w:t>
        </w:r>
      </w:smartTag>
      <w:r w:rsidR="004B064E" w:rsidRPr="00D22A15">
        <w:rPr>
          <w:rFonts w:eastAsiaTheme="minorHAnsi"/>
          <w:sz w:val="22"/>
          <w:szCs w:val="22"/>
        </w:rPr>
        <w:t xml:space="preserve"> will provide dialysis services to the residents of the greater Waterville area at the current MGMC location.</w:t>
      </w:r>
      <w:r w:rsidRPr="00D22A15">
        <w:rPr>
          <w:rFonts w:eastAsiaTheme="minorHAnsi"/>
          <w:sz w:val="22"/>
          <w:szCs w:val="22"/>
        </w:rPr>
        <w:t>”</w:t>
      </w:r>
    </w:p>
    <w:p w:rsidR="004B064E" w:rsidRPr="00D22A15" w:rsidRDefault="00D22A15" w:rsidP="002767FA">
      <w:pPr>
        <w:spacing w:after="200"/>
        <w:jc w:val="both"/>
        <w:rPr>
          <w:rFonts w:eastAsiaTheme="minorHAnsi"/>
          <w:sz w:val="22"/>
          <w:szCs w:val="22"/>
        </w:rPr>
      </w:pPr>
      <w:r w:rsidRPr="00D22A15">
        <w:rPr>
          <w:rFonts w:eastAsiaTheme="minorHAnsi"/>
          <w:sz w:val="22"/>
          <w:szCs w:val="22"/>
        </w:rPr>
        <w:t>“</w:t>
      </w:r>
      <w:r w:rsidR="004B064E" w:rsidRPr="00D22A15">
        <w:rPr>
          <w:rFonts w:eastAsiaTheme="minorHAnsi"/>
          <w:sz w:val="22"/>
          <w:szCs w:val="22"/>
        </w:rPr>
        <w:t xml:space="preserve">DCI operates 210 outpatient </w:t>
      </w:r>
      <w:r>
        <w:rPr>
          <w:rFonts w:eastAsiaTheme="minorHAnsi"/>
          <w:sz w:val="22"/>
          <w:szCs w:val="22"/>
        </w:rPr>
        <w:t xml:space="preserve">dialysis clinics in 27 states. </w:t>
      </w:r>
      <w:r w:rsidR="004B064E" w:rsidRPr="00D22A15">
        <w:rPr>
          <w:rFonts w:eastAsiaTheme="minorHAnsi"/>
          <w:sz w:val="22"/>
          <w:szCs w:val="22"/>
        </w:rPr>
        <w:t>The Company provides inpatient dialysis servic</w:t>
      </w:r>
      <w:r>
        <w:rPr>
          <w:rFonts w:eastAsiaTheme="minorHAnsi"/>
          <w:sz w:val="22"/>
          <w:szCs w:val="22"/>
        </w:rPr>
        <w:t xml:space="preserve">es to more than 100 hospitals. </w:t>
      </w:r>
      <w:r w:rsidR="004B064E" w:rsidRPr="00D22A15">
        <w:rPr>
          <w:rFonts w:eastAsiaTheme="minorHAnsi"/>
          <w:sz w:val="22"/>
          <w:szCs w:val="22"/>
        </w:rPr>
        <w:t>The experience DCI has gained through clinical operations in each program is relevant to every facility</w:t>
      </w:r>
      <w:r>
        <w:rPr>
          <w:rFonts w:eastAsiaTheme="minorHAnsi"/>
          <w:sz w:val="22"/>
          <w:szCs w:val="22"/>
        </w:rPr>
        <w:t xml:space="preserve"> with which DCI is affiliated. </w:t>
      </w:r>
      <w:r w:rsidR="004B064E" w:rsidRPr="00D22A15">
        <w:rPr>
          <w:rFonts w:eastAsiaTheme="minorHAnsi"/>
          <w:sz w:val="22"/>
          <w:szCs w:val="22"/>
        </w:rPr>
        <w:t xml:space="preserve">DCI has a reputation for delivering exceptional outcomes and meeting </w:t>
      </w:r>
      <w:r w:rsidRPr="00D22A15">
        <w:rPr>
          <w:rFonts w:eastAsiaTheme="minorHAnsi"/>
          <w:sz w:val="22"/>
          <w:szCs w:val="22"/>
        </w:rPr>
        <w:t>both CMS and State guidelines.”</w:t>
      </w:r>
    </w:p>
    <w:p w:rsidR="004B064E" w:rsidRPr="00D22A15" w:rsidRDefault="00D22A15" w:rsidP="002767FA">
      <w:pPr>
        <w:autoSpaceDE w:val="0"/>
        <w:autoSpaceDN w:val="0"/>
        <w:adjustRightInd w:val="0"/>
        <w:spacing w:after="200"/>
        <w:jc w:val="both"/>
        <w:rPr>
          <w:rFonts w:eastAsiaTheme="minorHAnsi"/>
          <w:sz w:val="22"/>
          <w:szCs w:val="22"/>
        </w:rPr>
      </w:pPr>
      <w:r w:rsidRPr="00D22A15">
        <w:rPr>
          <w:rFonts w:eastAsiaTheme="minorHAnsi"/>
          <w:sz w:val="22"/>
          <w:szCs w:val="22"/>
        </w:rPr>
        <w:t>“</w:t>
      </w:r>
      <w:r w:rsidR="004B064E" w:rsidRPr="00D22A15">
        <w:rPr>
          <w:rFonts w:eastAsiaTheme="minorHAnsi"/>
          <w:sz w:val="22"/>
          <w:szCs w:val="22"/>
        </w:rPr>
        <w:t>The most recent (2012) USRDS (United States Renal Data System) survey confirms the commitment to patient care which has been part of the</w:t>
      </w:r>
      <w:r>
        <w:rPr>
          <w:rFonts w:eastAsiaTheme="minorHAnsi"/>
          <w:sz w:val="22"/>
          <w:szCs w:val="22"/>
        </w:rPr>
        <w:t xml:space="preserve"> Company’s mission since 1971. </w:t>
      </w:r>
      <w:r w:rsidR="004B064E" w:rsidRPr="00D22A15">
        <w:rPr>
          <w:rFonts w:eastAsiaTheme="minorHAnsi"/>
          <w:sz w:val="22"/>
          <w:szCs w:val="22"/>
        </w:rPr>
        <w:t>Below is a summary of the findings.</w:t>
      </w:r>
      <w:r w:rsidRPr="00D22A15">
        <w:rPr>
          <w:rFonts w:eastAsiaTheme="minorHAnsi"/>
          <w:sz w:val="22"/>
          <w:szCs w:val="22"/>
        </w:rPr>
        <w:t>”</w:t>
      </w:r>
    </w:p>
    <w:p w:rsidR="004B064E" w:rsidRPr="00D22A15" w:rsidRDefault="00D22A15" w:rsidP="002767FA">
      <w:pPr>
        <w:autoSpaceDE w:val="0"/>
        <w:autoSpaceDN w:val="0"/>
        <w:adjustRightInd w:val="0"/>
        <w:spacing w:after="200"/>
        <w:jc w:val="both"/>
        <w:rPr>
          <w:rFonts w:eastAsiaTheme="minorHAnsi"/>
          <w:sz w:val="22"/>
          <w:szCs w:val="22"/>
        </w:rPr>
      </w:pPr>
      <w:r w:rsidRPr="00D22A15">
        <w:rPr>
          <w:rFonts w:eastAsiaTheme="minorHAnsi"/>
          <w:sz w:val="22"/>
          <w:szCs w:val="22"/>
        </w:rPr>
        <w:t>“</w:t>
      </w:r>
      <w:r w:rsidR="004B064E" w:rsidRPr="00D22A15">
        <w:rPr>
          <w:rFonts w:eastAsiaTheme="minorHAnsi"/>
          <w:sz w:val="22"/>
          <w:szCs w:val="22"/>
        </w:rPr>
        <w:t>DCI continues to have the lowest Standard Hospitalization Ratio (SHR) — in 2010, 10 percent lower than those of the other Large Dialysis Organizations (LDOs).</w:t>
      </w:r>
      <w:r w:rsidRPr="00D22A15">
        <w:rPr>
          <w:rFonts w:eastAsiaTheme="minorHAnsi"/>
          <w:sz w:val="22"/>
          <w:szCs w:val="22"/>
        </w:rPr>
        <w:t>”</w:t>
      </w:r>
    </w:p>
    <w:p w:rsidR="004B064E" w:rsidRPr="00D22A15" w:rsidRDefault="00D22A15" w:rsidP="002767FA">
      <w:pPr>
        <w:autoSpaceDE w:val="0"/>
        <w:autoSpaceDN w:val="0"/>
        <w:adjustRightInd w:val="0"/>
        <w:spacing w:after="200"/>
        <w:jc w:val="both"/>
        <w:rPr>
          <w:rFonts w:eastAsiaTheme="minorHAnsi"/>
          <w:bCs/>
          <w:sz w:val="22"/>
          <w:szCs w:val="22"/>
        </w:rPr>
      </w:pPr>
      <w:r w:rsidRPr="00D22A15">
        <w:rPr>
          <w:rFonts w:eastAsiaTheme="minorHAnsi"/>
          <w:sz w:val="22"/>
          <w:szCs w:val="22"/>
        </w:rPr>
        <w:t>“</w:t>
      </w:r>
      <w:r w:rsidR="004B064E" w:rsidRPr="00D22A15">
        <w:rPr>
          <w:rFonts w:eastAsiaTheme="minorHAnsi"/>
          <w:sz w:val="22"/>
          <w:szCs w:val="22"/>
        </w:rPr>
        <w:t xml:space="preserve">For 2010, </w:t>
      </w:r>
      <w:r>
        <w:rPr>
          <w:rFonts w:eastAsiaTheme="minorHAnsi"/>
          <w:bCs/>
          <w:sz w:val="22"/>
          <w:szCs w:val="22"/>
        </w:rPr>
        <w:t>b</w:t>
      </w:r>
      <w:r w:rsidR="004B064E" w:rsidRPr="00D22A15">
        <w:rPr>
          <w:rFonts w:eastAsiaTheme="minorHAnsi"/>
          <w:bCs/>
          <w:sz w:val="22"/>
          <w:szCs w:val="22"/>
        </w:rPr>
        <w:t>y unit affiliation among the LDOs, DCI continues to have the lowest ratios for both hospitalization and mortality.</w:t>
      </w:r>
      <w:r w:rsidRPr="00D22A15">
        <w:rPr>
          <w:rFonts w:eastAsiaTheme="minorHAnsi"/>
          <w:bCs/>
          <w:sz w:val="22"/>
          <w:szCs w:val="22"/>
        </w:rPr>
        <w:t>”</w:t>
      </w:r>
    </w:p>
    <w:p w:rsidR="004B064E" w:rsidRPr="00D22A15" w:rsidRDefault="00D22A15" w:rsidP="002767FA">
      <w:pPr>
        <w:autoSpaceDE w:val="0"/>
        <w:autoSpaceDN w:val="0"/>
        <w:adjustRightInd w:val="0"/>
        <w:spacing w:after="200"/>
        <w:jc w:val="both"/>
        <w:rPr>
          <w:rFonts w:eastAsiaTheme="minorHAnsi"/>
          <w:bCs/>
          <w:sz w:val="22"/>
          <w:szCs w:val="22"/>
        </w:rPr>
      </w:pPr>
      <w:r w:rsidRPr="00D22A15">
        <w:rPr>
          <w:rFonts w:eastAsiaTheme="minorHAnsi"/>
          <w:bCs/>
          <w:sz w:val="22"/>
          <w:szCs w:val="22"/>
        </w:rPr>
        <w:t>“</w:t>
      </w:r>
      <w:r w:rsidR="004B064E" w:rsidRPr="00D22A15">
        <w:rPr>
          <w:rFonts w:eastAsiaTheme="minorHAnsi"/>
          <w:bCs/>
          <w:sz w:val="22"/>
          <w:szCs w:val="22"/>
        </w:rPr>
        <w:t>Since 2009 DCI has provided dialysis services at the lowest cost to CMS.</w:t>
      </w:r>
      <w:r w:rsidRPr="00D22A15">
        <w:rPr>
          <w:rFonts w:eastAsiaTheme="minorHAnsi"/>
          <w:bCs/>
          <w:sz w:val="22"/>
          <w:szCs w:val="22"/>
        </w:rPr>
        <w:t>”</w:t>
      </w:r>
    </w:p>
    <w:p w:rsidR="004B064E" w:rsidRPr="00D22A15" w:rsidRDefault="00D22A15" w:rsidP="002767FA">
      <w:pPr>
        <w:spacing w:after="200"/>
        <w:jc w:val="both"/>
        <w:rPr>
          <w:rFonts w:eastAsiaTheme="minorHAnsi"/>
          <w:sz w:val="22"/>
          <w:szCs w:val="22"/>
        </w:rPr>
      </w:pPr>
      <w:r w:rsidRPr="00D22A15">
        <w:rPr>
          <w:rFonts w:eastAsiaTheme="minorHAnsi"/>
          <w:sz w:val="22"/>
          <w:szCs w:val="22"/>
        </w:rPr>
        <w:t>“</w:t>
      </w:r>
      <w:r w:rsidR="004B064E" w:rsidRPr="00D22A15">
        <w:rPr>
          <w:rFonts w:eastAsiaTheme="minorHAnsi"/>
          <w:sz w:val="22"/>
          <w:szCs w:val="22"/>
        </w:rPr>
        <w:t>In Maine, DCI began operations in 2003 in Skowhegan and su</w:t>
      </w:r>
      <w:r>
        <w:rPr>
          <w:rFonts w:eastAsiaTheme="minorHAnsi"/>
          <w:sz w:val="22"/>
          <w:szCs w:val="22"/>
        </w:rPr>
        <w:t xml:space="preserve">bsequently in Belfast in 2006. </w:t>
      </w:r>
      <w:r w:rsidR="004B064E" w:rsidRPr="00D22A15">
        <w:rPr>
          <w:rFonts w:eastAsiaTheme="minorHAnsi"/>
          <w:sz w:val="22"/>
          <w:szCs w:val="22"/>
        </w:rPr>
        <w:t>The local team of caregivers is familiar with CMS and State of Maine licensure requirements and by continuing to meet the guidelines has demonstrated a commitment to patient care and safety.</w:t>
      </w:r>
      <w:r w:rsidRPr="00D22A15">
        <w:rPr>
          <w:rFonts w:eastAsiaTheme="minorHAnsi"/>
          <w:sz w:val="22"/>
          <w:szCs w:val="22"/>
        </w:rPr>
        <w:t>”</w:t>
      </w:r>
    </w:p>
    <w:p w:rsidR="00537550" w:rsidRDefault="00D22A15" w:rsidP="002767FA">
      <w:pPr>
        <w:autoSpaceDE w:val="0"/>
        <w:autoSpaceDN w:val="0"/>
        <w:adjustRightInd w:val="0"/>
        <w:jc w:val="both"/>
        <w:rPr>
          <w:rFonts w:eastAsiaTheme="minorHAnsi"/>
          <w:sz w:val="22"/>
          <w:szCs w:val="22"/>
        </w:rPr>
      </w:pPr>
      <w:r w:rsidRPr="00D22A15">
        <w:rPr>
          <w:rFonts w:eastAsiaTheme="minorHAnsi"/>
          <w:sz w:val="22"/>
          <w:szCs w:val="22"/>
        </w:rPr>
        <w:t>“</w:t>
      </w:r>
      <w:r w:rsidR="004B064E" w:rsidRPr="00D22A15">
        <w:rPr>
          <w:rFonts w:eastAsiaTheme="minorHAnsi"/>
          <w:sz w:val="22"/>
          <w:szCs w:val="22"/>
        </w:rPr>
        <w:t>MGMC has a reputation for quality patient out</w:t>
      </w:r>
      <w:r w:rsidR="00F4630C">
        <w:rPr>
          <w:rFonts w:eastAsiaTheme="minorHAnsi"/>
          <w:sz w:val="22"/>
          <w:szCs w:val="22"/>
        </w:rPr>
        <w:t xml:space="preserve">comes in its dialysis program. </w:t>
      </w:r>
      <w:r w:rsidR="004B064E" w:rsidRPr="00D22A15">
        <w:rPr>
          <w:rFonts w:eastAsiaTheme="minorHAnsi"/>
          <w:sz w:val="22"/>
          <w:szCs w:val="22"/>
        </w:rPr>
        <w:t xml:space="preserve">DCI operates 210 dialysis clinics, a dedicated renal laboratory, a renal pharmacy, three organ procurement organizations (OPOs), </w:t>
      </w:r>
      <w:proofErr w:type="gramStart"/>
      <w:r w:rsidR="004B064E" w:rsidRPr="00D22A15">
        <w:rPr>
          <w:rFonts w:eastAsiaTheme="minorHAnsi"/>
          <w:sz w:val="22"/>
          <w:szCs w:val="22"/>
        </w:rPr>
        <w:t>hospital</w:t>
      </w:r>
      <w:proofErr w:type="gramEnd"/>
      <w:r w:rsidR="004B064E" w:rsidRPr="00D22A15">
        <w:rPr>
          <w:rFonts w:eastAsiaTheme="minorHAnsi"/>
          <w:sz w:val="22"/>
          <w:szCs w:val="22"/>
        </w:rPr>
        <w:t xml:space="preserve"> services in more than 100 locations, an office of Clinical Research, and a robust proprietary medica</w:t>
      </w:r>
      <w:r w:rsidRPr="00D22A15">
        <w:rPr>
          <w:rFonts w:eastAsiaTheme="minorHAnsi"/>
          <w:sz w:val="22"/>
          <w:szCs w:val="22"/>
        </w:rPr>
        <w:t xml:space="preserve">l information system (Darwin). </w:t>
      </w:r>
      <w:r w:rsidR="004B064E" w:rsidRPr="00D22A15">
        <w:rPr>
          <w:rFonts w:eastAsiaTheme="minorHAnsi"/>
          <w:sz w:val="22"/>
          <w:szCs w:val="22"/>
        </w:rPr>
        <w:t>Collectively, the resources and the commitment exist to produce patient outcomes of the highest quality.</w:t>
      </w:r>
      <w:r w:rsidRPr="00D22A15">
        <w:rPr>
          <w:rFonts w:eastAsiaTheme="minorHAnsi"/>
          <w:sz w:val="22"/>
          <w:szCs w:val="22"/>
        </w:rPr>
        <w:t>”</w:t>
      </w:r>
    </w:p>
    <w:p w:rsidR="00537550" w:rsidRPr="0070608C" w:rsidRDefault="00537550" w:rsidP="0070608C">
      <w:pPr>
        <w:autoSpaceDE w:val="0"/>
        <w:autoSpaceDN w:val="0"/>
        <w:adjustRightInd w:val="0"/>
        <w:jc w:val="both"/>
        <w:rPr>
          <w:rFonts w:eastAsiaTheme="minorHAnsi"/>
          <w:sz w:val="20"/>
          <w:szCs w:val="20"/>
        </w:rPr>
      </w:pPr>
    </w:p>
    <w:p w:rsidR="0089374C" w:rsidRDefault="0089374C" w:rsidP="0070608C">
      <w:pPr>
        <w:pStyle w:val="ListParagraph"/>
        <w:numPr>
          <w:ilvl w:val="0"/>
          <w:numId w:val="20"/>
        </w:numPr>
        <w:tabs>
          <w:tab w:val="left" w:pos="630"/>
        </w:tabs>
        <w:autoSpaceDE w:val="0"/>
        <w:autoSpaceDN w:val="0"/>
        <w:adjustRightInd w:val="0"/>
        <w:jc w:val="both"/>
        <w:rPr>
          <w:b/>
        </w:rPr>
        <w:sectPr w:rsidR="0089374C" w:rsidSect="0070608C">
          <w:headerReference w:type="default" r:id="rId11"/>
          <w:pgSz w:w="12240" w:h="15840"/>
          <w:pgMar w:top="1440" w:right="1440" w:bottom="1440" w:left="1440" w:header="720" w:footer="720" w:gutter="0"/>
          <w:cols w:space="720"/>
          <w:docGrid w:linePitch="360"/>
        </w:sectPr>
      </w:pPr>
    </w:p>
    <w:p w:rsidR="00257FA4" w:rsidRPr="0070608C" w:rsidRDefault="00257FA4" w:rsidP="002767FA">
      <w:pPr>
        <w:pStyle w:val="ListParagraph"/>
        <w:numPr>
          <w:ilvl w:val="0"/>
          <w:numId w:val="20"/>
        </w:numPr>
        <w:tabs>
          <w:tab w:val="left" w:pos="630"/>
        </w:tabs>
        <w:autoSpaceDE w:val="0"/>
        <w:autoSpaceDN w:val="0"/>
        <w:adjustRightInd w:val="0"/>
        <w:ind w:left="360"/>
        <w:jc w:val="both"/>
        <w:rPr>
          <w:b/>
          <w:i/>
        </w:rPr>
      </w:pPr>
      <w:r w:rsidRPr="0070608C">
        <w:rPr>
          <w:b/>
        </w:rPr>
        <w:t xml:space="preserve">CONU Discussion </w:t>
      </w:r>
    </w:p>
    <w:p w:rsidR="00D22A15" w:rsidRPr="0089374C" w:rsidRDefault="00D22A15" w:rsidP="0070608C">
      <w:pPr>
        <w:jc w:val="both"/>
        <w:rPr>
          <w:sz w:val="22"/>
          <w:szCs w:val="22"/>
          <w:u w:val="single"/>
        </w:rPr>
      </w:pPr>
    </w:p>
    <w:p w:rsidR="00257FA4" w:rsidRPr="0074796B" w:rsidRDefault="00257FA4" w:rsidP="0070608C">
      <w:pPr>
        <w:jc w:val="both"/>
        <w:rPr>
          <w:b/>
          <w:u w:val="single"/>
        </w:rPr>
      </w:pPr>
      <w:r w:rsidRPr="00636C1A">
        <w:rPr>
          <w:b/>
        </w:rPr>
        <w:t xml:space="preserve">CON </w:t>
      </w:r>
      <w:r w:rsidR="008C0128" w:rsidRPr="00636C1A">
        <w:rPr>
          <w:b/>
        </w:rPr>
        <w:t>Standard</w:t>
      </w:r>
    </w:p>
    <w:p w:rsidR="00257FA4" w:rsidRPr="0089374C" w:rsidRDefault="00257FA4" w:rsidP="0089374C">
      <w:pPr>
        <w:rPr>
          <w:b/>
          <w:sz w:val="22"/>
          <w:szCs w:val="22"/>
        </w:rPr>
      </w:pPr>
    </w:p>
    <w:p w:rsidR="009227F9" w:rsidRPr="00D22A15" w:rsidRDefault="009227F9" w:rsidP="0089374C">
      <w:pPr>
        <w:jc w:val="both"/>
        <w:rPr>
          <w:sz w:val="22"/>
          <w:szCs w:val="22"/>
        </w:rPr>
      </w:pPr>
      <w:r w:rsidRPr="00D22A15">
        <w:rPr>
          <w:sz w:val="22"/>
          <w:szCs w:val="22"/>
        </w:rPr>
        <w:t>The r</w:t>
      </w:r>
      <w:r w:rsidR="009E6636" w:rsidRPr="00D22A15">
        <w:rPr>
          <w:sz w:val="22"/>
          <w:szCs w:val="22"/>
        </w:rPr>
        <w:t xml:space="preserve">elevant </w:t>
      </w:r>
      <w:r w:rsidRPr="00D22A15">
        <w:rPr>
          <w:sz w:val="22"/>
          <w:szCs w:val="22"/>
        </w:rPr>
        <w:t xml:space="preserve">standard </w:t>
      </w:r>
      <w:r w:rsidR="009E6636" w:rsidRPr="00D22A15">
        <w:rPr>
          <w:sz w:val="22"/>
          <w:szCs w:val="22"/>
        </w:rPr>
        <w:t xml:space="preserve">for inclusion in this section </w:t>
      </w:r>
      <w:r w:rsidRPr="00D22A15">
        <w:rPr>
          <w:sz w:val="22"/>
          <w:szCs w:val="22"/>
        </w:rPr>
        <w:t>is</w:t>
      </w:r>
      <w:r w:rsidR="009E6636" w:rsidRPr="00D22A15">
        <w:rPr>
          <w:sz w:val="22"/>
          <w:szCs w:val="22"/>
        </w:rPr>
        <w:t xml:space="preserv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9227F9" w:rsidRPr="0089374C" w:rsidRDefault="009227F9" w:rsidP="0089374C">
      <w:pPr>
        <w:jc w:val="both"/>
        <w:rPr>
          <w:sz w:val="22"/>
          <w:szCs w:val="22"/>
        </w:rPr>
      </w:pPr>
    </w:p>
    <w:p w:rsidR="0089374C" w:rsidRDefault="009E6636" w:rsidP="0089374C">
      <w:pPr>
        <w:jc w:val="both"/>
        <w:rPr>
          <w:sz w:val="22"/>
          <w:szCs w:val="22"/>
        </w:rPr>
      </w:pPr>
      <w:r w:rsidRPr="00D22A15">
        <w:rPr>
          <w:sz w:val="22"/>
          <w:szCs w:val="22"/>
        </w:rPr>
        <w:t>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w:t>
      </w:r>
      <w:r w:rsidR="0089374C">
        <w:rPr>
          <w:sz w:val="22"/>
          <w:szCs w:val="22"/>
        </w:rPr>
        <w:t xml:space="preserve"> s</w:t>
      </w:r>
      <w:r w:rsidRPr="00D22A15">
        <w:rPr>
          <w:sz w:val="22"/>
          <w:szCs w:val="22"/>
        </w:rPr>
        <w:t>tandards.</w:t>
      </w:r>
    </w:p>
    <w:p w:rsidR="0089374C" w:rsidRDefault="0089374C" w:rsidP="0089374C">
      <w:pPr>
        <w:jc w:val="both"/>
        <w:rPr>
          <w:sz w:val="22"/>
          <w:szCs w:val="22"/>
        </w:rPr>
      </w:pPr>
    </w:p>
    <w:p w:rsidR="00257FA4" w:rsidRPr="00675036" w:rsidRDefault="00257FA4" w:rsidP="0089374C">
      <w:pPr>
        <w:jc w:val="both"/>
        <w:rPr>
          <w:sz w:val="22"/>
          <w:szCs w:val="22"/>
        </w:rPr>
      </w:pPr>
      <w:r w:rsidRPr="00675036">
        <w:rPr>
          <w:b/>
        </w:rPr>
        <w:t>CON Analysis</w:t>
      </w:r>
    </w:p>
    <w:p w:rsidR="00D52D69" w:rsidRPr="00D22A15" w:rsidRDefault="00D52D69" w:rsidP="0070608C">
      <w:pPr>
        <w:jc w:val="both"/>
        <w:rPr>
          <w:sz w:val="22"/>
          <w:szCs w:val="22"/>
        </w:rPr>
      </w:pPr>
    </w:p>
    <w:p w:rsidR="00D52D69" w:rsidRPr="00D22A15" w:rsidRDefault="00B87B3F" w:rsidP="0070608C">
      <w:pPr>
        <w:jc w:val="both"/>
        <w:rPr>
          <w:sz w:val="22"/>
          <w:szCs w:val="22"/>
        </w:rPr>
      </w:pPr>
      <w:r w:rsidRPr="00D22A15">
        <w:rPr>
          <w:sz w:val="22"/>
          <w:szCs w:val="22"/>
        </w:rPr>
        <w:t xml:space="preserve">Dialysis Clinic, Inc. (DCI) plans to purchase the </w:t>
      </w:r>
      <w:r w:rsidR="00EC6C38" w:rsidRPr="00D22A15">
        <w:rPr>
          <w:sz w:val="22"/>
          <w:szCs w:val="22"/>
        </w:rPr>
        <w:t>assets of Maine General Medical Centers dialysis unit located in Waterville, Maine. In order to assess the applicants</w:t>
      </w:r>
      <w:r w:rsidR="00C71878" w:rsidRPr="00D22A15">
        <w:rPr>
          <w:sz w:val="22"/>
          <w:szCs w:val="22"/>
        </w:rPr>
        <w:t>’</w:t>
      </w:r>
      <w:r w:rsidR="00EC6C38" w:rsidRPr="00D22A15">
        <w:rPr>
          <w:sz w:val="22"/>
          <w:szCs w:val="22"/>
        </w:rPr>
        <w:t xml:space="preserve"> ability to operate the Waterville facility in accordance with industry standards t</w:t>
      </w:r>
      <w:r w:rsidR="00D52D69" w:rsidRPr="00D22A15">
        <w:rPr>
          <w:sz w:val="22"/>
          <w:szCs w:val="22"/>
        </w:rPr>
        <w:t xml:space="preserve">he CONU obtained the most recent Federal and State surveys pertaining to DCI </w:t>
      </w:r>
      <w:r w:rsidR="005D18F8" w:rsidRPr="00D22A15">
        <w:rPr>
          <w:sz w:val="22"/>
          <w:szCs w:val="22"/>
        </w:rPr>
        <w:t xml:space="preserve">operations in Belfast and Skowhegan. </w:t>
      </w:r>
      <w:r w:rsidR="003F58EF" w:rsidRPr="00D22A15">
        <w:rPr>
          <w:sz w:val="22"/>
          <w:szCs w:val="22"/>
        </w:rPr>
        <w:t xml:space="preserve">The Skowhegan facility received no State deficiencies during its July 31, 2013 survey and no Federal deficiencies during its Re-Certification survey conducted on December 7-8, 2011. </w:t>
      </w:r>
      <w:r w:rsidR="0038540E" w:rsidRPr="00D22A15">
        <w:rPr>
          <w:sz w:val="22"/>
          <w:szCs w:val="22"/>
        </w:rPr>
        <w:t>The Belfast facility</w:t>
      </w:r>
      <w:r w:rsidR="006D36F9" w:rsidRPr="00D22A15">
        <w:rPr>
          <w:sz w:val="22"/>
          <w:szCs w:val="22"/>
        </w:rPr>
        <w:t xml:space="preserve"> received two State deficiencies during its’ May 29, 2013 survey. Expired medication was in stock and blood spills were not disinfected properly. </w:t>
      </w:r>
      <w:r w:rsidR="00AD0551" w:rsidRPr="00D22A15">
        <w:rPr>
          <w:sz w:val="22"/>
          <w:szCs w:val="22"/>
        </w:rPr>
        <w:t>A plan of correction was received by the Department of Health and Human Services, Division of Licensing and Regulatory Services on July 1, 2013.</w:t>
      </w:r>
      <w:r w:rsidR="006D36F9" w:rsidRPr="00D22A15">
        <w:rPr>
          <w:sz w:val="22"/>
          <w:szCs w:val="22"/>
        </w:rPr>
        <w:t>These deficiencies were corrected immediately. No Federal deficiencies were noted during its’ November 8-9, 2011 Re-Certification survey.</w:t>
      </w:r>
      <w:r w:rsidR="00906E4B" w:rsidRPr="00D22A15">
        <w:rPr>
          <w:sz w:val="22"/>
          <w:szCs w:val="22"/>
        </w:rPr>
        <w:t xml:space="preserve"> </w:t>
      </w:r>
    </w:p>
    <w:p w:rsidR="00C71DAF" w:rsidRPr="00E74519" w:rsidRDefault="00C71DAF" w:rsidP="0070608C">
      <w:pPr>
        <w:ind w:left="1080"/>
        <w:jc w:val="both"/>
        <w:rPr>
          <w:sz w:val="22"/>
          <w:szCs w:val="22"/>
        </w:rPr>
      </w:pPr>
    </w:p>
    <w:p w:rsidR="00E74519" w:rsidRPr="00636C1A" w:rsidRDefault="00E74519" w:rsidP="0070608C">
      <w:pPr>
        <w:jc w:val="both"/>
        <w:rPr>
          <w:b/>
          <w:bCs/>
          <w:sz w:val="22"/>
          <w:szCs w:val="22"/>
        </w:rPr>
      </w:pPr>
      <w:r w:rsidRPr="00636C1A">
        <w:rPr>
          <w:b/>
          <w:bCs/>
          <w:sz w:val="22"/>
          <w:szCs w:val="22"/>
        </w:rPr>
        <w:t>Deeming of Standard</w:t>
      </w:r>
    </w:p>
    <w:p w:rsidR="00E74519" w:rsidRPr="00E74519" w:rsidRDefault="00E74519" w:rsidP="0070608C">
      <w:pPr>
        <w:ind w:left="1080"/>
        <w:jc w:val="both"/>
        <w:rPr>
          <w:sz w:val="22"/>
          <w:szCs w:val="22"/>
        </w:rPr>
      </w:pPr>
    </w:p>
    <w:p w:rsidR="00E74519" w:rsidRPr="00E74519" w:rsidRDefault="00E74519" w:rsidP="0070608C">
      <w:pPr>
        <w:jc w:val="both"/>
        <w:rPr>
          <w:sz w:val="22"/>
          <w:szCs w:val="22"/>
        </w:rPr>
      </w:pPr>
      <w:r w:rsidRPr="00E74519">
        <w:rPr>
          <w:sz w:val="22"/>
          <w:szCs w:val="22"/>
        </w:rPr>
        <w:t>As provided for at 22 M.R.S. § 335 (7</w:t>
      </w:r>
      <w:proofErr w:type="gramStart"/>
      <w:r w:rsidRPr="00E74519">
        <w:rPr>
          <w:sz w:val="22"/>
          <w:szCs w:val="22"/>
        </w:rPr>
        <w:t>)(</w:t>
      </w:r>
      <w:proofErr w:type="gramEnd"/>
      <w:r w:rsidRPr="00E74519">
        <w:rPr>
          <w:sz w:val="22"/>
          <w:szCs w:val="22"/>
        </w:rPr>
        <w:t>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p>
    <w:p w:rsidR="00E74519" w:rsidRPr="00E74519" w:rsidRDefault="00E74519" w:rsidP="0070608C">
      <w:pPr>
        <w:jc w:val="both"/>
        <w:rPr>
          <w:b/>
          <w:sz w:val="22"/>
          <w:szCs w:val="22"/>
        </w:rPr>
      </w:pPr>
    </w:p>
    <w:p w:rsidR="00257FA4" w:rsidRPr="00675036" w:rsidRDefault="00257FA4" w:rsidP="0070608C">
      <w:pPr>
        <w:jc w:val="both"/>
        <w:rPr>
          <w:b/>
        </w:rPr>
      </w:pPr>
      <w:r w:rsidRPr="00675036">
        <w:rPr>
          <w:b/>
        </w:rPr>
        <w:t>Conclusion</w:t>
      </w:r>
    </w:p>
    <w:p w:rsidR="00257FA4" w:rsidRPr="00D22A15" w:rsidRDefault="00257FA4" w:rsidP="0070608C">
      <w:pPr>
        <w:jc w:val="both"/>
        <w:rPr>
          <w:strike/>
          <w:sz w:val="22"/>
          <w:szCs w:val="22"/>
        </w:rPr>
      </w:pPr>
    </w:p>
    <w:p w:rsidR="00257FA4" w:rsidRPr="00D22A15" w:rsidRDefault="00257FA4" w:rsidP="0070608C">
      <w:pPr>
        <w:jc w:val="both"/>
        <w:rPr>
          <w:sz w:val="22"/>
          <w:szCs w:val="22"/>
        </w:rPr>
      </w:pPr>
      <w:r w:rsidRPr="00D22A15">
        <w:rPr>
          <w:sz w:val="22"/>
          <w:szCs w:val="22"/>
        </w:rPr>
        <w:t xml:space="preserve">CONU recommends that the Commissioner find that the applicant </w:t>
      </w:r>
      <w:r w:rsidR="004910F8" w:rsidRPr="00D22A15">
        <w:rPr>
          <w:sz w:val="22"/>
          <w:szCs w:val="22"/>
        </w:rPr>
        <w:t>has met</w:t>
      </w:r>
      <w:r w:rsidRPr="00D22A15">
        <w:rPr>
          <w:sz w:val="22"/>
          <w:szCs w:val="22"/>
        </w:rPr>
        <w:t xml:space="preserve"> their burden to show that the</w:t>
      </w:r>
      <w:r w:rsidR="009E6636" w:rsidRPr="00D22A15">
        <w:rPr>
          <w:sz w:val="22"/>
          <w:szCs w:val="22"/>
        </w:rPr>
        <w:t xml:space="preserve"> applicant is fit</w:t>
      </w:r>
      <w:r w:rsidR="00E24268" w:rsidRPr="00D22A15">
        <w:rPr>
          <w:sz w:val="22"/>
          <w:szCs w:val="22"/>
        </w:rPr>
        <w:t>,</w:t>
      </w:r>
      <w:r w:rsidR="009E6636" w:rsidRPr="00D22A15">
        <w:rPr>
          <w:sz w:val="22"/>
          <w:szCs w:val="22"/>
        </w:rPr>
        <w:t xml:space="preserve"> willing and able.</w:t>
      </w:r>
      <w:r w:rsidRPr="00D22A15">
        <w:rPr>
          <w:sz w:val="22"/>
          <w:szCs w:val="22"/>
        </w:rPr>
        <w:t xml:space="preserve"> </w:t>
      </w:r>
    </w:p>
    <w:p w:rsidR="00257FA4" w:rsidRPr="00177113" w:rsidRDefault="00257FA4" w:rsidP="0070608C">
      <w:pPr>
        <w:jc w:val="both"/>
      </w:pPr>
    </w:p>
    <w:p w:rsidR="00AE3C39" w:rsidRPr="00177113" w:rsidRDefault="00AE3C39" w:rsidP="0070608C">
      <w:pPr>
        <w:jc w:val="both"/>
        <w:sectPr w:rsidR="00AE3C39" w:rsidRPr="00177113" w:rsidSect="0070608C">
          <w:pgSz w:w="12240" w:h="15840"/>
          <w:pgMar w:top="1440" w:right="1440" w:bottom="1440" w:left="1440" w:header="720" w:footer="720" w:gutter="0"/>
          <w:cols w:space="720"/>
          <w:docGrid w:linePitch="360"/>
        </w:sectPr>
      </w:pPr>
    </w:p>
    <w:p w:rsidR="00861AD4" w:rsidRPr="00636C1A" w:rsidRDefault="004336AF" w:rsidP="0070608C">
      <w:pPr>
        <w:pStyle w:val="Heading1"/>
        <w:jc w:val="both"/>
        <w:rPr>
          <w:rFonts w:ascii="Times New Roman" w:hAnsi="Times New Roman" w:cs="Times New Roman"/>
          <w:sz w:val="28"/>
          <w:szCs w:val="28"/>
          <w:u w:val="single"/>
        </w:rPr>
      </w:pPr>
      <w:bookmarkStart w:id="3" w:name="_Ref195319937"/>
      <w:r w:rsidRPr="00636C1A">
        <w:rPr>
          <w:rFonts w:ascii="Times New Roman" w:hAnsi="Times New Roman" w:cs="Times New Roman"/>
          <w:sz w:val="28"/>
          <w:szCs w:val="28"/>
          <w:u w:val="single"/>
        </w:rPr>
        <w:t xml:space="preserve">III. </w:t>
      </w:r>
      <w:bookmarkEnd w:id="3"/>
      <w:r w:rsidR="00237C8E" w:rsidRPr="00636C1A">
        <w:rPr>
          <w:rFonts w:ascii="Times New Roman" w:hAnsi="Times New Roman" w:cs="Times New Roman"/>
          <w:sz w:val="28"/>
          <w:szCs w:val="28"/>
          <w:u w:val="single"/>
        </w:rPr>
        <w:t>Economic Feasibility</w:t>
      </w:r>
    </w:p>
    <w:p w:rsidR="00E74519" w:rsidRPr="00BE6F41" w:rsidRDefault="00E74519" w:rsidP="0070608C">
      <w:pPr>
        <w:jc w:val="both"/>
        <w:rPr>
          <w:sz w:val="22"/>
          <w:szCs w:val="22"/>
          <w:u w:val="single"/>
        </w:rPr>
      </w:pPr>
    </w:p>
    <w:p w:rsidR="00FF631B" w:rsidRPr="00BE6F41" w:rsidRDefault="000B6B59" w:rsidP="002767FA">
      <w:pPr>
        <w:ind w:left="180" w:hanging="180"/>
        <w:jc w:val="both"/>
        <w:rPr>
          <w:b/>
        </w:rPr>
      </w:pPr>
      <w:r w:rsidRPr="00BE6F41">
        <w:rPr>
          <w:b/>
        </w:rPr>
        <w:t xml:space="preserve">A. </w:t>
      </w:r>
      <w:r w:rsidR="00FF631B" w:rsidRPr="00BE6F41">
        <w:rPr>
          <w:b/>
        </w:rPr>
        <w:t xml:space="preserve">From Applicant </w:t>
      </w:r>
    </w:p>
    <w:p w:rsidR="00861AD4" w:rsidRPr="00E74519" w:rsidRDefault="00FF631B" w:rsidP="0070608C">
      <w:pPr>
        <w:jc w:val="both"/>
        <w:rPr>
          <w:b/>
          <w:sz w:val="22"/>
          <w:szCs w:val="22"/>
        </w:rPr>
      </w:pPr>
      <w:r w:rsidRPr="00177113">
        <w:rPr>
          <w:b/>
        </w:rPr>
        <w:tab/>
      </w:r>
    </w:p>
    <w:p w:rsidR="004B064E" w:rsidRPr="000B6B59" w:rsidRDefault="000B6B59" w:rsidP="002767FA">
      <w:pPr>
        <w:autoSpaceDE w:val="0"/>
        <w:autoSpaceDN w:val="0"/>
        <w:adjustRightInd w:val="0"/>
        <w:jc w:val="both"/>
        <w:rPr>
          <w:rFonts w:eastAsiaTheme="minorHAnsi"/>
          <w:sz w:val="22"/>
          <w:szCs w:val="22"/>
        </w:rPr>
      </w:pPr>
      <w:r w:rsidRPr="000B6B59">
        <w:rPr>
          <w:rFonts w:eastAsiaTheme="minorHAnsi"/>
          <w:sz w:val="22"/>
          <w:szCs w:val="22"/>
        </w:rPr>
        <w:t>“</w:t>
      </w:r>
      <w:r w:rsidR="004B064E" w:rsidRPr="000B6B59">
        <w:rPr>
          <w:rFonts w:eastAsiaTheme="minorHAnsi"/>
          <w:sz w:val="22"/>
          <w:szCs w:val="22"/>
        </w:rPr>
        <w:t>The acquisition of the dialysis services of MGMC has been carefully reviewed for financial f</w:t>
      </w:r>
      <w:r w:rsidR="00F4630C">
        <w:rPr>
          <w:rFonts w:eastAsiaTheme="minorHAnsi"/>
          <w:sz w:val="22"/>
          <w:szCs w:val="22"/>
        </w:rPr>
        <w:t xml:space="preserve">easibility and sustainability. </w:t>
      </w:r>
      <w:r w:rsidR="004B064E" w:rsidRPr="000B6B59">
        <w:rPr>
          <w:rFonts w:eastAsiaTheme="minorHAnsi"/>
          <w:sz w:val="22"/>
          <w:szCs w:val="22"/>
        </w:rPr>
        <w:t>Projections were modeled to consider changes in Federal, State and private reimbursement as well as fluctuations in the cost to provide quality dialysis services. DCI will fund the purchase price with internal cash reserves without need for external financing.</w:t>
      </w:r>
      <w:r w:rsidRPr="000B6B59">
        <w:rPr>
          <w:rFonts w:eastAsiaTheme="minorHAnsi"/>
          <w:sz w:val="22"/>
          <w:szCs w:val="22"/>
        </w:rPr>
        <w:t>”</w:t>
      </w:r>
    </w:p>
    <w:p w:rsidR="004B064E" w:rsidRPr="000B6B59" w:rsidRDefault="004B064E" w:rsidP="0070608C">
      <w:pPr>
        <w:autoSpaceDE w:val="0"/>
        <w:autoSpaceDN w:val="0"/>
        <w:adjustRightInd w:val="0"/>
        <w:ind w:left="720"/>
        <w:contextualSpacing/>
        <w:jc w:val="both"/>
        <w:rPr>
          <w:rFonts w:eastAsiaTheme="minorHAnsi"/>
          <w:b/>
          <w:sz w:val="22"/>
          <w:szCs w:val="22"/>
        </w:rPr>
      </w:pPr>
    </w:p>
    <w:p w:rsidR="008443D2" w:rsidRPr="000B6B59" w:rsidRDefault="000B6B59" w:rsidP="002767FA">
      <w:pPr>
        <w:autoSpaceDE w:val="0"/>
        <w:autoSpaceDN w:val="0"/>
        <w:adjustRightInd w:val="0"/>
        <w:jc w:val="both"/>
        <w:rPr>
          <w:b/>
          <w:sz w:val="22"/>
          <w:szCs w:val="22"/>
        </w:rPr>
      </w:pPr>
      <w:r w:rsidRPr="000B6B59">
        <w:rPr>
          <w:rFonts w:eastAsiaTheme="minorHAnsi"/>
          <w:noProof/>
          <w:sz w:val="22"/>
          <w:szCs w:val="22"/>
        </w:rPr>
        <w:t>“</w:t>
      </w:r>
      <w:r w:rsidR="004B064E" w:rsidRPr="000B6B59">
        <w:rPr>
          <w:rFonts w:eastAsiaTheme="minorHAnsi"/>
          <w:noProof/>
          <w:sz w:val="22"/>
          <w:szCs w:val="22"/>
        </w:rPr>
        <w:t xml:space="preserve">Dialysis Clinic, Incorporated (DCI) currently operates 210 </w:t>
      </w:r>
      <w:r w:rsidR="00390713">
        <w:rPr>
          <w:rFonts w:eastAsiaTheme="minorHAnsi"/>
          <w:noProof/>
          <w:sz w:val="22"/>
          <w:szCs w:val="22"/>
        </w:rPr>
        <w:t xml:space="preserve">dialysis clinics in 27 states. </w:t>
      </w:r>
      <w:r w:rsidR="004B064E" w:rsidRPr="000B6B59">
        <w:rPr>
          <w:rFonts w:eastAsiaTheme="minorHAnsi"/>
          <w:noProof/>
          <w:sz w:val="22"/>
          <w:szCs w:val="22"/>
        </w:rPr>
        <w:t>The proposed facility will become an adjunct to existing services offered in Skowhe</w:t>
      </w:r>
      <w:r w:rsidR="00F4630C">
        <w:rPr>
          <w:rFonts w:eastAsiaTheme="minorHAnsi"/>
          <w:noProof/>
          <w:sz w:val="22"/>
          <w:szCs w:val="22"/>
        </w:rPr>
        <w:t xml:space="preserve">gan (2003) and Belfast (2006). </w:t>
      </w:r>
      <w:r w:rsidR="004B064E" w:rsidRPr="000B6B59">
        <w:rPr>
          <w:rFonts w:eastAsiaTheme="minorHAnsi"/>
          <w:noProof/>
          <w:sz w:val="22"/>
          <w:szCs w:val="22"/>
        </w:rPr>
        <w:t xml:space="preserve">Members of the local and Corporate management support team are familiar with, and operate within, the guidelines for end-stage renal disease (ESRD) </w:t>
      </w:r>
      <w:r w:rsidR="00F4630C">
        <w:rPr>
          <w:rFonts w:eastAsiaTheme="minorHAnsi"/>
          <w:noProof/>
          <w:sz w:val="22"/>
          <w:szCs w:val="22"/>
        </w:rPr>
        <w:t xml:space="preserve">clinics in the State of Maine. </w:t>
      </w:r>
      <w:r w:rsidR="004B064E" w:rsidRPr="000B6B59">
        <w:rPr>
          <w:rFonts w:eastAsiaTheme="minorHAnsi"/>
          <w:noProof/>
          <w:sz w:val="22"/>
          <w:szCs w:val="22"/>
        </w:rPr>
        <w:t>The DCI Administrator for the MGMC clinic is presently responsible for facility operations in two existing units owned and operated by</w:t>
      </w:r>
      <w:r w:rsidR="00F4630C">
        <w:rPr>
          <w:rFonts w:eastAsiaTheme="minorHAnsi"/>
          <w:noProof/>
          <w:sz w:val="22"/>
          <w:szCs w:val="22"/>
        </w:rPr>
        <w:t xml:space="preserve"> DCI in Skowhegan and Belfast. </w:t>
      </w:r>
      <w:r w:rsidR="004B064E" w:rsidRPr="000B6B59">
        <w:rPr>
          <w:rFonts w:eastAsiaTheme="minorHAnsi"/>
          <w:noProof/>
          <w:sz w:val="22"/>
          <w:szCs w:val="22"/>
        </w:rPr>
        <w:t xml:space="preserve">Through its experience in Maine DCI has developed policies and procedures that comply with both Federal (CMS) and State </w:t>
      </w:r>
      <w:r w:rsidR="00F4630C">
        <w:rPr>
          <w:rFonts w:eastAsiaTheme="minorHAnsi"/>
          <w:noProof/>
          <w:sz w:val="22"/>
          <w:szCs w:val="22"/>
        </w:rPr>
        <w:t>of Maine licensure regulations.</w:t>
      </w:r>
      <w:r w:rsidR="004B064E" w:rsidRPr="000B6B59">
        <w:rPr>
          <w:rFonts w:eastAsiaTheme="minorHAnsi"/>
          <w:noProof/>
          <w:sz w:val="22"/>
          <w:szCs w:val="22"/>
        </w:rPr>
        <w:t xml:space="preserve"> </w:t>
      </w:r>
      <w:r w:rsidR="004B064E" w:rsidRPr="000B6B59">
        <w:rPr>
          <w:rFonts w:eastAsiaTheme="minorHAnsi"/>
          <w:sz w:val="22"/>
          <w:szCs w:val="22"/>
        </w:rPr>
        <w:t>The DCI compliance, education and quality management departments provide support to the local team of caregivers to aid in meeting current and evolving regulations.</w:t>
      </w:r>
      <w:r w:rsidRPr="000B6B59">
        <w:rPr>
          <w:rFonts w:eastAsiaTheme="minorHAnsi"/>
          <w:sz w:val="22"/>
          <w:szCs w:val="22"/>
        </w:rPr>
        <w:t>”</w:t>
      </w:r>
    </w:p>
    <w:p w:rsidR="00537550" w:rsidRPr="00BE6F41" w:rsidRDefault="00537550" w:rsidP="0070608C">
      <w:pPr>
        <w:jc w:val="both"/>
        <w:rPr>
          <w:i/>
        </w:rPr>
      </w:pPr>
    </w:p>
    <w:p w:rsidR="008E41AC" w:rsidRPr="00BE6F41" w:rsidRDefault="000B6B59" w:rsidP="002767FA">
      <w:pPr>
        <w:ind w:left="180" w:hanging="180"/>
        <w:jc w:val="both"/>
        <w:rPr>
          <w:b/>
        </w:rPr>
      </w:pPr>
      <w:r w:rsidRPr="00BE6F41">
        <w:rPr>
          <w:b/>
        </w:rPr>
        <w:t xml:space="preserve">B. </w:t>
      </w:r>
      <w:r w:rsidR="008E41AC" w:rsidRPr="00BE6F41">
        <w:rPr>
          <w:b/>
        </w:rPr>
        <w:t xml:space="preserve">CONU Discussion </w:t>
      </w:r>
    </w:p>
    <w:p w:rsidR="00636C1A" w:rsidRDefault="00636C1A" w:rsidP="0070608C">
      <w:pPr>
        <w:jc w:val="both"/>
        <w:rPr>
          <w:b/>
          <w:sz w:val="22"/>
          <w:szCs w:val="22"/>
        </w:rPr>
      </w:pPr>
    </w:p>
    <w:p w:rsidR="008E41AC" w:rsidRPr="0074796B" w:rsidRDefault="008E41AC" w:rsidP="0070608C">
      <w:pPr>
        <w:jc w:val="both"/>
        <w:rPr>
          <w:b/>
          <w:u w:val="single"/>
        </w:rPr>
      </w:pPr>
      <w:r w:rsidRPr="00636C1A">
        <w:rPr>
          <w:b/>
        </w:rPr>
        <w:t xml:space="preserve">CON </w:t>
      </w:r>
      <w:r w:rsidR="008C0128" w:rsidRPr="00636C1A">
        <w:rPr>
          <w:b/>
        </w:rPr>
        <w:t>Standard</w:t>
      </w:r>
      <w:r w:rsidRPr="0074796B">
        <w:rPr>
          <w:b/>
          <w:u w:val="single"/>
        </w:rPr>
        <w:t xml:space="preserve"> </w:t>
      </w:r>
    </w:p>
    <w:p w:rsidR="00636C1A" w:rsidRDefault="00636C1A" w:rsidP="0070608C">
      <w:pPr>
        <w:jc w:val="both"/>
        <w:rPr>
          <w:b/>
          <w:sz w:val="22"/>
          <w:szCs w:val="22"/>
        </w:rPr>
      </w:pPr>
    </w:p>
    <w:p w:rsidR="008E41AC" w:rsidRPr="000B6B59" w:rsidRDefault="008C0128" w:rsidP="0070608C">
      <w:pPr>
        <w:jc w:val="both"/>
        <w:rPr>
          <w:sz w:val="22"/>
          <w:szCs w:val="22"/>
        </w:rPr>
      </w:pPr>
      <w:r w:rsidRPr="000B6B59">
        <w:rPr>
          <w:sz w:val="22"/>
          <w:szCs w:val="22"/>
        </w:rPr>
        <w:t>The r</w:t>
      </w:r>
      <w:r w:rsidR="008E41AC" w:rsidRPr="000B6B59">
        <w:rPr>
          <w:sz w:val="22"/>
          <w:szCs w:val="22"/>
        </w:rPr>
        <w:t xml:space="preserve">elevant </w:t>
      </w:r>
      <w:r w:rsidR="00674138" w:rsidRPr="000B6B59">
        <w:rPr>
          <w:sz w:val="22"/>
          <w:szCs w:val="22"/>
        </w:rPr>
        <w:t>standards for inclusion in this section are</w:t>
      </w:r>
      <w:r w:rsidR="008E41AC" w:rsidRPr="000B6B59">
        <w:rPr>
          <w:sz w:val="22"/>
          <w:szCs w:val="22"/>
        </w:rPr>
        <w:t xml:space="preserve"> specific to the determination that the economic feasibility of the proposed services is demonstrated in terms of the: </w:t>
      </w:r>
    </w:p>
    <w:p w:rsidR="008E41AC" w:rsidRPr="000B6B59" w:rsidRDefault="008E41AC" w:rsidP="0070608C">
      <w:pPr>
        <w:jc w:val="both"/>
        <w:rPr>
          <w:sz w:val="22"/>
          <w:szCs w:val="22"/>
        </w:rPr>
      </w:pPr>
    </w:p>
    <w:p w:rsidR="008E41AC" w:rsidRPr="000B6B59" w:rsidRDefault="008E41AC" w:rsidP="002767FA">
      <w:pPr>
        <w:pStyle w:val="ListParagraph"/>
        <w:numPr>
          <w:ilvl w:val="0"/>
          <w:numId w:val="1"/>
        </w:numPr>
        <w:tabs>
          <w:tab w:val="clear" w:pos="1800"/>
        </w:tabs>
        <w:ind w:left="630"/>
        <w:jc w:val="both"/>
        <w:rPr>
          <w:sz w:val="22"/>
          <w:szCs w:val="22"/>
        </w:rPr>
      </w:pPr>
      <w:r w:rsidRPr="000B6B59">
        <w:rPr>
          <w:sz w:val="22"/>
          <w:szCs w:val="22"/>
        </w:rPr>
        <w:t xml:space="preserve">Capacity of the applicant to support the project financially over its useful life, in light of the rates the applicant expects to be able to charge for the services to be provided by the project; and </w:t>
      </w:r>
    </w:p>
    <w:p w:rsidR="000B6B59" w:rsidRPr="000B6B59" w:rsidRDefault="008E41AC" w:rsidP="002767FA">
      <w:pPr>
        <w:widowControl w:val="0"/>
        <w:numPr>
          <w:ilvl w:val="0"/>
          <w:numId w:val="1"/>
        </w:numPr>
        <w:tabs>
          <w:tab w:val="clear" w:pos="1800"/>
          <w:tab w:val="num" w:pos="630"/>
        </w:tabs>
        <w:autoSpaceDE w:val="0"/>
        <w:autoSpaceDN w:val="0"/>
        <w:adjustRightInd w:val="0"/>
        <w:spacing w:before="100"/>
        <w:ind w:left="630"/>
        <w:jc w:val="both"/>
      </w:pPr>
      <w:r w:rsidRPr="000B6B59">
        <w:rPr>
          <w:sz w:val="22"/>
          <w:szCs w:val="22"/>
        </w:rPr>
        <w:t>The applicant's ability to establish and operate the project in accordance</w:t>
      </w:r>
      <w:r w:rsidR="002767FA">
        <w:rPr>
          <w:sz w:val="22"/>
          <w:szCs w:val="22"/>
        </w:rPr>
        <w:t xml:space="preserve"> with existing and </w:t>
      </w:r>
      <w:r w:rsidRPr="000B6B59">
        <w:rPr>
          <w:sz w:val="22"/>
          <w:szCs w:val="22"/>
        </w:rPr>
        <w:t>reasonably anticipated future changes in federal, state and local licensure and other applicable or potentially applicable rules.</w:t>
      </w:r>
      <w:r w:rsidRPr="000B6B59">
        <w:rPr>
          <w:b/>
          <w:sz w:val="22"/>
          <w:szCs w:val="22"/>
        </w:rPr>
        <w:t xml:space="preserve"> </w:t>
      </w:r>
      <w:r w:rsidR="008C0128" w:rsidRPr="000B6B59">
        <w:rPr>
          <w:sz w:val="22"/>
          <w:szCs w:val="22"/>
        </w:rPr>
        <w:t>If the applicant is a provider of health care services that are substantially similar to those services being reviewed and is licensed in the State, the applicant is deemed to have fulfilled the requirements</w:t>
      </w:r>
      <w:r w:rsidR="006B13F0" w:rsidRPr="000B6B59">
        <w:rPr>
          <w:sz w:val="22"/>
          <w:szCs w:val="22"/>
        </w:rPr>
        <w:t>. This is allowable</w:t>
      </w:r>
      <w:r w:rsidR="008C0128" w:rsidRPr="000B6B59">
        <w:rPr>
          <w:sz w:val="22"/>
          <w:szCs w:val="22"/>
        </w:rPr>
        <w:t xml:space="preserve"> if the services provided in the State by the applicant during the most recent 3-year period are of similar size and scope and are consistent with applicable licensing and certification standards</w:t>
      </w:r>
      <w:r w:rsidR="00F927FF" w:rsidRPr="000B6B59">
        <w:rPr>
          <w:sz w:val="22"/>
          <w:szCs w:val="22"/>
        </w:rPr>
        <w:t>.</w:t>
      </w:r>
    </w:p>
    <w:p w:rsidR="00F927FF" w:rsidRPr="00675036" w:rsidRDefault="000A06C5" w:rsidP="0070608C">
      <w:pPr>
        <w:widowControl w:val="0"/>
        <w:autoSpaceDE w:val="0"/>
        <w:autoSpaceDN w:val="0"/>
        <w:adjustRightInd w:val="0"/>
        <w:spacing w:before="100"/>
        <w:jc w:val="both"/>
        <w:rPr>
          <w:b/>
        </w:rPr>
      </w:pPr>
      <w:r w:rsidRPr="00675036">
        <w:rPr>
          <w:b/>
        </w:rPr>
        <w:t xml:space="preserve">CON </w:t>
      </w:r>
      <w:r w:rsidR="008E41AC" w:rsidRPr="00675036">
        <w:rPr>
          <w:b/>
        </w:rPr>
        <w:t>Analysis</w:t>
      </w:r>
    </w:p>
    <w:p w:rsidR="00016F66" w:rsidRPr="00177113" w:rsidRDefault="00016F66" w:rsidP="0070608C">
      <w:pPr>
        <w:jc w:val="both"/>
        <w:rPr>
          <w:sz w:val="16"/>
          <w:szCs w:val="16"/>
        </w:rPr>
      </w:pPr>
    </w:p>
    <w:p w:rsidR="00B45084" w:rsidRPr="000B6B59" w:rsidRDefault="00636C1A" w:rsidP="0070608C">
      <w:pPr>
        <w:jc w:val="both"/>
        <w:rPr>
          <w:bCs/>
          <w:iCs/>
          <w:sz w:val="22"/>
          <w:szCs w:val="22"/>
        </w:rPr>
      </w:pPr>
      <w:r>
        <w:rPr>
          <w:bCs/>
          <w:iCs/>
          <w:sz w:val="22"/>
          <w:szCs w:val="22"/>
        </w:rPr>
        <w:t>I</w:t>
      </w:r>
      <w:r w:rsidR="00B45084" w:rsidRPr="000B6B59">
        <w:rPr>
          <w:bCs/>
          <w:iCs/>
          <w:sz w:val="22"/>
          <w:szCs w:val="22"/>
        </w:rPr>
        <w:t xml:space="preserve">n 1972, the US Congress passed legislation authorizing the End Stage Renal Disease (ESRD) program under </w:t>
      </w:r>
      <w:hyperlink r:id="rId12" w:tooltip="Medicare (United States)" w:history="1">
        <w:r w:rsidR="00B45084" w:rsidRPr="000B6B59">
          <w:rPr>
            <w:bCs/>
            <w:iCs/>
            <w:sz w:val="22"/>
            <w:szCs w:val="22"/>
          </w:rPr>
          <w:t>Medicare</w:t>
        </w:r>
      </w:hyperlink>
      <w:r w:rsidR="000B6B59">
        <w:rPr>
          <w:bCs/>
          <w:iCs/>
          <w:sz w:val="22"/>
          <w:szCs w:val="22"/>
        </w:rPr>
        <w:t>.</w:t>
      </w:r>
      <w:r w:rsidR="00B45084" w:rsidRPr="000B6B59">
        <w:rPr>
          <w:bCs/>
          <w:iCs/>
          <w:sz w:val="22"/>
          <w:szCs w:val="22"/>
        </w:rPr>
        <w:t xml:space="preserve"> Section 299I of Public Law 92-603 extended Medicare coverage to Americans if they had </w:t>
      </w:r>
      <w:hyperlink r:id="rId13" w:tooltip="Chronic kidney disease" w:history="1">
        <w:r w:rsidR="00B45084" w:rsidRPr="000B6B59">
          <w:rPr>
            <w:bCs/>
            <w:iCs/>
            <w:sz w:val="22"/>
            <w:szCs w:val="22"/>
          </w:rPr>
          <w:t xml:space="preserve">stage five chronic kidney </w:t>
        </w:r>
        <w:proofErr w:type="gramStart"/>
        <w:r w:rsidR="00B45084" w:rsidRPr="000B6B59">
          <w:rPr>
            <w:bCs/>
            <w:iCs/>
            <w:sz w:val="22"/>
            <w:szCs w:val="22"/>
          </w:rPr>
          <w:t>disease</w:t>
        </w:r>
        <w:proofErr w:type="gramEnd"/>
        <w:r w:rsidR="00B45084" w:rsidRPr="000B6B59">
          <w:rPr>
            <w:bCs/>
            <w:iCs/>
            <w:sz w:val="22"/>
            <w:szCs w:val="22"/>
          </w:rPr>
          <w:t xml:space="preserve"> (CKD)</w:t>
        </w:r>
      </w:hyperlink>
      <w:r w:rsidR="00B45084" w:rsidRPr="000B6B59">
        <w:rPr>
          <w:bCs/>
          <w:iCs/>
          <w:sz w:val="22"/>
          <w:szCs w:val="22"/>
        </w:rPr>
        <w:t xml:space="preserve"> and were otherwise qualified under Medicare'</w:t>
      </w:r>
      <w:r w:rsidR="000B6B59">
        <w:rPr>
          <w:bCs/>
          <w:iCs/>
          <w:sz w:val="22"/>
          <w:szCs w:val="22"/>
        </w:rPr>
        <w:t xml:space="preserve">s work history requirements. </w:t>
      </w:r>
      <w:r w:rsidR="00B45084" w:rsidRPr="000B6B59">
        <w:rPr>
          <w:bCs/>
          <w:iCs/>
          <w:sz w:val="22"/>
          <w:szCs w:val="22"/>
        </w:rPr>
        <w:t>The prog</w:t>
      </w:r>
      <w:r w:rsidR="000B6B59">
        <w:rPr>
          <w:bCs/>
          <w:iCs/>
          <w:sz w:val="22"/>
          <w:szCs w:val="22"/>
        </w:rPr>
        <w:t xml:space="preserve">ram's launch was July 1, 1973. </w:t>
      </w:r>
      <w:r w:rsidR="00B45084" w:rsidRPr="000B6B59">
        <w:rPr>
          <w:bCs/>
          <w:iCs/>
          <w:sz w:val="22"/>
          <w:szCs w:val="22"/>
        </w:rPr>
        <w:t xml:space="preserve">Previously only those over 65 could </w:t>
      </w:r>
      <w:r w:rsidR="000B6B59">
        <w:rPr>
          <w:bCs/>
          <w:iCs/>
          <w:sz w:val="22"/>
          <w:szCs w:val="22"/>
        </w:rPr>
        <w:t xml:space="preserve">qualify for Medicare benefits. </w:t>
      </w:r>
      <w:r w:rsidR="00B45084" w:rsidRPr="000B6B59">
        <w:rPr>
          <w:bCs/>
          <w:iCs/>
          <w:sz w:val="22"/>
          <w:szCs w:val="22"/>
        </w:rPr>
        <w:t xml:space="preserve">This entitlement is nearly universal, covering over 90% of all US citizens with </w:t>
      </w:r>
      <w:hyperlink r:id="rId14" w:tooltip="Chronic kidney disease" w:history="1">
        <w:r w:rsidR="00B45084" w:rsidRPr="000B6B59">
          <w:rPr>
            <w:bCs/>
            <w:iCs/>
            <w:sz w:val="22"/>
            <w:szCs w:val="22"/>
          </w:rPr>
          <w:t>severe CKD</w:t>
        </w:r>
      </w:hyperlink>
      <w:r w:rsidR="00B45084" w:rsidRPr="000B6B59">
        <w:rPr>
          <w:bCs/>
          <w:iCs/>
          <w:sz w:val="22"/>
          <w:szCs w:val="22"/>
        </w:rPr>
        <w:t xml:space="preserve"> according to a 2006 report on payment sources for dialysis.</w:t>
      </w:r>
    </w:p>
    <w:p w:rsidR="00B45084" w:rsidRPr="00177113" w:rsidRDefault="00B45084" w:rsidP="0070608C">
      <w:pPr>
        <w:jc w:val="both"/>
        <w:rPr>
          <w:bCs/>
          <w:iCs/>
          <w:sz w:val="16"/>
          <w:szCs w:val="16"/>
        </w:rPr>
      </w:pPr>
    </w:p>
    <w:p w:rsidR="00390713" w:rsidRDefault="00390713" w:rsidP="0070608C">
      <w:pPr>
        <w:jc w:val="both"/>
        <w:rPr>
          <w:sz w:val="22"/>
          <w:szCs w:val="22"/>
          <w:lang w:val="en"/>
        </w:rPr>
        <w:sectPr w:rsidR="00390713" w:rsidSect="0070608C">
          <w:headerReference w:type="default" r:id="rId15"/>
          <w:pgSz w:w="12240" w:h="15840"/>
          <w:pgMar w:top="1440" w:right="1440" w:bottom="1440" w:left="1440" w:header="720" w:footer="720" w:gutter="0"/>
          <w:cols w:space="720"/>
          <w:docGrid w:linePitch="360"/>
        </w:sectPr>
      </w:pPr>
    </w:p>
    <w:p w:rsidR="00B45084" w:rsidRPr="000B6B59" w:rsidRDefault="00B45084" w:rsidP="0070608C">
      <w:pPr>
        <w:jc w:val="both"/>
        <w:rPr>
          <w:sz w:val="22"/>
          <w:szCs w:val="22"/>
          <w:lang w:val="en"/>
        </w:rPr>
      </w:pPr>
      <w:r w:rsidRPr="000B6B59">
        <w:rPr>
          <w:sz w:val="22"/>
          <w:szCs w:val="22"/>
          <w:lang w:val="en"/>
        </w:rPr>
        <w:t>The Medicare Secondary Payer (MSP) provision of the ESRD program (also known as the ESRD Coordination Period) was enacted as part of the Omnibus Budg</w:t>
      </w:r>
      <w:r w:rsidR="000B6B59">
        <w:rPr>
          <w:sz w:val="22"/>
          <w:szCs w:val="22"/>
          <w:lang w:val="en"/>
        </w:rPr>
        <w:t xml:space="preserve">et Reconciliation Act of 1981. </w:t>
      </w:r>
      <w:r w:rsidRPr="000B6B59">
        <w:rPr>
          <w:sz w:val="22"/>
          <w:szCs w:val="22"/>
          <w:lang w:val="en"/>
        </w:rPr>
        <w:t>MSP provides for a coordination of benefits period between Medicare and private health insurance plans for individuals entitled to Medicare</w:t>
      </w:r>
      <w:r w:rsidR="000B6B59">
        <w:rPr>
          <w:sz w:val="22"/>
          <w:szCs w:val="22"/>
          <w:lang w:val="en"/>
        </w:rPr>
        <w:t xml:space="preserve"> solely on the basis of ESRD. </w:t>
      </w:r>
      <w:r w:rsidRPr="000B6B59">
        <w:rPr>
          <w:sz w:val="22"/>
          <w:szCs w:val="22"/>
          <w:lang w:val="en"/>
        </w:rPr>
        <w:t>If an individual is entitled to Medicare because of ESRD and is covered by an Employer Group Health Plan (EGHP), the EGHP is the first payer (primar</w:t>
      </w:r>
      <w:r w:rsidR="00390713">
        <w:rPr>
          <w:sz w:val="22"/>
          <w:szCs w:val="22"/>
          <w:lang w:val="en"/>
        </w:rPr>
        <w:t>y) for the first thirty months.</w:t>
      </w:r>
    </w:p>
    <w:p w:rsidR="00B45084" w:rsidRPr="00177113" w:rsidRDefault="00B45084" w:rsidP="0070608C">
      <w:pPr>
        <w:jc w:val="both"/>
        <w:rPr>
          <w:sz w:val="16"/>
          <w:szCs w:val="16"/>
          <w:lang w:val="en"/>
        </w:rPr>
      </w:pPr>
    </w:p>
    <w:p w:rsidR="00B45084" w:rsidRPr="000B6B59" w:rsidRDefault="00B45084" w:rsidP="0070608C">
      <w:pPr>
        <w:jc w:val="both"/>
        <w:rPr>
          <w:sz w:val="22"/>
          <w:szCs w:val="22"/>
          <w:lang w:val="en"/>
        </w:rPr>
      </w:pPr>
      <w:r w:rsidRPr="000B6B59">
        <w:rPr>
          <w:sz w:val="22"/>
          <w:szCs w:val="22"/>
          <w:lang w:val="en"/>
        </w:rPr>
        <w:t>Medicare's unit of payment is one composit</w:t>
      </w:r>
      <w:r w:rsidR="000B6B59">
        <w:rPr>
          <w:sz w:val="22"/>
          <w:szCs w:val="22"/>
          <w:lang w:val="en"/>
        </w:rPr>
        <w:t xml:space="preserve">e rate per dialysis treatment. </w:t>
      </w:r>
      <w:r w:rsidRPr="000B6B59">
        <w:rPr>
          <w:sz w:val="22"/>
          <w:szCs w:val="22"/>
          <w:lang w:val="en"/>
        </w:rPr>
        <w:t>This is d</w:t>
      </w:r>
      <w:r w:rsidR="000B6B59">
        <w:rPr>
          <w:sz w:val="22"/>
          <w:szCs w:val="22"/>
          <w:lang w:val="en"/>
        </w:rPr>
        <w:t xml:space="preserve">escribed as a bundled payment. </w:t>
      </w:r>
      <w:r w:rsidRPr="000B6B59">
        <w:rPr>
          <w:sz w:val="22"/>
          <w:szCs w:val="22"/>
          <w:lang w:val="en"/>
        </w:rPr>
        <w:t>Although different equipment, supplies, and labor are needed for hemodialysis and peritoneal dialysis, the current system does not differentiate payment based on dialysis method, location (home or in center) or equipment used.</w:t>
      </w:r>
    </w:p>
    <w:p w:rsidR="00B45084" w:rsidRPr="000B6B59" w:rsidRDefault="00B45084" w:rsidP="0070608C">
      <w:pPr>
        <w:jc w:val="both"/>
        <w:rPr>
          <w:sz w:val="22"/>
          <w:szCs w:val="22"/>
          <w:lang w:val="en"/>
        </w:rPr>
      </w:pPr>
    </w:p>
    <w:p w:rsidR="00B45084" w:rsidRPr="000B6B59" w:rsidRDefault="00B45084" w:rsidP="0070608C">
      <w:pPr>
        <w:jc w:val="both"/>
        <w:rPr>
          <w:sz w:val="22"/>
          <w:szCs w:val="22"/>
          <w:lang w:val="en"/>
        </w:rPr>
      </w:pPr>
      <w:r w:rsidRPr="000B6B59">
        <w:rPr>
          <w:sz w:val="22"/>
          <w:szCs w:val="22"/>
          <w:lang w:val="en"/>
        </w:rPr>
        <w:t>The composite rate is intended to cover all operating and capital costs that efficient providers would incur in furnishing dialysis in outpatient faciliti</w:t>
      </w:r>
      <w:r w:rsidR="000B6B59">
        <w:rPr>
          <w:sz w:val="22"/>
          <w:szCs w:val="22"/>
          <w:lang w:val="en"/>
        </w:rPr>
        <w:t xml:space="preserve">es or in beneficiaries' homes. </w:t>
      </w:r>
      <w:r w:rsidRPr="000B6B59">
        <w:rPr>
          <w:sz w:val="22"/>
          <w:szCs w:val="22"/>
          <w:lang w:val="en"/>
        </w:rPr>
        <w:t>Medicare caps its payments to facilities at an amount equal to thr</w:t>
      </w:r>
      <w:r w:rsidR="000B6B59">
        <w:rPr>
          <w:sz w:val="22"/>
          <w:szCs w:val="22"/>
          <w:lang w:val="en"/>
        </w:rPr>
        <w:t xml:space="preserve">ee dialysis sessions per week. </w:t>
      </w:r>
      <w:r w:rsidRPr="000B6B59">
        <w:rPr>
          <w:sz w:val="22"/>
          <w:szCs w:val="22"/>
          <w:lang w:val="en"/>
        </w:rPr>
        <w:t>Although home dialysis may be given more frequently it is not fully reimbursed by Medicare.</w:t>
      </w:r>
    </w:p>
    <w:p w:rsidR="00F927FF" w:rsidRPr="000B6B59" w:rsidRDefault="00F927FF" w:rsidP="0070608C">
      <w:pPr>
        <w:jc w:val="both"/>
        <w:rPr>
          <w:sz w:val="22"/>
          <w:szCs w:val="22"/>
        </w:rPr>
      </w:pPr>
    </w:p>
    <w:p w:rsidR="00F95DD1" w:rsidRPr="000B6B59" w:rsidRDefault="00E74B1A" w:rsidP="0070608C">
      <w:pPr>
        <w:jc w:val="both"/>
        <w:rPr>
          <w:sz w:val="22"/>
          <w:szCs w:val="22"/>
        </w:rPr>
      </w:pPr>
      <w:r w:rsidRPr="000B6B59">
        <w:rPr>
          <w:sz w:val="22"/>
          <w:szCs w:val="22"/>
        </w:rPr>
        <w:t xml:space="preserve">In order to </w:t>
      </w:r>
      <w:r w:rsidR="00952A76" w:rsidRPr="000B6B59">
        <w:rPr>
          <w:sz w:val="22"/>
          <w:szCs w:val="22"/>
        </w:rPr>
        <w:t>determine the ability</w:t>
      </w:r>
      <w:r w:rsidRPr="000B6B59">
        <w:rPr>
          <w:sz w:val="22"/>
          <w:szCs w:val="22"/>
        </w:rPr>
        <w:t xml:space="preserve"> of the applicant to support the project financially over its useful life CONU obtained copies of Dialysis Clinic, Inc. September 30, 2012 </w:t>
      </w:r>
      <w:r w:rsidR="000902AD" w:rsidRPr="000B6B59">
        <w:rPr>
          <w:sz w:val="22"/>
          <w:szCs w:val="22"/>
        </w:rPr>
        <w:t xml:space="preserve">consolidated </w:t>
      </w:r>
      <w:r w:rsidRPr="000B6B59">
        <w:rPr>
          <w:sz w:val="22"/>
          <w:szCs w:val="22"/>
        </w:rPr>
        <w:t>financial statements</w:t>
      </w:r>
      <w:r w:rsidR="000902AD" w:rsidRPr="000B6B59">
        <w:rPr>
          <w:sz w:val="22"/>
          <w:szCs w:val="22"/>
        </w:rPr>
        <w:t xml:space="preserve">. The applicant plans to pay $3,000,000 </w:t>
      </w:r>
      <w:r w:rsidR="00F95DD1" w:rsidRPr="000B6B59">
        <w:rPr>
          <w:sz w:val="22"/>
          <w:szCs w:val="22"/>
        </w:rPr>
        <w:t>for the assets of Maine General Medical Centers dialysis operations located in Waterville, Maine. This will not require any borrowing since Dialysis Clinic, Inc. has over $200,000,000 in cash and cash equ</w:t>
      </w:r>
      <w:r w:rsidR="000B6B59">
        <w:rPr>
          <w:sz w:val="22"/>
          <w:szCs w:val="22"/>
        </w:rPr>
        <w:t xml:space="preserve">ivalents on its balance sheet. </w:t>
      </w:r>
      <w:r w:rsidR="00F95DD1" w:rsidRPr="000B6B59">
        <w:rPr>
          <w:sz w:val="22"/>
          <w:szCs w:val="22"/>
        </w:rPr>
        <w:t xml:space="preserve">CONU reviewed current income statements and projected income statements </w:t>
      </w:r>
      <w:r w:rsidR="000B6B59">
        <w:rPr>
          <w:sz w:val="22"/>
          <w:szCs w:val="22"/>
        </w:rPr>
        <w:t xml:space="preserve">for the Waterville operations. </w:t>
      </w:r>
      <w:r w:rsidR="00F95DD1" w:rsidRPr="000B6B59">
        <w:rPr>
          <w:sz w:val="22"/>
          <w:szCs w:val="22"/>
        </w:rPr>
        <w:t xml:space="preserve">Dialysis Clinic, </w:t>
      </w:r>
      <w:r w:rsidR="00674138" w:rsidRPr="000B6B59">
        <w:rPr>
          <w:sz w:val="22"/>
          <w:szCs w:val="22"/>
        </w:rPr>
        <w:t>Inc.</w:t>
      </w:r>
      <w:r w:rsidR="00F95DD1" w:rsidRPr="000B6B59">
        <w:rPr>
          <w:sz w:val="22"/>
          <w:szCs w:val="22"/>
        </w:rPr>
        <w:t xml:space="preserve"> is predicting profitable operations in both year 2 and year 3 of this project. In the event that the results of operations fall short of expectations the applicant has sufficient financial resources to operate the Waterville facility.</w:t>
      </w:r>
    </w:p>
    <w:p w:rsidR="00F95DD1" w:rsidRPr="000B6B59" w:rsidRDefault="00F95DD1" w:rsidP="0070608C">
      <w:pPr>
        <w:jc w:val="both"/>
        <w:rPr>
          <w:sz w:val="22"/>
          <w:szCs w:val="22"/>
        </w:rPr>
      </w:pPr>
    </w:p>
    <w:p w:rsidR="00F95DD1" w:rsidRPr="000B6B59" w:rsidRDefault="00584D6A" w:rsidP="0070608C">
      <w:pPr>
        <w:jc w:val="both"/>
        <w:rPr>
          <w:sz w:val="22"/>
          <w:szCs w:val="22"/>
        </w:rPr>
      </w:pPr>
      <w:r w:rsidRPr="000B6B59">
        <w:rPr>
          <w:sz w:val="22"/>
          <w:szCs w:val="22"/>
        </w:rPr>
        <w:t>As stated previously the applicant currently operates two dialysis programs in Belfast and Skowhegan and is familiar with the regulatory environment in the State of Maine. CONU is unaware of any proposed changes to regulations that would adversely affect Dialysis Clinic, Inc. operations.</w:t>
      </w:r>
    </w:p>
    <w:p w:rsidR="00415E79" w:rsidRPr="0074796B" w:rsidRDefault="00415E79" w:rsidP="0070608C">
      <w:pPr>
        <w:jc w:val="both"/>
      </w:pPr>
    </w:p>
    <w:p w:rsidR="00783BBE" w:rsidRPr="00675036" w:rsidRDefault="00AD4724" w:rsidP="0070608C">
      <w:pPr>
        <w:jc w:val="both"/>
        <w:rPr>
          <w:b/>
        </w:rPr>
      </w:pPr>
      <w:bookmarkStart w:id="4" w:name="_Ref195319944"/>
      <w:r w:rsidRPr="00675036">
        <w:rPr>
          <w:b/>
        </w:rPr>
        <w:t>Conclusion</w:t>
      </w:r>
    </w:p>
    <w:p w:rsidR="004D4509" w:rsidRPr="000B6B59" w:rsidRDefault="004D4509" w:rsidP="0070608C">
      <w:pPr>
        <w:jc w:val="both"/>
        <w:rPr>
          <w:sz w:val="22"/>
          <w:szCs w:val="22"/>
        </w:rPr>
      </w:pPr>
    </w:p>
    <w:p w:rsidR="004D4509" w:rsidRPr="000B6B59" w:rsidRDefault="004D4509" w:rsidP="0070608C">
      <w:pPr>
        <w:jc w:val="both"/>
        <w:rPr>
          <w:sz w:val="22"/>
          <w:szCs w:val="22"/>
        </w:rPr>
      </w:pPr>
      <w:r w:rsidRPr="000B6B59">
        <w:rPr>
          <w:sz w:val="22"/>
          <w:szCs w:val="22"/>
        </w:rPr>
        <w:t>CONU recommends that the Commissioner determine that the applicant has demonstrated that the project is economic</w:t>
      </w:r>
      <w:r w:rsidR="00B30FE3" w:rsidRPr="000B6B59">
        <w:rPr>
          <w:sz w:val="22"/>
          <w:szCs w:val="22"/>
        </w:rPr>
        <w:t>ally</w:t>
      </w:r>
      <w:r w:rsidRPr="000B6B59">
        <w:rPr>
          <w:sz w:val="22"/>
          <w:szCs w:val="22"/>
        </w:rPr>
        <w:t xml:space="preserve"> </w:t>
      </w:r>
      <w:r w:rsidR="00B30FE3" w:rsidRPr="000B6B59">
        <w:rPr>
          <w:sz w:val="22"/>
          <w:szCs w:val="22"/>
        </w:rPr>
        <w:t>feasible</w:t>
      </w:r>
      <w:r w:rsidRPr="000B6B59">
        <w:rPr>
          <w:sz w:val="22"/>
          <w:szCs w:val="22"/>
        </w:rPr>
        <w:t>.</w:t>
      </w:r>
    </w:p>
    <w:p w:rsidR="006B13F0" w:rsidRPr="00177113" w:rsidRDefault="006B13F0" w:rsidP="0070608C">
      <w:pPr>
        <w:pStyle w:val="Heading1"/>
        <w:jc w:val="both"/>
        <w:rPr>
          <w:rFonts w:ascii="Times New Roman" w:hAnsi="Times New Roman" w:cs="Times New Roman"/>
          <w:sz w:val="28"/>
          <w:szCs w:val="28"/>
        </w:rPr>
        <w:sectPr w:rsidR="006B13F0" w:rsidRPr="00177113" w:rsidSect="0070608C">
          <w:pgSz w:w="12240" w:h="15840"/>
          <w:pgMar w:top="1440" w:right="1440" w:bottom="1440" w:left="1440" w:header="720" w:footer="720" w:gutter="0"/>
          <w:cols w:space="720"/>
          <w:docGrid w:linePitch="360"/>
        </w:sectPr>
      </w:pPr>
    </w:p>
    <w:p w:rsidR="00E32294" w:rsidRPr="00636C1A" w:rsidRDefault="004336AF" w:rsidP="0070608C">
      <w:pPr>
        <w:pStyle w:val="Heading1"/>
        <w:jc w:val="both"/>
        <w:rPr>
          <w:rFonts w:ascii="Times New Roman" w:hAnsi="Times New Roman" w:cs="Times New Roman"/>
          <w:sz w:val="28"/>
          <w:szCs w:val="28"/>
          <w:u w:val="single"/>
        </w:rPr>
      </w:pPr>
      <w:r w:rsidRPr="00636C1A">
        <w:rPr>
          <w:rFonts w:ascii="Times New Roman" w:hAnsi="Times New Roman" w:cs="Times New Roman"/>
          <w:sz w:val="28"/>
          <w:szCs w:val="28"/>
          <w:u w:val="single"/>
        </w:rPr>
        <w:t xml:space="preserve">IV. </w:t>
      </w:r>
      <w:bookmarkEnd w:id="4"/>
      <w:r w:rsidR="00CF12AC" w:rsidRPr="00636C1A">
        <w:rPr>
          <w:rFonts w:ascii="Times New Roman" w:hAnsi="Times New Roman" w:cs="Times New Roman"/>
          <w:sz w:val="28"/>
          <w:szCs w:val="28"/>
          <w:u w:val="single"/>
        </w:rPr>
        <w:t>Public Need</w:t>
      </w:r>
      <w:r w:rsidRPr="00636C1A">
        <w:rPr>
          <w:rFonts w:ascii="Times New Roman" w:hAnsi="Times New Roman" w:cs="Times New Roman"/>
          <w:sz w:val="28"/>
          <w:szCs w:val="28"/>
          <w:u w:val="single"/>
        </w:rPr>
        <w:t xml:space="preserve"> </w:t>
      </w:r>
    </w:p>
    <w:p w:rsidR="00E06E7E" w:rsidRPr="00E06E7E" w:rsidRDefault="00E06E7E" w:rsidP="0070608C">
      <w:pPr>
        <w:jc w:val="both"/>
      </w:pPr>
    </w:p>
    <w:p w:rsidR="008A797A" w:rsidRPr="00BE6F41" w:rsidRDefault="00E06E7E" w:rsidP="002767FA">
      <w:pPr>
        <w:jc w:val="both"/>
        <w:rPr>
          <w:b/>
          <w:i/>
        </w:rPr>
      </w:pPr>
      <w:r w:rsidRPr="00BE6F41">
        <w:rPr>
          <w:b/>
        </w:rPr>
        <w:t xml:space="preserve">A. </w:t>
      </w:r>
      <w:r w:rsidR="00B26788" w:rsidRPr="00BE6F41">
        <w:rPr>
          <w:b/>
        </w:rPr>
        <w:t xml:space="preserve">From Applicant </w:t>
      </w:r>
      <w:bookmarkStart w:id="5" w:name="_1426315039"/>
      <w:bookmarkEnd w:id="5"/>
    </w:p>
    <w:p w:rsidR="00177113" w:rsidRPr="00177113" w:rsidRDefault="00177113" w:rsidP="0070608C">
      <w:pPr>
        <w:jc w:val="both"/>
        <w:rPr>
          <w:rFonts w:eastAsiaTheme="minorHAnsi"/>
          <w:sz w:val="10"/>
          <w:szCs w:val="10"/>
        </w:rPr>
      </w:pPr>
    </w:p>
    <w:p w:rsidR="004B064E" w:rsidRPr="00E06E7E" w:rsidRDefault="00E06E7E" w:rsidP="002767FA">
      <w:pPr>
        <w:autoSpaceDE w:val="0"/>
        <w:autoSpaceDN w:val="0"/>
        <w:adjustRightInd w:val="0"/>
        <w:contextualSpacing/>
        <w:jc w:val="both"/>
        <w:rPr>
          <w:rFonts w:eastAsiaTheme="minorHAnsi"/>
          <w:sz w:val="22"/>
          <w:szCs w:val="22"/>
        </w:rPr>
      </w:pPr>
      <w:r>
        <w:rPr>
          <w:rFonts w:eastAsiaTheme="minorHAnsi"/>
          <w:sz w:val="22"/>
          <w:szCs w:val="22"/>
        </w:rPr>
        <w:t>“</w:t>
      </w:r>
      <w:r w:rsidR="004B064E" w:rsidRPr="00E06E7E">
        <w:rPr>
          <w:rFonts w:eastAsiaTheme="minorHAnsi"/>
          <w:sz w:val="22"/>
          <w:szCs w:val="22"/>
        </w:rPr>
        <w:t>Acquisition of the dialysis services program of MGMC by DCI does not include the</w:t>
      </w:r>
      <w:r>
        <w:rPr>
          <w:rFonts w:eastAsiaTheme="minorHAnsi"/>
          <w:sz w:val="22"/>
          <w:szCs w:val="22"/>
        </w:rPr>
        <w:t xml:space="preserve"> provision of any new service. </w:t>
      </w:r>
      <w:r w:rsidR="004B064E" w:rsidRPr="00E06E7E">
        <w:rPr>
          <w:rFonts w:eastAsiaTheme="minorHAnsi"/>
          <w:sz w:val="22"/>
          <w:szCs w:val="22"/>
        </w:rPr>
        <w:t xml:space="preserve">The project is a change of ownership and the continuation of dialysis services currently provided by MGMC to residents in </w:t>
      </w:r>
      <w:r>
        <w:rPr>
          <w:rFonts w:eastAsiaTheme="minorHAnsi"/>
          <w:sz w:val="22"/>
          <w:szCs w:val="22"/>
        </w:rPr>
        <w:t xml:space="preserve">the Waterville area. </w:t>
      </w:r>
      <w:r w:rsidR="004B064E" w:rsidRPr="00E06E7E">
        <w:rPr>
          <w:rFonts w:eastAsiaTheme="minorHAnsi"/>
          <w:sz w:val="22"/>
          <w:szCs w:val="22"/>
        </w:rPr>
        <w:t>DCI will continue to offer home and facility / in-c</w:t>
      </w:r>
      <w:r>
        <w:rPr>
          <w:rFonts w:eastAsiaTheme="minorHAnsi"/>
          <w:sz w:val="22"/>
          <w:szCs w:val="22"/>
        </w:rPr>
        <w:t>enter based dialysis services.”</w:t>
      </w:r>
    </w:p>
    <w:p w:rsidR="004B064E" w:rsidRPr="00E06E7E" w:rsidRDefault="004B064E" w:rsidP="0070608C">
      <w:pPr>
        <w:autoSpaceDE w:val="0"/>
        <w:autoSpaceDN w:val="0"/>
        <w:adjustRightInd w:val="0"/>
        <w:ind w:left="360"/>
        <w:contextualSpacing/>
        <w:jc w:val="both"/>
        <w:rPr>
          <w:rFonts w:eastAsiaTheme="minorHAnsi"/>
          <w:sz w:val="22"/>
          <w:szCs w:val="22"/>
        </w:rPr>
      </w:pPr>
    </w:p>
    <w:p w:rsidR="004B064E" w:rsidRPr="00E06E7E" w:rsidRDefault="00E06E7E" w:rsidP="002767FA">
      <w:pPr>
        <w:autoSpaceDE w:val="0"/>
        <w:autoSpaceDN w:val="0"/>
        <w:adjustRightInd w:val="0"/>
        <w:contextualSpacing/>
        <w:jc w:val="both"/>
        <w:rPr>
          <w:rFonts w:eastAsiaTheme="minorHAnsi"/>
          <w:sz w:val="22"/>
          <w:szCs w:val="22"/>
        </w:rPr>
      </w:pPr>
      <w:r>
        <w:rPr>
          <w:rFonts w:eastAsiaTheme="minorHAnsi"/>
          <w:sz w:val="22"/>
          <w:szCs w:val="22"/>
        </w:rPr>
        <w:t>“</w:t>
      </w:r>
      <w:r w:rsidR="004B064E" w:rsidRPr="00E06E7E">
        <w:rPr>
          <w:rFonts w:eastAsiaTheme="minorHAnsi"/>
          <w:sz w:val="22"/>
          <w:szCs w:val="22"/>
        </w:rPr>
        <w:t>DCI believes strongly in the benefits of chronic kidney disease education and the coordina</w:t>
      </w:r>
      <w:r>
        <w:rPr>
          <w:rFonts w:eastAsiaTheme="minorHAnsi"/>
          <w:sz w:val="22"/>
          <w:szCs w:val="22"/>
        </w:rPr>
        <w:t xml:space="preserve">tion of care across providers. </w:t>
      </w:r>
      <w:r w:rsidR="004B064E" w:rsidRPr="00E06E7E">
        <w:rPr>
          <w:rFonts w:eastAsiaTheme="minorHAnsi"/>
          <w:sz w:val="22"/>
          <w:szCs w:val="22"/>
        </w:rPr>
        <w:t>Through education DCI intends to help patients become more familiar and engaged in their care and subsequently more wise health care consumers with an emphasis on kidney disease.</w:t>
      </w:r>
      <w:r>
        <w:rPr>
          <w:rFonts w:eastAsiaTheme="minorHAnsi"/>
          <w:sz w:val="22"/>
          <w:szCs w:val="22"/>
        </w:rPr>
        <w:t>”</w:t>
      </w:r>
    </w:p>
    <w:p w:rsidR="004B064E" w:rsidRPr="00E06E7E" w:rsidRDefault="004B064E" w:rsidP="0070608C">
      <w:pPr>
        <w:autoSpaceDE w:val="0"/>
        <w:autoSpaceDN w:val="0"/>
        <w:adjustRightInd w:val="0"/>
        <w:ind w:left="360"/>
        <w:contextualSpacing/>
        <w:jc w:val="both"/>
        <w:rPr>
          <w:rFonts w:eastAsiaTheme="minorHAnsi"/>
          <w:sz w:val="22"/>
          <w:szCs w:val="22"/>
        </w:rPr>
      </w:pPr>
    </w:p>
    <w:p w:rsidR="004B064E" w:rsidRPr="00E06E7E" w:rsidRDefault="00E06E7E" w:rsidP="002767FA">
      <w:pPr>
        <w:autoSpaceDE w:val="0"/>
        <w:autoSpaceDN w:val="0"/>
        <w:adjustRightInd w:val="0"/>
        <w:contextualSpacing/>
        <w:jc w:val="both"/>
        <w:rPr>
          <w:rFonts w:eastAsiaTheme="minorHAnsi"/>
          <w:sz w:val="22"/>
          <w:szCs w:val="22"/>
        </w:rPr>
      </w:pPr>
      <w:r>
        <w:rPr>
          <w:rFonts w:eastAsiaTheme="minorHAnsi"/>
          <w:sz w:val="22"/>
          <w:szCs w:val="22"/>
        </w:rPr>
        <w:t>“</w:t>
      </w:r>
      <w:r w:rsidR="004B064E" w:rsidRPr="00E06E7E">
        <w:rPr>
          <w:rFonts w:eastAsiaTheme="minorHAnsi"/>
          <w:sz w:val="22"/>
          <w:szCs w:val="22"/>
        </w:rPr>
        <w:t>Heath measures and outcomes for dialysis</w:t>
      </w:r>
      <w:r w:rsidR="00177113" w:rsidRPr="00E06E7E">
        <w:rPr>
          <w:rFonts w:eastAsiaTheme="minorHAnsi"/>
          <w:sz w:val="22"/>
          <w:szCs w:val="22"/>
        </w:rPr>
        <w:t xml:space="preserve"> patients are addressed below. </w:t>
      </w:r>
      <w:r w:rsidR="004B064E" w:rsidRPr="00E06E7E">
        <w:rPr>
          <w:rFonts w:eastAsiaTheme="minorHAnsi"/>
          <w:sz w:val="22"/>
          <w:szCs w:val="22"/>
        </w:rPr>
        <w:t xml:space="preserve">Improvements in a patient’s health status may be measured by patient satisfaction scores, prolonged renal function and delayed onset of end-stage renal disease (ESRD), well managed blood sugar, controlled hypertension, and </w:t>
      </w:r>
      <w:r w:rsidR="00177113" w:rsidRPr="00E06E7E">
        <w:rPr>
          <w:rFonts w:eastAsiaTheme="minorHAnsi"/>
          <w:sz w:val="22"/>
          <w:szCs w:val="22"/>
        </w:rPr>
        <w:t>transplantation to name a few.</w:t>
      </w:r>
      <w:r>
        <w:rPr>
          <w:rFonts w:eastAsiaTheme="minorHAnsi"/>
          <w:sz w:val="22"/>
          <w:szCs w:val="22"/>
        </w:rPr>
        <w:t>”</w:t>
      </w:r>
    </w:p>
    <w:p w:rsidR="004B064E" w:rsidRPr="00E06E7E" w:rsidRDefault="004B064E" w:rsidP="0070608C">
      <w:pPr>
        <w:autoSpaceDE w:val="0"/>
        <w:autoSpaceDN w:val="0"/>
        <w:adjustRightInd w:val="0"/>
        <w:ind w:left="360"/>
        <w:contextualSpacing/>
        <w:jc w:val="both"/>
        <w:rPr>
          <w:rFonts w:eastAsiaTheme="minorHAnsi"/>
          <w:sz w:val="22"/>
          <w:szCs w:val="22"/>
        </w:rPr>
      </w:pPr>
    </w:p>
    <w:p w:rsidR="004B064E" w:rsidRPr="00E06E7E" w:rsidRDefault="00E06E7E" w:rsidP="002767FA">
      <w:pPr>
        <w:autoSpaceDE w:val="0"/>
        <w:autoSpaceDN w:val="0"/>
        <w:adjustRightInd w:val="0"/>
        <w:contextualSpacing/>
        <w:jc w:val="both"/>
        <w:rPr>
          <w:rFonts w:eastAsiaTheme="minorHAnsi"/>
          <w:sz w:val="22"/>
          <w:szCs w:val="22"/>
        </w:rPr>
      </w:pPr>
      <w:r>
        <w:rPr>
          <w:rFonts w:eastAsiaTheme="minorHAnsi"/>
          <w:sz w:val="22"/>
          <w:szCs w:val="22"/>
        </w:rPr>
        <w:t>“</w:t>
      </w:r>
      <w:r w:rsidR="004B064E" w:rsidRPr="00E06E7E">
        <w:rPr>
          <w:rFonts w:eastAsiaTheme="minorHAnsi"/>
          <w:sz w:val="22"/>
          <w:szCs w:val="22"/>
        </w:rPr>
        <w:t xml:space="preserve">The DCI facilities in Belfast and Skowhegan exceed the Company </w:t>
      </w:r>
      <w:r w:rsidR="00177113" w:rsidRPr="00E06E7E">
        <w:rPr>
          <w:rFonts w:eastAsiaTheme="minorHAnsi"/>
          <w:sz w:val="22"/>
          <w:szCs w:val="22"/>
        </w:rPr>
        <w:t xml:space="preserve">goal for patient satisfaction. </w:t>
      </w:r>
      <w:r w:rsidR="004B064E" w:rsidRPr="00E06E7E">
        <w:rPr>
          <w:rFonts w:eastAsiaTheme="minorHAnsi"/>
          <w:sz w:val="22"/>
          <w:szCs w:val="22"/>
        </w:rPr>
        <w:t>The most recent satisfaction surveys indicate that 84% and 85% of the patient respondents rated the clinics as very g</w:t>
      </w:r>
      <w:r w:rsidR="00177113" w:rsidRPr="00E06E7E">
        <w:rPr>
          <w:rFonts w:eastAsiaTheme="minorHAnsi"/>
          <w:sz w:val="22"/>
          <w:szCs w:val="22"/>
        </w:rPr>
        <w:t>ood or excellent respectively.</w:t>
      </w:r>
      <w:r>
        <w:rPr>
          <w:rFonts w:eastAsiaTheme="minorHAnsi"/>
          <w:sz w:val="22"/>
          <w:szCs w:val="22"/>
        </w:rPr>
        <w:t>”</w:t>
      </w:r>
    </w:p>
    <w:p w:rsidR="004B064E" w:rsidRPr="00E06E7E" w:rsidRDefault="001F7401" w:rsidP="002767FA">
      <w:pPr>
        <w:spacing w:before="100" w:beforeAutospacing="1" w:after="100" w:afterAutospacing="1"/>
        <w:jc w:val="both"/>
        <w:rPr>
          <w:sz w:val="22"/>
          <w:szCs w:val="22"/>
        </w:rPr>
      </w:pPr>
      <w:r>
        <w:rPr>
          <w:sz w:val="22"/>
          <w:szCs w:val="22"/>
        </w:rPr>
        <w:t>“</w:t>
      </w:r>
      <w:r w:rsidR="004B064E" w:rsidRPr="00E06E7E">
        <w:rPr>
          <w:sz w:val="22"/>
          <w:szCs w:val="22"/>
        </w:rPr>
        <w:t xml:space="preserve">Patient functional status is assessed using the Short Form 36 (SF-36) Health Survey. The questionnaire contains 36 items that measure eight dimensions: physical functioning, role limitations due to physical problems; social functioning, bodily pain, </w:t>
      </w:r>
      <w:proofErr w:type="gramStart"/>
      <w:r w:rsidR="004B064E" w:rsidRPr="00E06E7E">
        <w:rPr>
          <w:sz w:val="22"/>
          <w:szCs w:val="22"/>
        </w:rPr>
        <w:t>general</w:t>
      </w:r>
      <w:proofErr w:type="gramEnd"/>
      <w:r w:rsidR="004B064E" w:rsidRPr="00E06E7E">
        <w:rPr>
          <w:sz w:val="22"/>
          <w:szCs w:val="22"/>
        </w:rPr>
        <w:t xml:space="preserve"> mental health, role limitations due to emotional problems, vitality, and general health perceptions. Results are analyzed and reported quarterly.</w:t>
      </w:r>
      <w:bookmarkStart w:id="6" w:name="patient"/>
      <w:bookmarkEnd w:id="6"/>
      <w:r>
        <w:rPr>
          <w:sz w:val="22"/>
          <w:szCs w:val="22"/>
        </w:rPr>
        <w:t>”</w:t>
      </w:r>
    </w:p>
    <w:p w:rsidR="004B064E" w:rsidRPr="001F7401" w:rsidRDefault="001F7401" w:rsidP="002767FA">
      <w:pPr>
        <w:spacing w:before="100" w:beforeAutospacing="1" w:after="100" w:afterAutospacing="1"/>
        <w:jc w:val="both"/>
        <w:rPr>
          <w:sz w:val="22"/>
          <w:szCs w:val="22"/>
        </w:rPr>
      </w:pPr>
      <w:r w:rsidRPr="001F7401">
        <w:rPr>
          <w:sz w:val="22"/>
          <w:szCs w:val="22"/>
        </w:rPr>
        <w:t>“</w:t>
      </w:r>
      <w:r w:rsidR="004B064E" w:rsidRPr="001F7401">
        <w:rPr>
          <w:sz w:val="22"/>
          <w:szCs w:val="22"/>
        </w:rPr>
        <w:t>The DCI Clinic Report Card patient satisfaction survey is a tool designed to assess the patient's perception about the care they receive, and to evaluate the interpersonal aspects of patient care. The questionnaire addresses the following issues: patient autonomy; patient education; staff concern, support, and professionalism; scheduling; and overall quality of care and services.</w:t>
      </w:r>
      <w:r w:rsidRPr="001F7401">
        <w:rPr>
          <w:sz w:val="22"/>
          <w:szCs w:val="22"/>
        </w:rPr>
        <w:t>”</w:t>
      </w:r>
    </w:p>
    <w:p w:rsidR="004B064E" w:rsidRPr="001F7401" w:rsidRDefault="001F7401" w:rsidP="002767FA">
      <w:pPr>
        <w:autoSpaceDE w:val="0"/>
        <w:autoSpaceDN w:val="0"/>
        <w:adjustRightInd w:val="0"/>
        <w:jc w:val="both"/>
        <w:rPr>
          <w:rFonts w:eastAsiaTheme="minorHAnsi"/>
          <w:sz w:val="22"/>
          <w:szCs w:val="22"/>
        </w:rPr>
      </w:pPr>
      <w:r>
        <w:rPr>
          <w:rFonts w:eastAsiaTheme="minorHAnsi"/>
          <w:sz w:val="22"/>
          <w:szCs w:val="22"/>
        </w:rPr>
        <w:t>“</w:t>
      </w:r>
      <w:r w:rsidR="004B064E" w:rsidRPr="001F7401">
        <w:rPr>
          <w:rFonts w:eastAsiaTheme="minorHAnsi"/>
          <w:sz w:val="22"/>
          <w:szCs w:val="22"/>
        </w:rPr>
        <w:t>MGMC and DCI have active chronic kidney disease (CKD) education a</w:t>
      </w:r>
      <w:r w:rsidR="00177113" w:rsidRPr="001F7401">
        <w:rPr>
          <w:rFonts w:eastAsiaTheme="minorHAnsi"/>
          <w:sz w:val="22"/>
          <w:szCs w:val="22"/>
        </w:rPr>
        <w:t xml:space="preserve">nd care coordination programs. </w:t>
      </w:r>
      <w:r w:rsidR="004B064E" w:rsidRPr="001F7401">
        <w:rPr>
          <w:rFonts w:eastAsiaTheme="minorHAnsi"/>
          <w:sz w:val="22"/>
          <w:szCs w:val="22"/>
        </w:rPr>
        <w:t xml:space="preserve">DCI is committed to continuing and growing the </w:t>
      </w:r>
      <w:r w:rsidR="00177113" w:rsidRPr="001F7401">
        <w:rPr>
          <w:rFonts w:eastAsiaTheme="minorHAnsi"/>
          <w:sz w:val="22"/>
          <w:szCs w:val="22"/>
        </w:rPr>
        <w:t xml:space="preserve">program at MGMC in Waterville. </w:t>
      </w:r>
      <w:r w:rsidR="004B064E" w:rsidRPr="001F7401">
        <w:rPr>
          <w:rFonts w:eastAsiaTheme="minorHAnsi"/>
          <w:sz w:val="22"/>
          <w:szCs w:val="22"/>
        </w:rPr>
        <w:t xml:space="preserve">Within DCI CKD education means: 1) Three (3) times more patients begin dialysis treatments with a fistula in place (For most patients the preferred type of access. Patients with a catheter are more prone to infections.); 2) Almost six (6) times more patients receive their first treatment via their fistula; 3) As many </w:t>
      </w:r>
      <w:r w:rsidR="00177113" w:rsidRPr="001F7401">
        <w:rPr>
          <w:rFonts w:eastAsiaTheme="minorHAnsi"/>
          <w:sz w:val="22"/>
          <w:szCs w:val="22"/>
        </w:rPr>
        <w:t xml:space="preserve">as ten (10) times more patients </w:t>
      </w:r>
      <w:r w:rsidR="004B064E" w:rsidRPr="001F7401">
        <w:rPr>
          <w:rFonts w:eastAsiaTheme="minorHAnsi"/>
          <w:sz w:val="22"/>
          <w:szCs w:val="22"/>
        </w:rPr>
        <w:t>choose a home based modal</w:t>
      </w:r>
      <w:r w:rsidR="00177113" w:rsidRPr="001F7401">
        <w:rPr>
          <w:rFonts w:eastAsiaTheme="minorHAnsi"/>
          <w:sz w:val="22"/>
          <w:szCs w:val="22"/>
        </w:rPr>
        <w:t xml:space="preserve">ity / therapy. </w:t>
      </w:r>
      <w:r w:rsidR="004B064E" w:rsidRPr="001F7401">
        <w:rPr>
          <w:rFonts w:eastAsiaTheme="minorHAnsi"/>
          <w:sz w:val="22"/>
          <w:szCs w:val="22"/>
        </w:rPr>
        <w:t>Care coordination focuses on patients who are at high risk of hosp</w:t>
      </w:r>
      <w:r w:rsidR="00177113" w:rsidRPr="001F7401">
        <w:rPr>
          <w:rFonts w:eastAsiaTheme="minorHAnsi"/>
          <w:sz w:val="22"/>
          <w:szCs w:val="22"/>
        </w:rPr>
        <w:t xml:space="preserve">ital admission or readmission. </w:t>
      </w:r>
      <w:r w:rsidR="004B064E" w:rsidRPr="001F7401">
        <w:rPr>
          <w:rFonts w:eastAsiaTheme="minorHAnsi"/>
          <w:sz w:val="22"/>
          <w:szCs w:val="22"/>
        </w:rPr>
        <w:t>Patients most likely to be admitted / readmitted to a hospital are: 1) Patients with a catheter; 2) Patients with a dual diagnosis of congestive heart failure (CHF) and Stage V</w:t>
      </w:r>
      <w:r w:rsidR="00177113" w:rsidRPr="001F7401">
        <w:rPr>
          <w:rFonts w:eastAsiaTheme="minorHAnsi"/>
          <w:sz w:val="22"/>
          <w:szCs w:val="22"/>
        </w:rPr>
        <w:t xml:space="preserve"> chronic kidney disease (CKD); </w:t>
      </w:r>
      <w:r w:rsidR="004B064E" w:rsidRPr="001F7401">
        <w:rPr>
          <w:rFonts w:eastAsiaTheme="minorHAnsi"/>
          <w:sz w:val="22"/>
          <w:szCs w:val="22"/>
        </w:rPr>
        <w:t>Patients within their initial 120 days</w:t>
      </w:r>
      <w:r w:rsidR="00177113" w:rsidRPr="001F7401">
        <w:rPr>
          <w:rFonts w:eastAsiaTheme="minorHAnsi"/>
          <w:sz w:val="22"/>
          <w:szCs w:val="22"/>
        </w:rPr>
        <w:t xml:space="preserve"> since initiation of dialysis.</w:t>
      </w:r>
      <w:r>
        <w:rPr>
          <w:rFonts w:eastAsiaTheme="minorHAnsi"/>
          <w:sz w:val="22"/>
          <w:szCs w:val="22"/>
        </w:rPr>
        <w:t>”</w:t>
      </w:r>
    </w:p>
    <w:p w:rsidR="004B064E" w:rsidRPr="001F7401" w:rsidRDefault="004B064E" w:rsidP="0070608C">
      <w:pPr>
        <w:autoSpaceDE w:val="0"/>
        <w:autoSpaceDN w:val="0"/>
        <w:adjustRightInd w:val="0"/>
        <w:ind w:left="360"/>
        <w:contextualSpacing/>
        <w:jc w:val="both"/>
        <w:rPr>
          <w:rFonts w:eastAsiaTheme="minorHAnsi"/>
          <w:sz w:val="22"/>
          <w:szCs w:val="22"/>
        </w:rPr>
      </w:pPr>
    </w:p>
    <w:p w:rsidR="001F7401" w:rsidRDefault="001F7401" w:rsidP="0070608C">
      <w:pPr>
        <w:autoSpaceDE w:val="0"/>
        <w:autoSpaceDN w:val="0"/>
        <w:adjustRightInd w:val="0"/>
        <w:ind w:left="360"/>
        <w:contextualSpacing/>
        <w:jc w:val="both"/>
        <w:rPr>
          <w:rFonts w:eastAsiaTheme="minorHAnsi"/>
          <w:sz w:val="22"/>
          <w:szCs w:val="22"/>
        </w:rPr>
        <w:sectPr w:rsidR="001F7401" w:rsidSect="0070608C">
          <w:headerReference w:type="default" r:id="rId16"/>
          <w:pgSz w:w="12240" w:h="15840"/>
          <w:pgMar w:top="1440" w:right="1440" w:bottom="1440" w:left="1440" w:header="720" w:footer="720" w:gutter="0"/>
          <w:cols w:space="720"/>
          <w:docGrid w:linePitch="360"/>
        </w:sectPr>
      </w:pPr>
    </w:p>
    <w:p w:rsidR="004B064E" w:rsidRPr="001F7401" w:rsidRDefault="001F7401" w:rsidP="002767FA">
      <w:pPr>
        <w:autoSpaceDE w:val="0"/>
        <w:autoSpaceDN w:val="0"/>
        <w:adjustRightInd w:val="0"/>
        <w:contextualSpacing/>
        <w:jc w:val="both"/>
        <w:rPr>
          <w:rFonts w:eastAsiaTheme="minorHAnsi"/>
          <w:sz w:val="22"/>
          <w:szCs w:val="22"/>
        </w:rPr>
      </w:pPr>
      <w:r w:rsidRPr="001F7401">
        <w:rPr>
          <w:rFonts w:eastAsiaTheme="minorHAnsi"/>
          <w:sz w:val="22"/>
          <w:szCs w:val="22"/>
        </w:rPr>
        <w:t>“</w:t>
      </w:r>
      <w:r w:rsidR="004B064E" w:rsidRPr="001F7401">
        <w:rPr>
          <w:rFonts w:eastAsiaTheme="minorHAnsi"/>
          <w:sz w:val="22"/>
          <w:szCs w:val="22"/>
        </w:rPr>
        <w:t>Each month a clinical Report Card is c</w:t>
      </w:r>
      <w:r w:rsidR="00177113" w:rsidRPr="001F7401">
        <w:rPr>
          <w:rFonts w:eastAsiaTheme="minorHAnsi"/>
          <w:sz w:val="22"/>
          <w:szCs w:val="22"/>
        </w:rPr>
        <w:t xml:space="preserve">reated for every DCI facility. </w:t>
      </w:r>
      <w:r w:rsidR="004B064E" w:rsidRPr="001F7401">
        <w:rPr>
          <w:rFonts w:eastAsiaTheme="minorHAnsi"/>
          <w:sz w:val="22"/>
          <w:szCs w:val="22"/>
        </w:rPr>
        <w:t xml:space="preserve">The Report Card tracks 12 key clinical indicators which are trended and </w:t>
      </w:r>
      <w:r w:rsidRPr="001F7401">
        <w:rPr>
          <w:rFonts w:eastAsiaTheme="minorHAnsi"/>
          <w:sz w:val="22"/>
          <w:szCs w:val="22"/>
        </w:rPr>
        <w:t xml:space="preserve">benchmarked against DCI goals. </w:t>
      </w:r>
      <w:r w:rsidR="004B064E" w:rsidRPr="001F7401">
        <w:rPr>
          <w:rFonts w:eastAsiaTheme="minorHAnsi"/>
          <w:sz w:val="22"/>
          <w:szCs w:val="22"/>
        </w:rPr>
        <w:t>Report Card data is reviewed by each clinic in mo</w:t>
      </w:r>
      <w:r w:rsidR="00177113" w:rsidRPr="001F7401">
        <w:rPr>
          <w:rFonts w:eastAsiaTheme="minorHAnsi"/>
          <w:sz w:val="22"/>
          <w:szCs w:val="22"/>
        </w:rPr>
        <w:t xml:space="preserve">nthly quality meetings (QAPI). </w:t>
      </w:r>
      <w:r w:rsidR="004B064E" w:rsidRPr="001F7401">
        <w:rPr>
          <w:rFonts w:eastAsiaTheme="minorHAnsi"/>
          <w:sz w:val="22"/>
          <w:szCs w:val="22"/>
        </w:rPr>
        <w:t xml:space="preserve">In addition, </w:t>
      </w:r>
      <w:proofErr w:type="gramStart"/>
      <w:r w:rsidR="004B064E" w:rsidRPr="001F7401">
        <w:rPr>
          <w:rFonts w:eastAsiaTheme="minorHAnsi"/>
          <w:sz w:val="22"/>
          <w:szCs w:val="22"/>
        </w:rPr>
        <w:t>Corporate</w:t>
      </w:r>
      <w:proofErr w:type="gramEnd"/>
      <w:r w:rsidR="004B064E" w:rsidRPr="001F7401">
        <w:rPr>
          <w:rFonts w:eastAsiaTheme="minorHAnsi"/>
          <w:sz w:val="22"/>
          <w:szCs w:val="22"/>
        </w:rPr>
        <w:t xml:space="preserve"> level support is provided by a team of registered nurses with extensive experi</w:t>
      </w:r>
      <w:r>
        <w:rPr>
          <w:rFonts w:eastAsiaTheme="minorHAnsi"/>
          <w:sz w:val="22"/>
          <w:szCs w:val="22"/>
        </w:rPr>
        <w:t>ence in chronic kidney disease.”</w:t>
      </w:r>
    </w:p>
    <w:p w:rsidR="004B064E" w:rsidRPr="001F7401" w:rsidRDefault="004B064E" w:rsidP="0070608C">
      <w:pPr>
        <w:autoSpaceDE w:val="0"/>
        <w:autoSpaceDN w:val="0"/>
        <w:adjustRightInd w:val="0"/>
        <w:ind w:left="360"/>
        <w:contextualSpacing/>
        <w:jc w:val="both"/>
        <w:rPr>
          <w:rFonts w:eastAsiaTheme="minorHAnsi"/>
          <w:sz w:val="22"/>
          <w:szCs w:val="22"/>
        </w:rPr>
      </w:pPr>
    </w:p>
    <w:p w:rsidR="004B064E" w:rsidRPr="001F7401" w:rsidRDefault="001F7401" w:rsidP="002767FA">
      <w:pPr>
        <w:autoSpaceDE w:val="0"/>
        <w:autoSpaceDN w:val="0"/>
        <w:adjustRightInd w:val="0"/>
        <w:jc w:val="both"/>
        <w:rPr>
          <w:rFonts w:eastAsiaTheme="minorHAnsi"/>
          <w:sz w:val="22"/>
          <w:szCs w:val="22"/>
        </w:rPr>
      </w:pPr>
      <w:r>
        <w:rPr>
          <w:rFonts w:eastAsiaTheme="minorHAnsi"/>
          <w:sz w:val="22"/>
          <w:szCs w:val="22"/>
        </w:rPr>
        <w:t>“</w:t>
      </w:r>
      <w:r w:rsidR="004B064E" w:rsidRPr="001F7401">
        <w:rPr>
          <w:rFonts w:eastAsiaTheme="minorHAnsi"/>
          <w:sz w:val="22"/>
          <w:szCs w:val="22"/>
        </w:rPr>
        <w:t>The DCI clinic will serve persons with chronic kidney disease who reside i</w:t>
      </w:r>
      <w:r w:rsidR="00177113" w:rsidRPr="001F7401">
        <w:rPr>
          <w:rFonts w:eastAsiaTheme="minorHAnsi"/>
          <w:sz w:val="22"/>
          <w:szCs w:val="22"/>
        </w:rPr>
        <w:t xml:space="preserve">n the greater Waterville area. </w:t>
      </w:r>
      <w:r w:rsidR="004B064E" w:rsidRPr="001F7401">
        <w:rPr>
          <w:rFonts w:eastAsiaTheme="minorHAnsi"/>
          <w:sz w:val="22"/>
          <w:szCs w:val="22"/>
        </w:rPr>
        <w:t>Quality dialysis care will be provided, without discrimination, to all patients.</w:t>
      </w:r>
      <w:r>
        <w:rPr>
          <w:rFonts w:eastAsiaTheme="minorHAnsi"/>
          <w:sz w:val="22"/>
          <w:szCs w:val="22"/>
        </w:rPr>
        <w:t>”</w:t>
      </w:r>
    </w:p>
    <w:p w:rsidR="004B064E" w:rsidRPr="001F7401" w:rsidRDefault="004B064E" w:rsidP="0070608C">
      <w:pPr>
        <w:autoSpaceDE w:val="0"/>
        <w:autoSpaceDN w:val="0"/>
        <w:adjustRightInd w:val="0"/>
        <w:ind w:left="360"/>
        <w:contextualSpacing/>
        <w:jc w:val="both"/>
        <w:rPr>
          <w:rFonts w:eastAsiaTheme="minorHAnsi"/>
          <w:sz w:val="22"/>
          <w:szCs w:val="22"/>
        </w:rPr>
      </w:pPr>
    </w:p>
    <w:p w:rsidR="004B064E" w:rsidRPr="001F7401" w:rsidRDefault="001F7401" w:rsidP="002767FA">
      <w:pPr>
        <w:autoSpaceDE w:val="0"/>
        <w:autoSpaceDN w:val="0"/>
        <w:adjustRightInd w:val="0"/>
        <w:contextualSpacing/>
        <w:jc w:val="both"/>
        <w:rPr>
          <w:rFonts w:eastAsiaTheme="minorHAnsi"/>
          <w:sz w:val="22"/>
          <w:szCs w:val="22"/>
        </w:rPr>
      </w:pPr>
      <w:r>
        <w:rPr>
          <w:rFonts w:eastAsiaTheme="minorHAnsi"/>
          <w:sz w:val="22"/>
          <w:szCs w:val="22"/>
        </w:rPr>
        <w:t>“</w:t>
      </w:r>
      <w:r w:rsidR="004B064E" w:rsidRPr="001F7401">
        <w:rPr>
          <w:rFonts w:eastAsiaTheme="minorHAnsi"/>
          <w:sz w:val="22"/>
          <w:szCs w:val="22"/>
        </w:rPr>
        <w:t>MGMC has a reputation for quality patient out</w:t>
      </w:r>
      <w:r>
        <w:rPr>
          <w:rFonts w:eastAsiaTheme="minorHAnsi"/>
          <w:sz w:val="22"/>
          <w:szCs w:val="22"/>
        </w:rPr>
        <w:t xml:space="preserve">comes in its dialysis program. </w:t>
      </w:r>
      <w:r w:rsidR="004B064E" w:rsidRPr="001F7401">
        <w:rPr>
          <w:rFonts w:eastAsiaTheme="minorHAnsi"/>
          <w:sz w:val="22"/>
          <w:szCs w:val="22"/>
        </w:rPr>
        <w:t xml:space="preserve">DCI operates 210 dialysis clinics, a dedicated renal laboratory, a renal pharmacy, three organ procurement organizations (OPOs), hospital services in more than 100 locations and </w:t>
      </w:r>
      <w:r>
        <w:rPr>
          <w:rFonts w:eastAsiaTheme="minorHAnsi"/>
          <w:sz w:val="22"/>
          <w:szCs w:val="22"/>
        </w:rPr>
        <w:t>an office of Clinical Research.</w:t>
      </w:r>
      <w:r w:rsidR="004B064E" w:rsidRPr="001F7401">
        <w:rPr>
          <w:rFonts w:eastAsiaTheme="minorHAnsi"/>
          <w:sz w:val="22"/>
          <w:szCs w:val="22"/>
        </w:rPr>
        <w:t xml:space="preserve"> Collectively, the resources and the commitment exist to produce patient outcomes if the highest quality.</w:t>
      </w:r>
      <w:r>
        <w:rPr>
          <w:rFonts w:eastAsiaTheme="minorHAnsi"/>
          <w:sz w:val="22"/>
          <w:szCs w:val="22"/>
        </w:rPr>
        <w:t>”</w:t>
      </w:r>
    </w:p>
    <w:p w:rsidR="004B064E" w:rsidRPr="001F7401" w:rsidRDefault="004B064E" w:rsidP="0070608C">
      <w:pPr>
        <w:autoSpaceDE w:val="0"/>
        <w:autoSpaceDN w:val="0"/>
        <w:adjustRightInd w:val="0"/>
        <w:spacing w:after="200" w:line="276" w:lineRule="auto"/>
        <w:ind w:left="360"/>
        <w:contextualSpacing/>
        <w:jc w:val="both"/>
        <w:rPr>
          <w:rFonts w:eastAsiaTheme="minorHAnsi"/>
          <w:sz w:val="22"/>
          <w:szCs w:val="22"/>
        </w:rPr>
      </w:pPr>
    </w:p>
    <w:p w:rsidR="004B064E" w:rsidRPr="001F7401" w:rsidRDefault="001F7401" w:rsidP="002767FA">
      <w:pPr>
        <w:autoSpaceDE w:val="0"/>
        <w:autoSpaceDN w:val="0"/>
        <w:adjustRightInd w:val="0"/>
        <w:spacing w:after="200"/>
        <w:contextualSpacing/>
        <w:jc w:val="both"/>
        <w:rPr>
          <w:rFonts w:eastAsiaTheme="minorHAnsi"/>
          <w:sz w:val="22"/>
          <w:szCs w:val="22"/>
        </w:rPr>
      </w:pPr>
      <w:r>
        <w:rPr>
          <w:rFonts w:eastAsiaTheme="minorHAnsi"/>
          <w:sz w:val="22"/>
          <w:szCs w:val="22"/>
        </w:rPr>
        <w:t>“</w:t>
      </w:r>
      <w:r w:rsidR="004B064E" w:rsidRPr="001F7401">
        <w:rPr>
          <w:rFonts w:eastAsiaTheme="minorHAnsi"/>
          <w:sz w:val="22"/>
          <w:szCs w:val="22"/>
        </w:rPr>
        <w:t>The most recent (2012 – which used 2010 data) USRDS (United States Renal Data System) survey confirms the commitment to patient care which has been part of the</w:t>
      </w:r>
      <w:r>
        <w:rPr>
          <w:rFonts w:eastAsiaTheme="minorHAnsi"/>
          <w:sz w:val="22"/>
          <w:szCs w:val="22"/>
        </w:rPr>
        <w:t xml:space="preserve"> Company’s mission since 1971. </w:t>
      </w:r>
      <w:r w:rsidR="004B064E" w:rsidRPr="001F7401">
        <w:rPr>
          <w:rFonts w:eastAsiaTheme="minorHAnsi"/>
          <w:sz w:val="22"/>
          <w:szCs w:val="22"/>
        </w:rPr>
        <w:t>Below is a summary of the findings.</w:t>
      </w:r>
      <w:r>
        <w:rPr>
          <w:rFonts w:eastAsiaTheme="minorHAnsi"/>
          <w:sz w:val="22"/>
          <w:szCs w:val="22"/>
        </w:rPr>
        <w:t>”</w:t>
      </w:r>
    </w:p>
    <w:p w:rsidR="004B064E" w:rsidRPr="001F7401" w:rsidRDefault="004B064E" w:rsidP="0070608C">
      <w:pPr>
        <w:autoSpaceDE w:val="0"/>
        <w:autoSpaceDN w:val="0"/>
        <w:adjustRightInd w:val="0"/>
        <w:spacing w:after="200"/>
        <w:ind w:left="360"/>
        <w:contextualSpacing/>
        <w:jc w:val="both"/>
        <w:rPr>
          <w:rFonts w:eastAsiaTheme="minorHAnsi"/>
          <w:sz w:val="22"/>
          <w:szCs w:val="22"/>
        </w:rPr>
      </w:pPr>
    </w:p>
    <w:p w:rsidR="004B064E" w:rsidRPr="001F7401" w:rsidRDefault="001F7401" w:rsidP="002767FA">
      <w:pPr>
        <w:autoSpaceDE w:val="0"/>
        <w:autoSpaceDN w:val="0"/>
        <w:adjustRightInd w:val="0"/>
        <w:spacing w:after="200"/>
        <w:contextualSpacing/>
        <w:jc w:val="both"/>
        <w:rPr>
          <w:rFonts w:eastAsiaTheme="minorHAnsi"/>
          <w:sz w:val="22"/>
          <w:szCs w:val="22"/>
        </w:rPr>
      </w:pPr>
      <w:r>
        <w:rPr>
          <w:rFonts w:eastAsiaTheme="minorHAnsi"/>
          <w:sz w:val="22"/>
          <w:szCs w:val="22"/>
        </w:rPr>
        <w:t>“</w:t>
      </w:r>
      <w:r w:rsidR="004B064E" w:rsidRPr="001F7401">
        <w:rPr>
          <w:rFonts w:eastAsiaTheme="minorHAnsi"/>
          <w:sz w:val="22"/>
          <w:szCs w:val="22"/>
        </w:rPr>
        <w:t>DCI continues to have the lowest Standard Hospitalization Ratio (SHR) — in 2010, 10 percent lower than those of the other Large Dialysis Organizations (LDOs).</w:t>
      </w:r>
      <w:r>
        <w:rPr>
          <w:rFonts w:eastAsiaTheme="minorHAnsi"/>
          <w:sz w:val="22"/>
          <w:szCs w:val="22"/>
        </w:rPr>
        <w:t>”</w:t>
      </w:r>
    </w:p>
    <w:p w:rsidR="004B064E" w:rsidRPr="001F7401" w:rsidRDefault="004B064E" w:rsidP="0070608C">
      <w:pPr>
        <w:autoSpaceDE w:val="0"/>
        <w:autoSpaceDN w:val="0"/>
        <w:adjustRightInd w:val="0"/>
        <w:spacing w:after="200"/>
        <w:ind w:left="360"/>
        <w:contextualSpacing/>
        <w:jc w:val="both"/>
        <w:rPr>
          <w:rFonts w:eastAsiaTheme="minorHAnsi"/>
          <w:sz w:val="22"/>
          <w:szCs w:val="22"/>
        </w:rPr>
      </w:pPr>
    </w:p>
    <w:p w:rsidR="004B064E" w:rsidRPr="001F7401" w:rsidRDefault="001F7401" w:rsidP="002767FA">
      <w:pPr>
        <w:autoSpaceDE w:val="0"/>
        <w:autoSpaceDN w:val="0"/>
        <w:adjustRightInd w:val="0"/>
        <w:spacing w:after="200"/>
        <w:contextualSpacing/>
        <w:jc w:val="both"/>
        <w:rPr>
          <w:rFonts w:eastAsiaTheme="minorHAnsi"/>
          <w:bCs/>
          <w:sz w:val="22"/>
          <w:szCs w:val="22"/>
        </w:rPr>
      </w:pPr>
      <w:r>
        <w:rPr>
          <w:rFonts w:eastAsiaTheme="minorHAnsi"/>
          <w:sz w:val="22"/>
          <w:szCs w:val="22"/>
        </w:rPr>
        <w:t>“</w:t>
      </w:r>
      <w:r w:rsidR="004B064E" w:rsidRPr="001F7401">
        <w:rPr>
          <w:rFonts w:eastAsiaTheme="minorHAnsi"/>
          <w:sz w:val="22"/>
          <w:szCs w:val="22"/>
        </w:rPr>
        <w:t>B</w:t>
      </w:r>
      <w:r w:rsidR="004B064E" w:rsidRPr="001F7401">
        <w:rPr>
          <w:rFonts w:eastAsiaTheme="minorHAnsi"/>
          <w:bCs/>
          <w:sz w:val="22"/>
          <w:szCs w:val="22"/>
        </w:rPr>
        <w:t xml:space="preserve">y unit affiliation among the LDOs, DCI continues to have </w:t>
      </w:r>
      <w:r w:rsidR="00177113" w:rsidRPr="001F7401">
        <w:rPr>
          <w:rFonts w:eastAsiaTheme="minorHAnsi"/>
          <w:bCs/>
          <w:sz w:val="22"/>
          <w:szCs w:val="22"/>
        </w:rPr>
        <w:t xml:space="preserve">the lowest ratios for both SHR </w:t>
      </w:r>
      <w:r w:rsidR="004B064E" w:rsidRPr="001F7401">
        <w:rPr>
          <w:rFonts w:eastAsiaTheme="minorHAnsi"/>
          <w:bCs/>
          <w:sz w:val="22"/>
          <w:szCs w:val="22"/>
        </w:rPr>
        <w:t>and Standard Mortality Ratio (SMR).</w:t>
      </w:r>
      <w:r>
        <w:rPr>
          <w:rFonts w:eastAsiaTheme="minorHAnsi"/>
          <w:bCs/>
          <w:sz w:val="22"/>
          <w:szCs w:val="22"/>
        </w:rPr>
        <w:t>”</w:t>
      </w:r>
    </w:p>
    <w:p w:rsidR="004B064E" w:rsidRPr="00177113" w:rsidRDefault="004B064E" w:rsidP="0070608C">
      <w:pPr>
        <w:autoSpaceDE w:val="0"/>
        <w:autoSpaceDN w:val="0"/>
        <w:adjustRightInd w:val="0"/>
        <w:spacing w:after="200"/>
        <w:ind w:left="360"/>
        <w:contextualSpacing/>
        <w:jc w:val="both"/>
        <w:rPr>
          <w:rFonts w:eastAsiaTheme="minorHAnsi"/>
          <w:bCs/>
        </w:rPr>
      </w:pPr>
    </w:p>
    <w:p w:rsidR="004B064E" w:rsidRPr="001F7401" w:rsidRDefault="001F7401" w:rsidP="002767FA">
      <w:pPr>
        <w:autoSpaceDE w:val="0"/>
        <w:autoSpaceDN w:val="0"/>
        <w:adjustRightInd w:val="0"/>
        <w:spacing w:after="200"/>
        <w:contextualSpacing/>
        <w:jc w:val="both"/>
        <w:rPr>
          <w:rFonts w:eastAsiaTheme="minorHAnsi"/>
          <w:bCs/>
          <w:sz w:val="22"/>
          <w:szCs w:val="22"/>
        </w:rPr>
      </w:pPr>
      <w:r>
        <w:rPr>
          <w:rFonts w:eastAsiaTheme="minorHAnsi"/>
          <w:bCs/>
          <w:sz w:val="22"/>
          <w:szCs w:val="22"/>
        </w:rPr>
        <w:t>“</w:t>
      </w:r>
      <w:r w:rsidR="004B064E" w:rsidRPr="001F7401">
        <w:rPr>
          <w:rFonts w:eastAsiaTheme="minorHAnsi"/>
          <w:bCs/>
          <w:sz w:val="22"/>
          <w:szCs w:val="22"/>
        </w:rPr>
        <w:t>Since 2009 DCI has provided dialysis services at the lowest cost to CMS.</w:t>
      </w:r>
      <w:r w:rsidR="00177113" w:rsidRPr="001F7401">
        <w:rPr>
          <w:rFonts w:eastAsiaTheme="minorHAnsi"/>
          <w:bCs/>
          <w:sz w:val="22"/>
          <w:szCs w:val="22"/>
        </w:rPr>
        <w:t xml:space="preserve"> </w:t>
      </w:r>
      <w:r w:rsidR="004B064E" w:rsidRPr="001F7401">
        <w:rPr>
          <w:rFonts w:eastAsiaTheme="minorHAnsi"/>
          <w:sz w:val="22"/>
          <w:szCs w:val="22"/>
        </w:rPr>
        <w:t>Through the Corporate office a Medical Information System (MIS) is used by all DCI facilities.</w:t>
      </w:r>
      <w:r w:rsidR="00177113" w:rsidRPr="001F7401">
        <w:rPr>
          <w:rFonts w:eastAsiaTheme="minorHAnsi"/>
          <w:sz w:val="22"/>
          <w:szCs w:val="22"/>
        </w:rPr>
        <w:t xml:space="preserve"> </w:t>
      </w:r>
      <w:r w:rsidR="004B064E" w:rsidRPr="001F7401">
        <w:rPr>
          <w:rFonts w:eastAsiaTheme="minorHAnsi"/>
          <w:sz w:val="22"/>
          <w:szCs w:val="22"/>
        </w:rPr>
        <w:t>This computer system represents a valuable research tool and also serves to enhance clinical operations. The MIS allows for laboratory, research and patient treatment information to be compiled from the different disciplines to provide a complete picture of the care given to the patient. The MIS also contains programs in urea kinetic modeling, for both hemodialysis and peritoneal therapies, and a nutritional information section to assist dietitians.</w:t>
      </w:r>
      <w:r>
        <w:rPr>
          <w:rFonts w:eastAsiaTheme="minorHAnsi"/>
          <w:sz w:val="22"/>
          <w:szCs w:val="22"/>
        </w:rPr>
        <w:t>”</w:t>
      </w:r>
    </w:p>
    <w:p w:rsidR="004B064E" w:rsidRPr="001F7401" w:rsidRDefault="004B064E" w:rsidP="0070608C">
      <w:pPr>
        <w:autoSpaceDE w:val="0"/>
        <w:autoSpaceDN w:val="0"/>
        <w:adjustRightInd w:val="0"/>
        <w:ind w:left="360"/>
        <w:jc w:val="both"/>
        <w:rPr>
          <w:rFonts w:eastAsiaTheme="minorHAnsi"/>
          <w:sz w:val="22"/>
          <w:szCs w:val="22"/>
        </w:rPr>
      </w:pPr>
    </w:p>
    <w:p w:rsidR="004B064E" w:rsidRPr="001F7401" w:rsidRDefault="001F7401" w:rsidP="002767FA">
      <w:pPr>
        <w:autoSpaceDE w:val="0"/>
        <w:autoSpaceDN w:val="0"/>
        <w:adjustRightInd w:val="0"/>
        <w:jc w:val="both"/>
        <w:rPr>
          <w:rFonts w:eastAsiaTheme="minorHAnsi"/>
          <w:sz w:val="22"/>
          <w:szCs w:val="22"/>
        </w:rPr>
      </w:pPr>
      <w:r>
        <w:rPr>
          <w:rFonts w:eastAsiaTheme="minorHAnsi"/>
          <w:sz w:val="22"/>
          <w:szCs w:val="22"/>
        </w:rPr>
        <w:t>“</w:t>
      </w:r>
      <w:r w:rsidR="004B064E" w:rsidRPr="001F7401">
        <w:rPr>
          <w:rFonts w:eastAsiaTheme="minorHAnsi"/>
          <w:sz w:val="22"/>
          <w:szCs w:val="22"/>
        </w:rPr>
        <w:t>DCI recognizes that a transplant is the best option for many patients. The Company dedicates a significant portion of its resources to furthering the transplantation of kidneys for its patients. To this end, the Corporation operates independent organ procurement agencies in Nashville, Tennessee; Albuquerque, New Mexico; and Sacramento, California.</w:t>
      </w:r>
      <w:r>
        <w:rPr>
          <w:rFonts w:eastAsiaTheme="minorHAnsi"/>
          <w:sz w:val="22"/>
          <w:szCs w:val="22"/>
        </w:rPr>
        <w:t>”</w:t>
      </w:r>
    </w:p>
    <w:p w:rsidR="00177113" w:rsidRDefault="00177113" w:rsidP="0070608C">
      <w:pPr>
        <w:pStyle w:val="Heading2"/>
        <w:jc w:val="both"/>
        <w:rPr>
          <w:rFonts w:ascii="Times New Roman" w:hAnsi="Times New Roman" w:cs="Times New Roman"/>
          <w:b w:val="0"/>
          <w:i w:val="0"/>
        </w:rPr>
        <w:sectPr w:rsidR="00177113" w:rsidSect="0070608C">
          <w:pgSz w:w="12240" w:h="15840"/>
          <w:pgMar w:top="1440" w:right="1440" w:bottom="1440" w:left="1440" w:header="720" w:footer="720" w:gutter="0"/>
          <w:cols w:space="720"/>
          <w:docGrid w:linePitch="360"/>
        </w:sectPr>
      </w:pPr>
    </w:p>
    <w:p w:rsidR="008E41AC" w:rsidRPr="0070608C" w:rsidRDefault="008E41AC" w:rsidP="0070608C">
      <w:pPr>
        <w:pStyle w:val="ListParagraph"/>
        <w:numPr>
          <w:ilvl w:val="0"/>
          <w:numId w:val="19"/>
        </w:numPr>
        <w:tabs>
          <w:tab w:val="left" w:pos="270"/>
        </w:tabs>
        <w:ind w:left="90" w:hanging="90"/>
        <w:jc w:val="both"/>
        <w:rPr>
          <w:b/>
          <w:i/>
        </w:rPr>
      </w:pPr>
      <w:r w:rsidRPr="0070608C">
        <w:rPr>
          <w:b/>
        </w:rPr>
        <w:t xml:space="preserve">CONU Discussion </w:t>
      </w:r>
    </w:p>
    <w:p w:rsidR="00636C1A" w:rsidRDefault="00636C1A" w:rsidP="0070608C">
      <w:pPr>
        <w:jc w:val="both"/>
        <w:rPr>
          <w:b/>
          <w:sz w:val="22"/>
          <w:szCs w:val="22"/>
        </w:rPr>
      </w:pPr>
    </w:p>
    <w:p w:rsidR="008E41AC" w:rsidRPr="00BE6F41" w:rsidRDefault="008E41AC" w:rsidP="0070608C">
      <w:pPr>
        <w:jc w:val="both"/>
        <w:rPr>
          <w:b/>
          <w:u w:val="single"/>
        </w:rPr>
      </w:pPr>
      <w:r w:rsidRPr="00636C1A">
        <w:rPr>
          <w:b/>
        </w:rPr>
        <w:t xml:space="preserve">CON </w:t>
      </w:r>
      <w:r w:rsidR="008C0128" w:rsidRPr="00636C1A">
        <w:rPr>
          <w:b/>
        </w:rPr>
        <w:t>Standard</w:t>
      </w:r>
    </w:p>
    <w:p w:rsidR="00636C1A" w:rsidRDefault="00636C1A" w:rsidP="0070608C">
      <w:pPr>
        <w:jc w:val="both"/>
        <w:rPr>
          <w:b/>
          <w:sz w:val="22"/>
          <w:szCs w:val="22"/>
        </w:rPr>
      </w:pPr>
    </w:p>
    <w:p w:rsidR="008E41AC" w:rsidRPr="001F7401" w:rsidRDefault="008C0128" w:rsidP="0070608C">
      <w:pPr>
        <w:jc w:val="both"/>
        <w:rPr>
          <w:sz w:val="22"/>
          <w:szCs w:val="22"/>
        </w:rPr>
      </w:pPr>
      <w:r w:rsidRPr="001F7401">
        <w:rPr>
          <w:sz w:val="22"/>
          <w:szCs w:val="22"/>
        </w:rPr>
        <w:t>The r</w:t>
      </w:r>
      <w:r w:rsidR="008E41AC" w:rsidRPr="001F7401">
        <w:rPr>
          <w:sz w:val="22"/>
          <w:szCs w:val="22"/>
        </w:rPr>
        <w:t xml:space="preserve">elevant </w:t>
      </w:r>
      <w:r w:rsidRPr="001F7401">
        <w:rPr>
          <w:sz w:val="22"/>
          <w:szCs w:val="22"/>
        </w:rPr>
        <w:t>standard</w:t>
      </w:r>
      <w:r w:rsidR="008E41AC" w:rsidRPr="001F7401">
        <w:rPr>
          <w:sz w:val="22"/>
          <w:szCs w:val="22"/>
        </w:rPr>
        <w:t xml:space="preserve"> for inclusion in this section are specific to the determination there is a public need for the proposed services as demonstrated by certain factors, including, but not limited to: </w:t>
      </w:r>
    </w:p>
    <w:p w:rsidR="008E41AC" w:rsidRPr="001F7401" w:rsidRDefault="008E41AC" w:rsidP="0070608C">
      <w:pPr>
        <w:jc w:val="both"/>
        <w:rPr>
          <w:sz w:val="22"/>
          <w:szCs w:val="22"/>
        </w:rPr>
      </w:pPr>
    </w:p>
    <w:p w:rsidR="008E41AC" w:rsidRPr="001F7401" w:rsidRDefault="008E41AC" w:rsidP="002767FA">
      <w:pPr>
        <w:numPr>
          <w:ilvl w:val="0"/>
          <w:numId w:val="2"/>
        </w:numPr>
        <w:tabs>
          <w:tab w:val="clear" w:pos="1440"/>
          <w:tab w:val="num" w:pos="900"/>
        </w:tabs>
        <w:ind w:left="900"/>
        <w:rPr>
          <w:sz w:val="22"/>
          <w:szCs w:val="22"/>
        </w:rPr>
      </w:pPr>
      <w:r w:rsidRPr="001F7401">
        <w:rPr>
          <w:sz w:val="22"/>
          <w:szCs w:val="22"/>
        </w:rPr>
        <w:t>Whether, and the extent to which, the project will substantially address specific health problems as measured by health needs in the area to be served by the project;</w:t>
      </w:r>
      <w:r w:rsidRPr="001F7401">
        <w:rPr>
          <w:sz w:val="22"/>
          <w:szCs w:val="22"/>
        </w:rPr>
        <w:br/>
      </w:r>
    </w:p>
    <w:p w:rsidR="008E41AC" w:rsidRPr="001F7401" w:rsidRDefault="008E41AC" w:rsidP="002767FA">
      <w:pPr>
        <w:numPr>
          <w:ilvl w:val="0"/>
          <w:numId w:val="2"/>
        </w:numPr>
        <w:tabs>
          <w:tab w:val="clear" w:pos="1440"/>
          <w:tab w:val="num" w:pos="900"/>
        </w:tabs>
        <w:ind w:left="900"/>
        <w:rPr>
          <w:sz w:val="22"/>
          <w:szCs w:val="22"/>
        </w:rPr>
      </w:pPr>
      <w:r w:rsidRPr="001F7401">
        <w:rPr>
          <w:sz w:val="22"/>
          <w:szCs w:val="22"/>
        </w:rPr>
        <w:t>Whether the project will have a positive impact on the health status indicators of the population to be served;</w:t>
      </w:r>
      <w:r w:rsidRPr="001F7401">
        <w:rPr>
          <w:sz w:val="22"/>
          <w:szCs w:val="22"/>
        </w:rPr>
        <w:br/>
      </w:r>
    </w:p>
    <w:p w:rsidR="008E41AC" w:rsidRPr="001F7401" w:rsidRDefault="008E41AC" w:rsidP="002767FA">
      <w:pPr>
        <w:numPr>
          <w:ilvl w:val="0"/>
          <w:numId w:val="2"/>
        </w:numPr>
        <w:tabs>
          <w:tab w:val="clear" w:pos="1440"/>
        </w:tabs>
        <w:ind w:left="900"/>
        <w:rPr>
          <w:b/>
          <w:sz w:val="22"/>
          <w:szCs w:val="22"/>
        </w:rPr>
      </w:pPr>
      <w:r w:rsidRPr="001F7401">
        <w:rPr>
          <w:sz w:val="22"/>
          <w:szCs w:val="22"/>
        </w:rPr>
        <w:t xml:space="preserve">Whether the services affected by the project will be accessible to all residents of the area proposed to be served; and </w:t>
      </w:r>
      <w:r w:rsidRPr="001F7401">
        <w:rPr>
          <w:sz w:val="22"/>
          <w:szCs w:val="22"/>
        </w:rPr>
        <w:br/>
      </w:r>
    </w:p>
    <w:p w:rsidR="008E41AC" w:rsidRPr="001F7401" w:rsidRDefault="008E41AC" w:rsidP="002767FA">
      <w:pPr>
        <w:numPr>
          <w:ilvl w:val="0"/>
          <w:numId w:val="2"/>
        </w:numPr>
        <w:tabs>
          <w:tab w:val="clear" w:pos="1440"/>
        </w:tabs>
        <w:ind w:left="900"/>
        <w:rPr>
          <w:b/>
          <w:sz w:val="22"/>
          <w:szCs w:val="22"/>
        </w:rPr>
      </w:pPr>
      <w:r w:rsidRPr="001F7401">
        <w:rPr>
          <w:sz w:val="22"/>
          <w:szCs w:val="22"/>
        </w:rPr>
        <w:t>Whether the project will provide demonstrable improvements in quality and outcome measures applicable to the se</w:t>
      </w:r>
      <w:r w:rsidR="00177113" w:rsidRPr="001F7401">
        <w:rPr>
          <w:sz w:val="22"/>
          <w:szCs w:val="22"/>
        </w:rPr>
        <w:t>rvices proposed in the project.</w:t>
      </w:r>
    </w:p>
    <w:p w:rsidR="001F7401" w:rsidRPr="00BE6F41" w:rsidRDefault="001F7401" w:rsidP="0070608C">
      <w:pPr>
        <w:jc w:val="both"/>
        <w:rPr>
          <w:b/>
        </w:rPr>
      </w:pPr>
    </w:p>
    <w:p w:rsidR="008E41AC" w:rsidRPr="00675036" w:rsidRDefault="000A06C5" w:rsidP="0070608C">
      <w:pPr>
        <w:jc w:val="both"/>
        <w:rPr>
          <w:b/>
        </w:rPr>
      </w:pPr>
      <w:r w:rsidRPr="00675036">
        <w:rPr>
          <w:b/>
        </w:rPr>
        <w:t xml:space="preserve">CON </w:t>
      </w:r>
      <w:r w:rsidR="008E41AC" w:rsidRPr="00675036">
        <w:rPr>
          <w:b/>
        </w:rPr>
        <w:t>Analysis</w:t>
      </w:r>
    </w:p>
    <w:p w:rsidR="001F7401" w:rsidRPr="001F7401" w:rsidRDefault="001F7401" w:rsidP="0070608C">
      <w:pPr>
        <w:jc w:val="both"/>
        <w:rPr>
          <w:b/>
        </w:rPr>
      </w:pPr>
    </w:p>
    <w:p w:rsidR="0050666A" w:rsidRPr="001F7401" w:rsidRDefault="00DF7858" w:rsidP="0070608C">
      <w:pPr>
        <w:jc w:val="both"/>
        <w:rPr>
          <w:sz w:val="22"/>
          <w:szCs w:val="22"/>
        </w:rPr>
      </w:pPr>
      <w:r w:rsidRPr="001F7401">
        <w:rPr>
          <w:sz w:val="22"/>
          <w:szCs w:val="22"/>
        </w:rPr>
        <w:t xml:space="preserve">The applicant has demonstrated that there is an ongoing need for the services by providing utilization data for the Skowhegan, Belfast and Waterville locations. </w:t>
      </w:r>
      <w:r w:rsidR="00545188" w:rsidRPr="001F7401">
        <w:rPr>
          <w:sz w:val="22"/>
          <w:szCs w:val="22"/>
        </w:rPr>
        <w:t>DCI provides in-center hemodialysis to 34 patients in Skowhegan</w:t>
      </w:r>
      <w:r w:rsidR="003F1FAA" w:rsidRPr="001F7401">
        <w:rPr>
          <w:sz w:val="22"/>
          <w:szCs w:val="22"/>
        </w:rPr>
        <w:t>.</w:t>
      </w:r>
      <w:r w:rsidR="00545188" w:rsidRPr="001F7401">
        <w:rPr>
          <w:sz w:val="22"/>
          <w:szCs w:val="22"/>
        </w:rPr>
        <w:t xml:space="preserve"> 21 patients get in-center hemodialysis treatment and 3 patients receive peritoneal dialysis in Belfast. </w:t>
      </w:r>
      <w:r w:rsidR="00D35E28" w:rsidRPr="001F7401">
        <w:rPr>
          <w:sz w:val="22"/>
          <w:szCs w:val="22"/>
        </w:rPr>
        <w:t xml:space="preserve">The current </w:t>
      </w:r>
      <w:r w:rsidR="003F1FAA" w:rsidRPr="001F7401">
        <w:rPr>
          <w:sz w:val="22"/>
          <w:szCs w:val="22"/>
        </w:rPr>
        <w:t xml:space="preserve">operations of Maine General Dialysis Services in Waterville provide in-center hemodialysis to 45 patients. The home program provides peritoneal dialysis to 6 patients and home hemodialysis to 4 patients. </w:t>
      </w:r>
      <w:r w:rsidR="00FB3706" w:rsidRPr="001F7401">
        <w:rPr>
          <w:sz w:val="22"/>
          <w:szCs w:val="22"/>
        </w:rPr>
        <w:t xml:space="preserve">Dialysis Clinic, Inc. believes that patient growth will remain consistent with the national average given the historical utilization data </w:t>
      </w:r>
      <w:proofErr w:type="gramStart"/>
      <w:r w:rsidR="00FB3706" w:rsidRPr="001F7401">
        <w:rPr>
          <w:sz w:val="22"/>
          <w:szCs w:val="22"/>
        </w:rPr>
        <w:t>of their Maine</w:t>
      </w:r>
      <w:r w:rsidR="00016F66" w:rsidRPr="001F7401">
        <w:rPr>
          <w:sz w:val="22"/>
          <w:szCs w:val="22"/>
        </w:rPr>
        <w:t xml:space="preserve"> </w:t>
      </w:r>
      <w:r w:rsidR="00FB3706" w:rsidRPr="001F7401">
        <w:rPr>
          <w:sz w:val="22"/>
          <w:szCs w:val="22"/>
        </w:rPr>
        <w:t>owned clinics</w:t>
      </w:r>
      <w:proofErr w:type="gramEnd"/>
      <w:r w:rsidR="00016F66" w:rsidRPr="001F7401">
        <w:rPr>
          <w:sz w:val="22"/>
          <w:szCs w:val="22"/>
        </w:rPr>
        <w:t>.</w:t>
      </w:r>
    </w:p>
    <w:p w:rsidR="00016F66" w:rsidRPr="001F7401" w:rsidRDefault="00016F66" w:rsidP="0070608C">
      <w:pPr>
        <w:jc w:val="both"/>
        <w:rPr>
          <w:sz w:val="22"/>
          <w:szCs w:val="22"/>
        </w:rPr>
      </w:pPr>
    </w:p>
    <w:p w:rsidR="00346BBE" w:rsidRPr="001F7401" w:rsidRDefault="00016F66" w:rsidP="0070608C">
      <w:pPr>
        <w:jc w:val="both"/>
        <w:rPr>
          <w:sz w:val="22"/>
          <w:szCs w:val="22"/>
        </w:rPr>
      </w:pPr>
      <w:r w:rsidRPr="001F7401">
        <w:rPr>
          <w:sz w:val="22"/>
          <w:szCs w:val="22"/>
        </w:rPr>
        <w:t>Hemodialysis, the most common form of ESRD treatment, is usually performed at a freestanding outpatient dialysis center, in a hospital-based outpatient cen</w:t>
      </w:r>
      <w:r w:rsidR="00177113" w:rsidRPr="001F7401">
        <w:rPr>
          <w:sz w:val="22"/>
          <w:szCs w:val="22"/>
        </w:rPr>
        <w:t xml:space="preserve">ter, or in the patient’s home. </w:t>
      </w:r>
      <w:r w:rsidRPr="001F7401">
        <w:rPr>
          <w:sz w:val="22"/>
          <w:szCs w:val="22"/>
        </w:rPr>
        <w:t xml:space="preserve">The hemodialysis machine uses an artificial kidney, called a dialyzer, to remove toxins, fluids, and </w:t>
      </w:r>
      <w:r w:rsidR="00177113" w:rsidRPr="001F7401">
        <w:rPr>
          <w:sz w:val="22"/>
          <w:szCs w:val="22"/>
        </w:rPr>
        <w:t xml:space="preserve">salt from the patient’s blood. </w:t>
      </w:r>
      <w:r w:rsidRPr="001F7401">
        <w:rPr>
          <w:sz w:val="22"/>
          <w:szCs w:val="22"/>
        </w:rPr>
        <w:t>An outpatient hemodialysis treatment typically lasts about three and one-half hours and is usually performed three times per week.</w:t>
      </w:r>
      <w:r w:rsidR="00177113" w:rsidRPr="001F7401">
        <w:rPr>
          <w:sz w:val="22"/>
          <w:szCs w:val="22"/>
        </w:rPr>
        <w:t xml:space="preserve"> </w:t>
      </w:r>
      <w:r w:rsidRPr="001F7401">
        <w:rPr>
          <w:sz w:val="22"/>
          <w:szCs w:val="22"/>
        </w:rPr>
        <w:t>Some ESRD patients who are healthier and more independent may perform home-based hemodialysis through the use of a hemodialysis machine that is portab</w:t>
      </w:r>
      <w:r w:rsidR="00177113" w:rsidRPr="001F7401">
        <w:rPr>
          <w:sz w:val="22"/>
          <w:szCs w:val="22"/>
        </w:rPr>
        <w:t xml:space="preserve">le, smaller and easier to use. </w:t>
      </w:r>
      <w:r w:rsidRPr="001F7401">
        <w:rPr>
          <w:sz w:val="22"/>
          <w:szCs w:val="22"/>
        </w:rPr>
        <w:t>Patients receive training, support, and monitoring from registered nurses in outpatient dialysis centers or in centers dedicated to home dialysis. Home-based hemodialysis is typically performed with greater frequency than dialysis treatments performed in outpatient dialysis cen</w:t>
      </w:r>
      <w:r w:rsidR="00177113" w:rsidRPr="001F7401">
        <w:rPr>
          <w:sz w:val="22"/>
          <w:szCs w:val="22"/>
        </w:rPr>
        <w:t xml:space="preserve">ters and on varying schedules. </w:t>
      </w:r>
      <w:r w:rsidRPr="001F7401">
        <w:rPr>
          <w:sz w:val="22"/>
          <w:szCs w:val="22"/>
        </w:rPr>
        <w:t>Peritoneal dialysis uses the patient’s peritoneal or abdominal cavity to eliminate fluid and toxins and is typically performed at home. Because peritoneal dialysis does not involve</w:t>
      </w:r>
      <w:r w:rsidRPr="00177113">
        <w:t xml:space="preserve"> </w:t>
      </w:r>
      <w:r w:rsidRPr="001F7401">
        <w:rPr>
          <w:sz w:val="22"/>
          <w:szCs w:val="22"/>
        </w:rPr>
        <w:t xml:space="preserve">going to an outpatient dialysis center three times a week for treatment, it is an alternative to hemodialysis for patients who are healthier, more independent and desire more flexibility. </w:t>
      </w:r>
      <w:r w:rsidR="00346BBE" w:rsidRPr="001F7401">
        <w:rPr>
          <w:sz w:val="22"/>
          <w:szCs w:val="22"/>
        </w:rPr>
        <w:t>As stated by the applicant p</w:t>
      </w:r>
      <w:r w:rsidRPr="001F7401">
        <w:rPr>
          <w:sz w:val="22"/>
          <w:szCs w:val="22"/>
        </w:rPr>
        <w:t xml:space="preserve">ositive impacts on the health status indicators of </w:t>
      </w:r>
      <w:r w:rsidR="00F4630C">
        <w:rPr>
          <w:sz w:val="22"/>
          <w:szCs w:val="22"/>
        </w:rPr>
        <w:t>the population to be served are</w:t>
      </w:r>
      <w:r w:rsidR="00346BBE" w:rsidRPr="001F7401">
        <w:rPr>
          <w:rFonts w:eastAsiaTheme="minorHAnsi"/>
          <w:sz w:val="22"/>
          <w:szCs w:val="22"/>
        </w:rPr>
        <w:t>, prolonged renal function and delayed onset of end-stage renal disease (ESRD), well managed blood sugar, controlled hypertension, and transplantation.</w:t>
      </w:r>
    </w:p>
    <w:p w:rsidR="00346BBE" w:rsidRPr="001F7401" w:rsidRDefault="00346BBE" w:rsidP="0070608C">
      <w:pPr>
        <w:autoSpaceDE w:val="0"/>
        <w:autoSpaceDN w:val="0"/>
        <w:adjustRightInd w:val="0"/>
        <w:contextualSpacing/>
        <w:jc w:val="both"/>
        <w:rPr>
          <w:rFonts w:eastAsiaTheme="minorHAnsi"/>
          <w:sz w:val="22"/>
          <w:szCs w:val="22"/>
        </w:rPr>
      </w:pPr>
      <w:r w:rsidRPr="001F7401">
        <w:rPr>
          <w:rFonts w:eastAsiaTheme="minorHAnsi"/>
          <w:sz w:val="22"/>
          <w:szCs w:val="22"/>
        </w:rPr>
        <w:t xml:space="preserve">The acquisition of the Waterville dialysis operations will not affect the accessibility of services. The facility will continue to provide dialysis services in a manner that is convenient to patients </w:t>
      </w:r>
      <w:r w:rsidR="00390713">
        <w:rPr>
          <w:rFonts w:eastAsiaTheme="minorHAnsi"/>
          <w:sz w:val="22"/>
          <w:szCs w:val="22"/>
        </w:rPr>
        <w:t>in the greater Waterville area.</w:t>
      </w:r>
    </w:p>
    <w:p w:rsidR="00177113" w:rsidRPr="001F7401" w:rsidRDefault="00177113" w:rsidP="0070608C">
      <w:pPr>
        <w:autoSpaceDE w:val="0"/>
        <w:autoSpaceDN w:val="0"/>
        <w:adjustRightInd w:val="0"/>
        <w:contextualSpacing/>
        <w:jc w:val="both"/>
        <w:rPr>
          <w:rFonts w:eastAsiaTheme="minorHAnsi"/>
          <w:sz w:val="22"/>
          <w:szCs w:val="22"/>
        </w:rPr>
      </w:pPr>
    </w:p>
    <w:p w:rsidR="00346BBE" w:rsidRPr="001F7401" w:rsidRDefault="009D2370" w:rsidP="0070608C">
      <w:pPr>
        <w:autoSpaceDE w:val="0"/>
        <w:autoSpaceDN w:val="0"/>
        <w:adjustRightInd w:val="0"/>
        <w:contextualSpacing/>
        <w:jc w:val="both"/>
        <w:rPr>
          <w:rFonts w:eastAsiaTheme="minorHAnsi"/>
          <w:sz w:val="22"/>
          <w:szCs w:val="22"/>
        </w:rPr>
      </w:pPr>
      <w:r w:rsidRPr="001F7401">
        <w:rPr>
          <w:rFonts w:eastAsiaTheme="minorHAnsi"/>
          <w:sz w:val="22"/>
          <w:szCs w:val="22"/>
        </w:rPr>
        <w:t>The applicant has described numerous benchmarks and quality assurance measures it uses to monitor patients</w:t>
      </w:r>
      <w:r w:rsidR="00952A76" w:rsidRPr="001F7401">
        <w:rPr>
          <w:rFonts w:eastAsiaTheme="minorHAnsi"/>
          <w:sz w:val="22"/>
          <w:szCs w:val="22"/>
        </w:rPr>
        <w:t>’</w:t>
      </w:r>
      <w:r w:rsidRPr="001F7401">
        <w:rPr>
          <w:rFonts w:eastAsiaTheme="minorHAnsi"/>
          <w:sz w:val="22"/>
          <w:szCs w:val="22"/>
        </w:rPr>
        <w:t xml:space="preserve"> treatment results. Continuing to provide needed services in the Waterville </w:t>
      </w:r>
      <w:r w:rsidR="00952A76" w:rsidRPr="001F7401">
        <w:rPr>
          <w:rFonts w:eastAsiaTheme="minorHAnsi"/>
          <w:sz w:val="22"/>
          <w:szCs w:val="22"/>
        </w:rPr>
        <w:t>area</w:t>
      </w:r>
      <w:r w:rsidRPr="001F7401">
        <w:rPr>
          <w:rFonts w:eastAsiaTheme="minorHAnsi"/>
          <w:sz w:val="22"/>
          <w:szCs w:val="22"/>
        </w:rPr>
        <w:t xml:space="preserve"> will provide demonstrable improvements in quality and outcome measures.</w:t>
      </w:r>
    </w:p>
    <w:p w:rsidR="001F7401" w:rsidRPr="00E74519" w:rsidRDefault="001F7401" w:rsidP="0070608C">
      <w:pPr>
        <w:jc w:val="both"/>
        <w:rPr>
          <w:b/>
          <w:sz w:val="22"/>
          <w:szCs w:val="22"/>
        </w:rPr>
      </w:pPr>
    </w:p>
    <w:p w:rsidR="00B132AC" w:rsidRPr="00675036" w:rsidRDefault="008E41AC" w:rsidP="0070608C">
      <w:pPr>
        <w:jc w:val="both"/>
        <w:rPr>
          <w:b/>
        </w:rPr>
      </w:pPr>
      <w:r w:rsidRPr="00675036">
        <w:rPr>
          <w:b/>
        </w:rPr>
        <w:t>Conclusion</w:t>
      </w:r>
    </w:p>
    <w:p w:rsidR="00D77F04" w:rsidRPr="00E74519" w:rsidRDefault="00D77F04" w:rsidP="0070608C">
      <w:pPr>
        <w:jc w:val="both"/>
        <w:rPr>
          <w:strike/>
          <w:sz w:val="22"/>
          <w:szCs w:val="22"/>
        </w:rPr>
      </w:pPr>
    </w:p>
    <w:p w:rsidR="00303ACB" w:rsidRPr="001F7401" w:rsidRDefault="00303ACB" w:rsidP="0070608C">
      <w:pPr>
        <w:jc w:val="both"/>
        <w:rPr>
          <w:sz w:val="22"/>
          <w:szCs w:val="22"/>
        </w:rPr>
      </w:pPr>
      <w:r w:rsidRPr="001F7401">
        <w:rPr>
          <w:sz w:val="22"/>
          <w:szCs w:val="22"/>
        </w:rPr>
        <w:t xml:space="preserve">CONU recommends that the Commissioner find that </w:t>
      </w:r>
      <w:r w:rsidR="004737C1" w:rsidRPr="001F7401">
        <w:rPr>
          <w:sz w:val="22"/>
          <w:szCs w:val="22"/>
        </w:rPr>
        <w:t>the applicant</w:t>
      </w:r>
      <w:r w:rsidRPr="001F7401">
        <w:rPr>
          <w:sz w:val="22"/>
          <w:szCs w:val="22"/>
        </w:rPr>
        <w:t xml:space="preserve"> </w:t>
      </w:r>
      <w:r w:rsidR="004910F8" w:rsidRPr="001F7401">
        <w:rPr>
          <w:sz w:val="22"/>
          <w:szCs w:val="22"/>
        </w:rPr>
        <w:t>has met</w:t>
      </w:r>
      <w:r w:rsidRPr="001F7401">
        <w:rPr>
          <w:sz w:val="22"/>
          <w:szCs w:val="22"/>
        </w:rPr>
        <w:t xml:space="preserve"> their burden to show that there is a public need for the proposed project</w:t>
      </w:r>
      <w:r w:rsidR="00232440" w:rsidRPr="001F7401">
        <w:rPr>
          <w:sz w:val="22"/>
          <w:szCs w:val="22"/>
        </w:rPr>
        <w:t xml:space="preserve"> in conjunction with the recommended condition.</w:t>
      </w:r>
    </w:p>
    <w:p w:rsidR="00816CFD" w:rsidRPr="00177113" w:rsidRDefault="00816CFD" w:rsidP="0070608C">
      <w:pPr>
        <w:jc w:val="both"/>
      </w:pPr>
    </w:p>
    <w:p w:rsidR="00D77F04" w:rsidRPr="00177113" w:rsidRDefault="00D77F04" w:rsidP="0070608C">
      <w:pPr>
        <w:jc w:val="both"/>
        <w:sectPr w:rsidR="00D77F04" w:rsidRPr="00177113" w:rsidSect="0070608C">
          <w:pgSz w:w="12240" w:h="15840"/>
          <w:pgMar w:top="1440" w:right="1440" w:bottom="1440" w:left="1440" w:header="720" w:footer="720" w:gutter="0"/>
          <w:cols w:space="720"/>
          <w:docGrid w:linePitch="360"/>
        </w:sectPr>
      </w:pPr>
    </w:p>
    <w:p w:rsidR="004336AF" w:rsidRPr="00636C1A" w:rsidRDefault="004336AF" w:rsidP="0070608C">
      <w:pPr>
        <w:pStyle w:val="Heading1"/>
        <w:jc w:val="both"/>
        <w:rPr>
          <w:rFonts w:ascii="Times New Roman" w:hAnsi="Times New Roman" w:cs="Times New Roman"/>
          <w:sz w:val="28"/>
          <w:szCs w:val="28"/>
          <w:u w:val="single"/>
        </w:rPr>
      </w:pPr>
      <w:bookmarkStart w:id="7" w:name="_Ref195319951"/>
      <w:r w:rsidRPr="00636C1A">
        <w:rPr>
          <w:rFonts w:ascii="Times New Roman" w:hAnsi="Times New Roman" w:cs="Times New Roman"/>
          <w:sz w:val="28"/>
          <w:szCs w:val="28"/>
          <w:u w:val="single"/>
        </w:rPr>
        <w:t xml:space="preserve">V. </w:t>
      </w:r>
      <w:bookmarkEnd w:id="7"/>
      <w:r w:rsidR="00CF12AC" w:rsidRPr="00636C1A">
        <w:rPr>
          <w:rFonts w:ascii="Times New Roman" w:hAnsi="Times New Roman" w:cs="Times New Roman"/>
          <w:sz w:val="28"/>
          <w:szCs w:val="28"/>
          <w:u w:val="single"/>
        </w:rPr>
        <w:t>Orderly and Economic Development</w:t>
      </w:r>
      <w:r w:rsidRPr="00636C1A">
        <w:rPr>
          <w:rFonts w:ascii="Times New Roman" w:hAnsi="Times New Roman" w:cs="Times New Roman"/>
          <w:sz w:val="28"/>
          <w:szCs w:val="28"/>
          <w:u w:val="single"/>
        </w:rPr>
        <w:t xml:space="preserve"> </w:t>
      </w:r>
    </w:p>
    <w:p w:rsidR="00C841B6" w:rsidRPr="00BE6F41" w:rsidRDefault="00C841B6" w:rsidP="0070608C">
      <w:pPr>
        <w:jc w:val="both"/>
        <w:rPr>
          <w:b/>
          <w:u w:val="single"/>
        </w:rPr>
      </w:pPr>
    </w:p>
    <w:p w:rsidR="00664296" w:rsidRPr="00BE6F41" w:rsidRDefault="001F7401" w:rsidP="002767FA">
      <w:pPr>
        <w:jc w:val="both"/>
        <w:outlineLvl w:val="1"/>
        <w:rPr>
          <w:b/>
        </w:rPr>
      </w:pPr>
      <w:r w:rsidRPr="00BE6F41">
        <w:rPr>
          <w:b/>
        </w:rPr>
        <w:t xml:space="preserve">A. </w:t>
      </w:r>
      <w:r w:rsidR="00664296" w:rsidRPr="00BE6F41">
        <w:rPr>
          <w:b/>
        </w:rPr>
        <w:t xml:space="preserve">From Applicant </w:t>
      </w:r>
    </w:p>
    <w:p w:rsidR="004B064E" w:rsidRPr="00177113" w:rsidRDefault="004B064E" w:rsidP="0070608C">
      <w:pPr>
        <w:ind w:left="360"/>
        <w:jc w:val="both"/>
        <w:rPr>
          <w:noProof/>
        </w:rPr>
      </w:pPr>
    </w:p>
    <w:p w:rsidR="004B064E" w:rsidRPr="001F7401" w:rsidRDefault="001F7401" w:rsidP="002767FA">
      <w:pPr>
        <w:jc w:val="both"/>
        <w:rPr>
          <w:noProof/>
          <w:sz w:val="22"/>
          <w:szCs w:val="22"/>
        </w:rPr>
      </w:pPr>
      <w:r>
        <w:rPr>
          <w:noProof/>
          <w:sz w:val="22"/>
          <w:szCs w:val="22"/>
        </w:rPr>
        <w:t>“</w:t>
      </w:r>
      <w:r w:rsidR="004B064E" w:rsidRPr="001F7401">
        <w:rPr>
          <w:noProof/>
          <w:sz w:val="22"/>
          <w:szCs w:val="22"/>
        </w:rPr>
        <w:t>The application seeks approval for a change of ownership of an existing dialyis progra</w:t>
      </w:r>
      <w:r w:rsidR="002767FA">
        <w:rPr>
          <w:noProof/>
          <w:sz w:val="22"/>
          <w:szCs w:val="22"/>
        </w:rPr>
        <w:t xml:space="preserve">m and its affiliated services. </w:t>
      </w:r>
      <w:r w:rsidR="004B064E" w:rsidRPr="001F7401">
        <w:rPr>
          <w:noProof/>
          <w:sz w:val="22"/>
          <w:szCs w:val="22"/>
        </w:rPr>
        <w:t>DCI anticipates that it will bring efficiencies to the dialysis servi</w:t>
      </w:r>
      <w:r w:rsidR="002767FA">
        <w:rPr>
          <w:noProof/>
          <w:sz w:val="22"/>
          <w:szCs w:val="22"/>
        </w:rPr>
        <w:t xml:space="preserve">ces currently offered by MGMC. </w:t>
      </w:r>
      <w:r w:rsidR="004B064E" w:rsidRPr="001F7401">
        <w:rPr>
          <w:noProof/>
          <w:sz w:val="22"/>
          <w:szCs w:val="22"/>
        </w:rPr>
        <w:t>State and local competing demands for health care</w:t>
      </w:r>
      <w:r>
        <w:rPr>
          <w:noProof/>
          <w:sz w:val="22"/>
          <w:szCs w:val="22"/>
        </w:rPr>
        <w:t xml:space="preserve"> services will not be impacted.”</w:t>
      </w:r>
    </w:p>
    <w:p w:rsidR="004B064E" w:rsidRPr="001F7401" w:rsidRDefault="004B064E" w:rsidP="0070608C">
      <w:pPr>
        <w:ind w:left="360"/>
        <w:jc w:val="both"/>
        <w:rPr>
          <w:noProof/>
          <w:sz w:val="22"/>
          <w:szCs w:val="22"/>
        </w:rPr>
      </w:pPr>
    </w:p>
    <w:p w:rsidR="004B064E" w:rsidRPr="001F7401" w:rsidRDefault="001F7401" w:rsidP="002767FA">
      <w:pPr>
        <w:jc w:val="both"/>
        <w:rPr>
          <w:noProof/>
          <w:sz w:val="22"/>
          <w:szCs w:val="22"/>
        </w:rPr>
      </w:pPr>
      <w:r>
        <w:rPr>
          <w:noProof/>
          <w:sz w:val="22"/>
          <w:szCs w:val="22"/>
        </w:rPr>
        <w:t>“</w:t>
      </w:r>
      <w:r w:rsidR="004B064E" w:rsidRPr="001F7401">
        <w:rPr>
          <w:noProof/>
          <w:sz w:val="22"/>
          <w:szCs w:val="22"/>
        </w:rPr>
        <w:t>No increase in cost is associated with the services of this project and therefore no additional State funds will be required per patient.</w:t>
      </w:r>
      <w:r>
        <w:rPr>
          <w:noProof/>
          <w:sz w:val="22"/>
          <w:szCs w:val="22"/>
        </w:rPr>
        <w:t>”</w:t>
      </w:r>
    </w:p>
    <w:p w:rsidR="004B064E" w:rsidRPr="001F7401" w:rsidRDefault="004B064E" w:rsidP="0070608C">
      <w:pPr>
        <w:ind w:left="360"/>
        <w:jc w:val="both"/>
        <w:rPr>
          <w:noProof/>
          <w:sz w:val="22"/>
          <w:szCs w:val="22"/>
        </w:rPr>
      </w:pPr>
    </w:p>
    <w:p w:rsidR="004B064E" w:rsidRPr="001F7401" w:rsidRDefault="001F7401" w:rsidP="002767FA">
      <w:pPr>
        <w:jc w:val="both"/>
        <w:rPr>
          <w:noProof/>
          <w:sz w:val="22"/>
          <w:szCs w:val="22"/>
        </w:rPr>
      </w:pPr>
      <w:r>
        <w:rPr>
          <w:noProof/>
          <w:sz w:val="22"/>
          <w:szCs w:val="22"/>
        </w:rPr>
        <w:t>“</w:t>
      </w:r>
      <w:r w:rsidR="004B064E" w:rsidRPr="001F7401">
        <w:rPr>
          <w:noProof/>
          <w:sz w:val="22"/>
          <w:szCs w:val="22"/>
        </w:rPr>
        <w:t>DCI encourages and pursues efficient methods and less costly options to provide dialysis care.  Developing treatment options and equipment, particularly in home based therapies, show promise for care which is preferred by many patients, provides exceptional outcomes and is less resource intensive than traditional in-center dialysis.</w:t>
      </w:r>
      <w:r>
        <w:rPr>
          <w:noProof/>
          <w:sz w:val="22"/>
          <w:szCs w:val="22"/>
        </w:rPr>
        <w:t>”</w:t>
      </w:r>
    </w:p>
    <w:p w:rsidR="004B064E" w:rsidRPr="001F7401" w:rsidRDefault="004B064E" w:rsidP="0070608C">
      <w:pPr>
        <w:ind w:left="360"/>
        <w:jc w:val="both"/>
        <w:rPr>
          <w:noProof/>
          <w:sz w:val="22"/>
          <w:szCs w:val="22"/>
        </w:rPr>
      </w:pPr>
    </w:p>
    <w:p w:rsidR="004B064E" w:rsidRPr="001F7401" w:rsidRDefault="001F7401" w:rsidP="002767FA">
      <w:pPr>
        <w:jc w:val="both"/>
        <w:rPr>
          <w:noProof/>
          <w:sz w:val="22"/>
          <w:szCs w:val="22"/>
        </w:rPr>
      </w:pPr>
      <w:r>
        <w:rPr>
          <w:noProof/>
          <w:sz w:val="22"/>
          <w:szCs w:val="22"/>
        </w:rPr>
        <w:t>“</w:t>
      </w:r>
      <w:r w:rsidR="004B064E" w:rsidRPr="001F7401">
        <w:rPr>
          <w:noProof/>
          <w:sz w:val="22"/>
          <w:szCs w:val="22"/>
        </w:rPr>
        <w:t>The DCI Supply Department negotiates national agreements for medications and medical sup</w:t>
      </w:r>
      <w:r w:rsidR="00F4630C">
        <w:rPr>
          <w:noProof/>
          <w:sz w:val="22"/>
          <w:szCs w:val="22"/>
        </w:rPr>
        <w:t xml:space="preserve">plies for all 210 DCI clinics. </w:t>
      </w:r>
      <w:r w:rsidR="004B064E" w:rsidRPr="001F7401">
        <w:rPr>
          <w:noProof/>
          <w:sz w:val="22"/>
          <w:szCs w:val="22"/>
        </w:rPr>
        <w:t>Effective purchasing strategies and the thoughful use of supplies are critical to sustainability.</w:t>
      </w:r>
      <w:r>
        <w:rPr>
          <w:noProof/>
          <w:sz w:val="22"/>
          <w:szCs w:val="22"/>
        </w:rPr>
        <w:t>”</w:t>
      </w:r>
    </w:p>
    <w:p w:rsidR="004B064E" w:rsidRPr="001F7401" w:rsidRDefault="004B064E" w:rsidP="0070608C">
      <w:pPr>
        <w:ind w:left="360"/>
        <w:jc w:val="both"/>
        <w:rPr>
          <w:noProof/>
          <w:sz w:val="22"/>
          <w:szCs w:val="22"/>
        </w:rPr>
      </w:pPr>
    </w:p>
    <w:p w:rsidR="00C841B6" w:rsidRPr="001F7401" w:rsidRDefault="001F7401" w:rsidP="002767FA">
      <w:pPr>
        <w:jc w:val="both"/>
        <w:rPr>
          <w:b/>
          <w:noProof/>
          <w:sz w:val="22"/>
          <w:szCs w:val="22"/>
        </w:rPr>
      </w:pPr>
      <w:r>
        <w:rPr>
          <w:noProof/>
          <w:sz w:val="22"/>
          <w:szCs w:val="22"/>
        </w:rPr>
        <w:t>“</w:t>
      </w:r>
      <w:r w:rsidR="004B064E" w:rsidRPr="001F7401">
        <w:rPr>
          <w:noProof/>
          <w:sz w:val="22"/>
          <w:szCs w:val="22"/>
        </w:rPr>
        <w:t>Transplantation may be the best outco</w:t>
      </w:r>
      <w:r w:rsidR="00F4630C">
        <w:rPr>
          <w:noProof/>
          <w:sz w:val="22"/>
          <w:szCs w:val="22"/>
        </w:rPr>
        <w:t xml:space="preserve">me for most dialysis patients. </w:t>
      </w:r>
      <w:r w:rsidR="004B064E" w:rsidRPr="001F7401">
        <w:rPr>
          <w:noProof/>
          <w:sz w:val="22"/>
          <w:szCs w:val="22"/>
        </w:rPr>
        <w:t>Recognizing that a shortage of organs, which are available for transpantation, exists the DCI healthcare team emphasizes strategies to prolong renal function and delay the onset of e</w:t>
      </w:r>
      <w:r w:rsidR="00674138" w:rsidRPr="001F7401">
        <w:rPr>
          <w:noProof/>
          <w:sz w:val="22"/>
          <w:szCs w:val="22"/>
        </w:rPr>
        <w:t>nd-stage renal disease (ESRD).</w:t>
      </w:r>
      <w:r>
        <w:rPr>
          <w:noProof/>
          <w:sz w:val="22"/>
          <w:szCs w:val="22"/>
        </w:rPr>
        <w:t>”</w:t>
      </w:r>
    </w:p>
    <w:p w:rsidR="004B064E" w:rsidRPr="00177113" w:rsidRDefault="004B064E" w:rsidP="0070608C">
      <w:pPr>
        <w:jc w:val="both"/>
        <w:rPr>
          <w:b/>
          <w:u w:val="single"/>
        </w:rPr>
      </w:pPr>
    </w:p>
    <w:p w:rsidR="008E41AC" w:rsidRPr="00BE6F41" w:rsidRDefault="002767FA" w:rsidP="002767FA">
      <w:pPr>
        <w:jc w:val="both"/>
        <w:outlineLvl w:val="1"/>
        <w:rPr>
          <w:b/>
        </w:rPr>
      </w:pPr>
      <w:r>
        <w:rPr>
          <w:b/>
        </w:rPr>
        <w:t xml:space="preserve">B. </w:t>
      </w:r>
      <w:r w:rsidR="008E41AC" w:rsidRPr="00BE6F41">
        <w:rPr>
          <w:b/>
        </w:rPr>
        <w:t xml:space="preserve">CONU Discussion </w:t>
      </w:r>
    </w:p>
    <w:p w:rsidR="00636C1A" w:rsidRDefault="00636C1A" w:rsidP="0070608C">
      <w:pPr>
        <w:jc w:val="both"/>
        <w:rPr>
          <w:b/>
        </w:rPr>
      </w:pPr>
    </w:p>
    <w:p w:rsidR="008E41AC" w:rsidRPr="00BE6F41" w:rsidRDefault="008E41AC" w:rsidP="0070608C">
      <w:pPr>
        <w:jc w:val="both"/>
        <w:rPr>
          <w:b/>
          <w:u w:val="single"/>
        </w:rPr>
      </w:pPr>
      <w:r w:rsidRPr="00636C1A">
        <w:rPr>
          <w:b/>
        </w:rPr>
        <w:t xml:space="preserve">CON </w:t>
      </w:r>
      <w:r w:rsidR="008C0128" w:rsidRPr="00636C1A">
        <w:rPr>
          <w:b/>
        </w:rPr>
        <w:t>Standard</w:t>
      </w:r>
    </w:p>
    <w:p w:rsidR="00636C1A" w:rsidRDefault="00636C1A" w:rsidP="0070608C">
      <w:pPr>
        <w:jc w:val="both"/>
        <w:rPr>
          <w:sz w:val="22"/>
          <w:szCs w:val="22"/>
        </w:rPr>
      </w:pPr>
    </w:p>
    <w:p w:rsidR="008E41AC" w:rsidRPr="001F7401" w:rsidRDefault="008C0128" w:rsidP="0070608C">
      <w:pPr>
        <w:jc w:val="both"/>
        <w:rPr>
          <w:sz w:val="22"/>
          <w:szCs w:val="22"/>
        </w:rPr>
      </w:pPr>
      <w:r w:rsidRPr="001F7401">
        <w:rPr>
          <w:sz w:val="22"/>
          <w:szCs w:val="22"/>
        </w:rPr>
        <w:t>The r</w:t>
      </w:r>
      <w:r w:rsidR="008E41AC" w:rsidRPr="001F7401">
        <w:rPr>
          <w:sz w:val="22"/>
          <w:szCs w:val="22"/>
        </w:rPr>
        <w:t xml:space="preserve">elevant </w:t>
      </w:r>
      <w:r w:rsidRPr="001F7401">
        <w:rPr>
          <w:sz w:val="22"/>
          <w:szCs w:val="22"/>
        </w:rPr>
        <w:t>standard</w:t>
      </w:r>
      <w:r w:rsidR="008E41AC" w:rsidRPr="001F7401">
        <w:rPr>
          <w:sz w:val="22"/>
          <w:szCs w:val="22"/>
        </w:rPr>
        <w:t xml:space="preserve"> for inclusion in this section are specific to the determination that </w:t>
      </w:r>
      <w:r w:rsidR="001F7401" w:rsidRPr="001F7401">
        <w:rPr>
          <w:sz w:val="22"/>
          <w:szCs w:val="22"/>
        </w:rPr>
        <w:t>the</w:t>
      </w:r>
      <w:r w:rsidR="00952A76" w:rsidRPr="001F7401">
        <w:rPr>
          <w:sz w:val="22"/>
          <w:szCs w:val="22"/>
        </w:rPr>
        <w:t xml:space="preserve"> </w:t>
      </w:r>
      <w:r w:rsidR="008E41AC" w:rsidRPr="001F7401">
        <w:rPr>
          <w:sz w:val="22"/>
          <w:szCs w:val="22"/>
        </w:rPr>
        <w:t>proposed services are consistent with the orderly and economic development of health facilities and health resources fo</w:t>
      </w:r>
      <w:r w:rsidR="001F7401" w:rsidRPr="001F7401">
        <w:rPr>
          <w:sz w:val="22"/>
          <w:szCs w:val="22"/>
        </w:rPr>
        <w:t>r the State as demonstrated by:</w:t>
      </w:r>
    </w:p>
    <w:p w:rsidR="008E41AC" w:rsidRPr="001F7401" w:rsidRDefault="008E41AC" w:rsidP="0070608C">
      <w:pPr>
        <w:jc w:val="both"/>
        <w:rPr>
          <w:sz w:val="22"/>
          <w:szCs w:val="22"/>
        </w:rPr>
      </w:pPr>
    </w:p>
    <w:p w:rsidR="008E41AC" w:rsidRDefault="008E41AC" w:rsidP="002767FA">
      <w:pPr>
        <w:numPr>
          <w:ilvl w:val="0"/>
          <w:numId w:val="3"/>
        </w:numPr>
        <w:tabs>
          <w:tab w:val="clear" w:pos="1440"/>
          <w:tab w:val="num" w:pos="900"/>
        </w:tabs>
        <w:ind w:left="900"/>
        <w:rPr>
          <w:sz w:val="22"/>
          <w:szCs w:val="22"/>
        </w:rPr>
      </w:pPr>
      <w:r w:rsidRPr="001F7401">
        <w:rPr>
          <w:sz w:val="22"/>
          <w:szCs w:val="22"/>
        </w:rPr>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1F7401" w:rsidRPr="001F7401" w:rsidRDefault="001F7401" w:rsidP="0070608C">
      <w:pPr>
        <w:ind w:left="1440"/>
        <w:rPr>
          <w:sz w:val="22"/>
          <w:szCs w:val="22"/>
        </w:rPr>
      </w:pPr>
    </w:p>
    <w:p w:rsidR="008E41AC" w:rsidRPr="001F7401" w:rsidRDefault="008E41AC" w:rsidP="002767FA">
      <w:pPr>
        <w:numPr>
          <w:ilvl w:val="0"/>
          <w:numId w:val="3"/>
        </w:numPr>
        <w:tabs>
          <w:tab w:val="clear" w:pos="1440"/>
          <w:tab w:val="num" w:pos="900"/>
        </w:tabs>
        <w:ind w:left="900"/>
        <w:rPr>
          <w:sz w:val="22"/>
          <w:szCs w:val="22"/>
        </w:rPr>
      </w:pPr>
      <w:r w:rsidRPr="001F7401">
        <w:rPr>
          <w:sz w:val="22"/>
          <w:szCs w:val="22"/>
        </w:rPr>
        <w:t xml:space="preserve">The availability of state funds to cover any increase in state costs associated with utilization of the project's services; and </w:t>
      </w:r>
      <w:r w:rsidRPr="001F7401">
        <w:rPr>
          <w:sz w:val="22"/>
          <w:szCs w:val="22"/>
        </w:rPr>
        <w:br/>
      </w:r>
    </w:p>
    <w:p w:rsidR="00674138" w:rsidRPr="001F7401" w:rsidRDefault="008E41AC" w:rsidP="002767FA">
      <w:pPr>
        <w:numPr>
          <w:ilvl w:val="0"/>
          <w:numId w:val="3"/>
        </w:numPr>
        <w:tabs>
          <w:tab w:val="clear" w:pos="1440"/>
          <w:tab w:val="num" w:pos="900"/>
        </w:tabs>
        <w:ind w:left="990"/>
        <w:rPr>
          <w:b/>
          <w:sz w:val="22"/>
          <w:szCs w:val="22"/>
        </w:rPr>
      </w:pPr>
      <w:r w:rsidRPr="001F7401">
        <w:rPr>
          <w:sz w:val="22"/>
          <w:szCs w:val="22"/>
        </w:rPr>
        <w:t>The likelihood that more effective, more accessible or less costly alternative technologies or methods of service delivery may become available.</w:t>
      </w:r>
    </w:p>
    <w:p w:rsidR="00674138" w:rsidRDefault="00674138" w:rsidP="0070608C">
      <w:pPr>
        <w:jc w:val="both"/>
        <w:rPr>
          <w:b/>
        </w:rPr>
      </w:pPr>
    </w:p>
    <w:p w:rsidR="001F7401" w:rsidRDefault="001F7401" w:rsidP="0070608C">
      <w:pPr>
        <w:pStyle w:val="Heading3"/>
        <w:jc w:val="both"/>
        <w:rPr>
          <w:rFonts w:ascii="Times New Roman" w:hAnsi="Times New Roman" w:cs="Times New Roman"/>
          <w:b w:val="0"/>
        </w:rPr>
        <w:sectPr w:rsidR="001F7401" w:rsidSect="0070608C">
          <w:headerReference w:type="even" r:id="rId17"/>
          <w:headerReference w:type="default" r:id="rId18"/>
          <w:headerReference w:type="first" r:id="rId19"/>
          <w:pgSz w:w="12240" w:h="15840"/>
          <w:pgMar w:top="1440" w:right="1440" w:bottom="1440" w:left="1440" w:header="720" w:footer="720" w:gutter="0"/>
          <w:cols w:space="720"/>
          <w:docGrid w:linePitch="360"/>
        </w:sectPr>
      </w:pPr>
    </w:p>
    <w:p w:rsidR="00BE4B7E" w:rsidRPr="0089374C" w:rsidRDefault="000A06C5" w:rsidP="0070608C">
      <w:pPr>
        <w:jc w:val="both"/>
        <w:rPr>
          <w:b/>
        </w:rPr>
      </w:pPr>
      <w:r w:rsidRPr="0089374C">
        <w:rPr>
          <w:b/>
        </w:rPr>
        <w:t xml:space="preserve">CON </w:t>
      </w:r>
      <w:r w:rsidR="008E41AC" w:rsidRPr="0089374C">
        <w:rPr>
          <w:b/>
        </w:rPr>
        <w:t>Analysis</w:t>
      </w:r>
    </w:p>
    <w:p w:rsidR="00674138" w:rsidRPr="001F7401" w:rsidRDefault="00674138" w:rsidP="0070608C">
      <w:pPr>
        <w:jc w:val="both"/>
        <w:rPr>
          <w:sz w:val="22"/>
          <w:szCs w:val="22"/>
        </w:rPr>
      </w:pPr>
    </w:p>
    <w:p w:rsidR="00397579" w:rsidRPr="001F7401" w:rsidRDefault="00397579" w:rsidP="0070608C">
      <w:pPr>
        <w:jc w:val="both"/>
        <w:rPr>
          <w:sz w:val="22"/>
          <w:szCs w:val="22"/>
        </w:rPr>
      </w:pPr>
      <w:r w:rsidRPr="001F7401">
        <w:rPr>
          <w:sz w:val="22"/>
          <w:szCs w:val="22"/>
        </w:rPr>
        <w:t>The services proposed in this project are highly specialized and are conduc</w:t>
      </w:r>
      <w:r w:rsidR="00F4630C">
        <w:rPr>
          <w:sz w:val="22"/>
          <w:szCs w:val="22"/>
        </w:rPr>
        <w:t xml:space="preserve">ted at specialized facilities. </w:t>
      </w:r>
      <w:r w:rsidRPr="001F7401">
        <w:rPr>
          <w:sz w:val="22"/>
          <w:szCs w:val="22"/>
        </w:rPr>
        <w:t>Total health care expenditures are not expected to increase as</w:t>
      </w:r>
      <w:r w:rsidR="00F4630C">
        <w:rPr>
          <w:sz w:val="22"/>
          <w:szCs w:val="22"/>
        </w:rPr>
        <w:t xml:space="preserve"> a result of this transaction. </w:t>
      </w:r>
      <w:r w:rsidRPr="001F7401">
        <w:rPr>
          <w:sz w:val="22"/>
          <w:szCs w:val="22"/>
        </w:rPr>
        <w:t xml:space="preserve">The need for these services is definite and measurable. Current utilization of these </w:t>
      </w:r>
      <w:r w:rsidR="00674138" w:rsidRPr="001F7401">
        <w:rPr>
          <w:sz w:val="22"/>
          <w:szCs w:val="22"/>
        </w:rPr>
        <w:t>services</w:t>
      </w:r>
      <w:r w:rsidRPr="001F7401">
        <w:rPr>
          <w:sz w:val="22"/>
          <w:szCs w:val="22"/>
        </w:rPr>
        <w:t xml:space="preserve"> and the specificity of the services make the continuation and availability of these services a necessary component of health care.</w:t>
      </w:r>
    </w:p>
    <w:p w:rsidR="00397579" w:rsidRPr="001F7401" w:rsidRDefault="00397579" w:rsidP="0070608C">
      <w:pPr>
        <w:jc w:val="both"/>
        <w:rPr>
          <w:sz w:val="22"/>
          <w:szCs w:val="22"/>
        </w:rPr>
      </w:pPr>
    </w:p>
    <w:p w:rsidR="00397579" w:rsidRPr="001F7401" w:rsidRDefault="00397579" w:rsidP="0070608C">
      <w:pPr>
        <w:jc w:val="both"/>
        <w:rPr>
          <w:sz w:val="22"/>
          <w:szCs w:val="22"/>
        </w:rPr>
      </w:pPr>
      <w:r w:rsidRPr="001F7401">
        <w:rPr>
          <w:sz w:val="22"/>
          <w:szCs w:val="22"/>
        </w:rPr>
        <w:t>State funds should not be materiall</w:t>
      </w:r>
      <w:r w:rsidR="00F4630C">
        <w:rPr>
          <w:sz w:val="22"/>
          <w:szCs w:val="22"/>
        </w:rPr>
        <w:t>y impacted by this transaction.</w:t>
      </w:r>
      <w:r w:rsidRPr="001F7401">
        <w:rPr>
          <w:sz w:val="22"/>
          <w:szCs w:val="22"/>
        </w:rPr>
        <w:t xml:space="preserve"> The majority of these services are paid for by Medicare. Only 9.05% of services at the Belfast and Skowhegan location and 4% of the services at the Waterville location are reimbursed through MaineCare. There should not be any increased utilization of these services because this purchase involves continuation of existing services and does not involve the addition of any new services</w:t>
      </w:r>
      <w:r w:rsidR="00674138" w:rsidRPr="001F7401">
        <w:rPr>
          <w:sz w:val="22"/>
          <w:szCs w:val="22"/>
        </w:rPr>
        <w:t>.</w:t>
      </w:r>
    </w:p>
    <w:p w:rsidR="00397579" w:rsidRPr="001F7401" w:rsidRDefault="00397579" w:rsidP="0070608C">
      <w:pPr>
        <w:jc w:val="both"/>
        <w:rPr>
          <w:sz w:val="22"/>
          <w:szCs w:val="22"/>
        </w:rPr>
      </w:pPr>
    </w:p>
    <w:p w:rsidR="00397579" w:rsidRPr="001F7401" w:rsidRDefault="00397579" w:rsidP="0070608C">
      <w:pPr>
        <w:jc w:val="both"/>
        <w:rPr>
          <w:sz w:val="22"/>
          <w:szCs w:val="22"/>
        </w:rPr>
      </w:pPr>
      <w:r w:rsidRPr="001F7401">
        <w:rPr>
          <w:sz w:val="22"/>
          <w:szCs w:val="22"/>
        </w:rPr>
        <w:t>There is research into alternatives to dialysis because of the cost and the fact that dialysis necessarily restricts patients by the need to be at dialysis centers three times a week for a significant time period. Kidney transplantation is a viable alternative but the number of kidney transplants is considerably less than the number of patients needing dialysis. A review of other alternatives indicated that some research into transplantable artificial kidneys was ongoing but successful prototypes were years away from being viable.</w:t>
      </w:r>
    </w:p>
    <w:p w:rsidR="00BE4B7E" w:rsidRPr="00BE6F41" w:rsidRDefault="00BE4B7E" w:rsidP="0070608C">
      <w:pPr>
        <w:autoSpaceDE w:val="0"/>
        <w:autoSpaceDN w:val="0"/>
        <w:adjustRightInd w:val="0"/>
        <w:jc w:val="both"/>
        <w:rPr>
          <w:sz w:val="22"/>
          <w:szCs w:val="22"/>
          <w:u w:val="single"/>
        </w:rPr>
      </w:pPr>
    </w:p>
    <w:p w:rsidR="004336AF" w:rsidRPr="0089374C" w:rsidRDefault="00390713" w:rsidP="0070608C">
      <w:pPr>
        <w:jc w:val="both"/>
        <w:rPr>
          <w:b/>
        </w:rPr>
      </w:pPr>
      <w:r>
        <w:rPr>
          <w:b/>
        </w:rPr>
        <w:t>Conclusion</w:t>
      </w:r>
    </w:p>
    <w:p w:rsidR="008D3A66" w:rsidRDefault="008D3A66" w:rsidP="0070608C">
      <w:pPr>
        <w:ind w:left="720"/>
        <w:jc w:val="both"/>
        <w:rPr>
          <w:sz w:val="22"/>
          <w:szCs w:val="22"/>
        </w:rPr>
      </w:pPr>
    </w:p>
    <w:p w:rsidR="00A80168" w:rsidRPr="008D3A66" w:rsidRDefault="00A80168" w:rsidP="0070608C">
      <w:pPr>
        <w:jc w:val="both"/>
        <w:rPr>
          <w:sz w:val="22"/>
          <w:szCs w:val="22"/>
        </w:rPr>
      </w:pPr>
      <w:r w:rsidRPr="008D3A66">
        <w:rPr>
          <w:sz w:val="22"/>
          <w:szCs w:val="22"/>
        </w:rPr>
        <w:t xml:space="preserve">The Certificate of Need Unit recommends that the Commissioner find that the applicant has met its burden to demonstrate that the proposed project is consistent with the orderly and economic development of health facilities and health resources for the State. </w:t>
      </w:r>
    </w:p>
    <w:p w:rsidR="00674138" w:rsidRDefault="00674138" w:rsidP="0070608C">
      <w:pPr>
        <w:pStyle w:val="Heading1"/>
        <w:jc w:val="both"/>
        <w:rPr>
          <w:rFonts w:ascii="Times New Roman" w:hAnsi="Times New Roman" w:cs="Times New Roman"/>
        </w:rPr>
        <w:sectPr w:rsidR="00674138" w:rsidSect="0070608C">
          <w:pgSz w:w="12240" w:h="15840"/>
          <w:pgMar w:top="1440" w:right="1440" w:bottom="1440" w:left="1440" w:header="720" w:footer="720" w:gutter="0"/>
          <w:cols w:space="720"/>
          <w:docGrid w:linePitch="360"/>
        </w:sectPr>
      </w:pPr>
      <w:bookmarkStart w:id="8" w:name="_Ref195319965"/>
    </w:p>
    <w:p w:rsidR="00496DFB" w:rsidRPr="00636C1A" w:rsidRDefault="00BE6F41" w:rsidP="0070608C">
      <w:pPr>
        <w:pStyle w:val="Heading1"/>
        <w:jc w:val="both"/>
        <w:rPr>
          <w:rFonts w:ascii="Times New Roman" w:hAnsi="Times New Roman" w:cs="Times New Roman"/>
          <w:sz w:val="28"/>
          <w:szCs w:val="28"/>
          <w:u w:val="single"/>
        </w:rPr>
      </w:pPr>
      <w:r w:rsidRPr="00636C1A">
        <w:rPr>
          <w:rFonts w:ascii="Times New Roman" w:hAnsi="Times New Roman" w:cs="Times New Roman"/>
          <w:sz w:val="28"/>
          <w:szCs w:val="28"/>
          <w:u w:val="single"/>
        </w:rPr>
        <w:t xml:space="preserve">VI. </w:t>
      </w:r>
      <w:r w:rsidR="004336AF" w:rsidRPr="00636C1A">
        <w:rPr>
          <w:rFonts w:ascii="Times New Roman" w:hAnsi="Times New Roman" w:cs="Times New Roman"/>
          <w:sz w:val="28"/>
          <w:szCs w:val="28"/>
          <w:u w:val="single"/>
        </w:rPr>
        <w:t>Outcomes and Community Impact</w:t>
      </w:r>
      <w:bookmarkEnd w:id="8"/>
      <w:r w:rsidR="004336AF" w:rsidRPr="00636C1A">
        <w:rPr>
          <w:rFonts w:ascii="Times New Roman" w:hAnsi="Times New Roman" w:cs="Times New Roman"/>
          <w:sz w:val="28"/>
          <w:szCs w:val="28"/>
          <w:u w:val="single"/>
        </w:rPr>
        <w:t xml:space="preserve"> </w:t>
      </w:r>
    </w:p>
    <w:p w:rsidR="00F81A4A" w:rsidRDefault="00F81A4A" w:rsidP="0070608C">
      <w:pPr>
        <w:jc w:val="both"/>
        <w:rPr>
          <w:rFonts w:eastAsiaTheme="majorEastAsia"/>
          <w:b/>
        </w:rPr>
      </w:pPr>
      <w:bookmarkStart w:id="9" w:name="_Toc352836302"/>
      <w:bookmarkStart w:id="10" w:name="_Toc353543030"/>
    </w:p>
    <w:p w:rsidR="00B04EB3" w:rsidRPr="002767FA" w:rsidRDefault="002767FA" w:rsidP="002767FA">
      <w:pPr>
        <w:jc w:val="both"/>
        <w:rPr>
          <w:rFonts w:eastAsiaTheme="majorEastAsia"/>
          <w:b/>
          <w:bCs/>
          <w:i/>
        </w:rPr>
      </w:pPr>
      <w:r>
        <w:rPr>
          <w:rFonts w:eastAsiaTheme="majorEastAsia"/>
          <w:b/>
        </w:rPr>
        <w:t xml:space="preserve">A. </w:t>
      </w:r>
      <w:r w:rsidR="00F83A1C" w:rsidRPr="002767FA">
        <w:rPr>
          <w:rFonts w:eastAsiaTheme="majorEastAsia"/>
          <w:b/>
        </w:rPr>
        <w:t>From Applicant</w:t>
      </w:r>
      <w:bookmarkEnd w:id="9"/>
      <w:bookmarkEnd w:id="10"/>
    </w:p>
    <w:p w:rsidR="00715CDF" w:rsidRPr="00F81A4A" w:rsidRDefault="00715CDF" w:rsidP="0070608C">
      <w:pPr>
        <w:jc w:val="both"/>
        <w:rPr>
          <w:rFonts w:eastAsiaTheme="majorEastAsia"/>
          <w:sz w:val="22"/>
          <w:szCs w:val="22"/>
        </w:rPr>
      </w:pPr>
    </w:p>
    <w:p w:rsidR="00715CDF" w:rsidRPr="00F81A4A" w:rsidRDefault="00F81A4A" w:rsidP="002767FA">
      <w:pPr>
        <w:autoSpaceDE w:val="0"/>
        <w:autoSpaceDN w:val="0"/>
        <w:adjustRightInd w:val="0"/>
        <w:jc w:val="both"/>
        <w:rPr>
          <w:rFonts w:eastAsiaTheme="minorHAnsi"/>
          <w:sz w:val="22"/>
          <w:szCs w:val="22"/>
        </w:rPr>
      </w:pPr>
      <w:r w:rsidRPr="00F81A4A">
        <w:rPr>
          <w:rFonts w:eastAsiaTheme="minorHAnsi"/>
          <w:sz w:val="22"/>
          <w:szCs w:val="22"/>
        </w:rPr>
        <w:t>“</w:t>
      </w:r>
      <w:r w:rsidR="00715CDF" w:rsidRPr="00F81A4A">
        <w:rPr>
          <w:rFonts w:eastAsiaTheme="minorHAnsi"/>
          <w:sz w:val="22"/>
          <w:szCs w:val="22"/>
        </w:rPr>
        <w:t xml:space="preserve">Medical Director </w:t>
      </w:r>
      <w:r w:rsidR="00390713" w:rsidRPr="00F81A4A">
        <w:rPr>
          <w:rFonts w:eastAsiaTheme="minorHAnsi"/>
          <w:sz w:val="22"/>
          <w:szCs w:val="22"/>
        </w:rPr>
        <w:t>Services</w:t>
      </w:r>
      <w:r w:rsidR="00715CDF" w:rsidRPr="00F81A4A">
        <w:rPr>
          <w:rFonts w:eastAsiaTheme="minorHAnsi"/>
          <w:sz w:val="22"/>
          <w:szCs w:val="22"/>
        </w:rPr>
        <w:t xml:space="preserve"> will be provided by MGMC. DCI plans for the existing clinical team members to continue to provide care to the patients and</w:t>
      </w:r>
      <w:r>
        <w:rPr>
          <w:rFonts w:eastAsiaTheme="minorHAnsi"/>
          <w:sz w:val="22"/>
          <w:szCs w:val="22"/>
        </w:rPr>
        <w:t xml:space="preserve"> the community they know well. </w:t>
      </w:r>
      <w:r w:rsidR="00715CDF" w:rsidRPr="00F81A4A">
        <w:rPr>
          <w:rFonts w:eastAsiaTheme="minorHAnsi"/>
          <w:sz w:val="22"/>
          <w:szCs w:val="22"/>
        </w:rPr>
        <w:t>DCI is committed to transplantation, early education for patients with chronic kidney disease (to delay or negate the need for dialysis), and the coordination of care in an effort to minimize hospita</w:t>
      </w:r>
      <w:r w:rsidRPr="00F81A4A">
        <w:rPr>
          <w:rFonts w:eastAsiaTheme="minorHAnsi"/>
          <w:sz w:val="22"/>
          <w:szCs w:val="22"/>
        </w:rPr>
        <w:t>l admissions and readmissions.”</w:t>
      </w:r>
    </w:p>
    <w:p w:rsidR="00715CDF" w:rsidRPr="00F81A4A" w:rsidRDefault="00F81A4A" w:rsidP="002767FA">
      <w:pPr>
        <w:spacing w:before="100" w:beforeAutospacing="1" w:after="100" w:afterAutospacing="1"/>
        <w:jc w:val="both"/>
        <w:rPr>
          <w:sz w:val="22"/>
          <w:szCs w:val="22"/>
        </w:rPr>
      </w:pPr>
      <w:r w:rsidRPr="00F81A4A">
        <w:rPr>
          <w:sz w:val="22"/>
          <w:szCs w:val="22"/>
        </w:rPr>
        <w:t>“</w:t>
      </w:r>
      <w:r w:rsidR="00715CDF" w:rsidRPr="00F81A4A">
        <w:rPr>
          <w:sz w:val="22"/>
          <w:szCs w:val="22"/>
        </w:rPr>
        <w:t>The DCI QM program is built around the principles contained in the Joint Commission for Accreditation of Health Care O</w:t>
      </w:r>
      <w:r w:rsidR="00390713">
        <w:rPr>
          <w:sz w:val="22"/>
          <w:szCs w:val="22"/>
        </w:rPr>
        <w:t>rganizations (JCAHO) modified l0</w:t>
      </w:r>
      <w:r w:rsidR="00715CDF" w:rsidRPr="00F81A4A">
        <w:rPr>
          <w:sz w:val="22"/>
          <w:szCs w:val="22"/>
        </w:rPr>
        <w:t>-step model (structure) and Deming's Total Quality Management model for CQI (process). Specific areas addressed include: identification of patient needs, measurement of quality, setting goals, creating the means for achieving continuous quality improvement and learning from past experiences, evaluating cost-effectiveness, developing and maintaining information systems and databases, and establishing information-driven decision making (Couch, 1991).</w:t>
      </w:r>
      <w:r w:rsidRPr="00F81A4A">
        <w:rPr>
          <w:sz w:val="22"/>
          <w:szCs w:val="22"/>
        </w:rPr>
        <w:t>”</w:t>
      </w:r>
    </w:p>
    <w:p w:rsidR="00715CDF" w:rsidRPr="00F81A4A" w:rsidRDefault="00F81A4A" w:rsidP="002767FA">
      <w:pPr>
        <w:spacing w:before="100" w:beforeAutospacing="1" w:after="100" w:afterAutospacing="1"/>
        <w:jc w:val="both"/>
        <w:rPr>
          <w:sz w:val="22"/>
          <w:szCs w:val="22"/>
        </w:rPr>
      </w:pPr>
      <w:r w:rsidRPr="00F81A4A">
        <w:rPr>
          <w:sz w:val="22"/>
          <w:szCs w:val="22"/>
        </w:rPr>
        <w:t>“</w:t>
      </w:r>
      <w:r w:rsidR="00715CDF" w:rsidRPr="00F81A4A">
        <w:rPr>
          <w:sz w:val="22"/>
          <w:szCs w:val="22"/>
        </w:rPr>
        <w:t>The DCI QM structure and process is evaluated on an ongoing basis. The areas reviewed include team participation (QM Minutes), establishing indicator criteria and goals, and data quality and analysis. The effectiveness of the program is evaluated using benchmarking techniques comparing DCI aggregate data to national benchmarks (NKF Kidney Disease Outcomes Quality Initiative (K/DOQI), CMSIESRD Network Clinical Performance Measures (CPM), and the US Renal Data Systems (USRDS)), assessment of functional status and patient satisfaction.</w:t>
      </w:r>
      <w:r w:rsidRPr="00F81A4A">
        <w:rPr>
          <w:sz w:val="22"/>
          <w:szCs w:val="22"/>
        </w:rPr>
        <w:t>”</w:t>
      </w:r>
    </w:p>
    <w:p w:rsidR="00715CDF" w:rsidRPr="00F81A4A" w:rsidRDefault="00F81A4A" w:rsidP="002767FA">
      <w:pPr>
        <w:spacing w:before="100" w:beforeAutospacing="1" w:after="100" w:afterAutospacing="1"/>
        <w:jc w:val="both"/>
        <w:rPr>
          <w:sz w:val="22"/>
          <w:szCs w:val="22"/>
        </w:rPr>
      </w:pPr>
      <w:r w:rsidRPr="00F81A4A">
        <w:rPr>
          <w:sz w:val="22"/>
          <w:szCs w:val="22"/>
        </w:rPr>
        <w:t>“</w:t>
      </w:r>
      <w:r w:rsidR="00715CDF" w:rsidRPr="00F81A4A">
        <w:rPr>
          <w:sz w:val="22"/>
          <w:szCs w:val="22"/>
        </w:rPr>
        <w:t xml:space="preserve">The facility-specific QM programs monitor clinical indicators including adequacy of dialysis, anemia, nutrition, </w:t>
      </w:r>
      <w:proofErr w:type="spellStart"/>
      <w:r w:rsidR="00715CDF" w:rsidRPr="00F81A4A">
        <w:rPr>
          <w:sz w:val="22"/>
          <w:szCs w:val="22"/>
        </w:rPr>
        <w:t>osteodystrophy</w:t>
      </w:r>
      <w:proofErr w:type="spellEnd"/>
      <w:r w:rsidR="00715CDF" w:rsidRPr="00F81A4A">
        <w:rPr>
          <w:sz w:val="22"/>
          <w:szCs w:val="22"/>
        </w:rPr>
        <w:t>, CV risk factors, morbidity and mortality. Technical indicators for water treatment, dialyzer reprocessing and equipment maintenance are monitored and reviewed.</w:t>
      </w:r>
      <w:r w:rsidRPr="00F81A4A">
        <w:rPr>
          <w:sz w:val="22"/>
          <w:szCs w:val="22"/>
        </w:rPr>
        <w:t>”</w:t>
      </w:r>
    </w:p>
    <w:p w:rsidR="00674138" w:rsidRPr="00F81A4A" w:rsidRDefault="00F81A4A" w:rsidP="002767FA">
      <w:pPr>
        <w:spacing w:before="100" w:beforeAutospacing="1" w:after="100" w:afterAutospacing="1"/>
        <w:jc w:val="both"/>
        <w:rPr>
          <w:sz w:val="22"/>
          <w:szCs w:val="22"/>
        </w:rPr>
      </w:pPr>
      <w:r w:rsidRPr="00F81A4A">
        <w:rPr>
          <w:sz w:val="22"/>
          <w:szCs w:val="22"/>
        </w:rPr>
        <w:t>“</w:t>
      </w:r>
      <w:r w:rsidR="00715CDF" w:rsidRPr="00F81A4A">
        <w:rPr>
          <w:sz w:val="22"/>
          <w:szCs w:val="22"/>
        </w:rPr>
        <w:t xml:space="preserve">The corporate QM program monitors these quality indicators as individual clinic data and as corporate-wide composite data. Adequacy of dialysis is monitored by tracking prescribed and delivered dialysis dose (spKtN), urea reduction ratio (URR), and hours on dialysis. Nutritional indicators include serum albumin, normalized protein catabolic rate (nPCR), and body mass index (BMI). Anemia is monitored by tracking calculated hematocrit, hemoglobin, iron, </w:t>
      </w:r>
      <w:proofErr w:type="gramStart"/>
      <w:r w:rsidR="00715CDF" w:rsidRPr="00F81A4A">
        <w:rPr>
          <w:sz w:val="22"/>
          <w:szCs w:val="22"/>
        </w:rPr>
        <w:t>ferritin</w:t>
      </w:r>
      <w:proofErr w:type="gramEnd"/>
      <w:r w:rsidR="00715CDF" w:rsidRPr="00F81A4A">
        <w:rPr>
          <w:sz w:val="22"/>
          <w:szCs w:val="22"/>
        </w:rPr>
        <w:t>, total iron binding capacity (TIBC), transferrin, % transferrin saturation, and EPO dose. Osteodystrophy indicators include calcium, adjusted calcium (corrected for serum albumin), phosphorus, calcium-phosphorous product, alkaline phosphatase, and parathyroid hormone. Cardio-vascular (CV) risk factor indicators include cholesterol, triglycerides, and pre- and post- dialysis blood pressure (BP) control. The average systolic, diastolic, and mean arterial blood pressures are calculated, and antihypertensiv</w:t>
      </w:r>
      <w:r w:rsidRPr="00F81A4A">
        <w:rPr>
          <w:sz w:val="22"/>
          <w:szCs w:val="22"/>
        </w:rPr>
        <w:t>e medications are tracked.”</w:t>
      </w:r>
    </w:p>
    <w:p w:rsidR="00715CDF" w:rsidRPr="00F81A4A" w:rsidRDefault="00F81A4A" w:rsidP="002767FA">
      <w:pPr>
        <w:spacing w:before="100" w:beforeAutospacing="1" w:after="100" w:afterAutospacing="1"/>
        <w:jc w:val="both"/>
        <w:rPr>
          <w:sz w:val="22"/>
          <w:szCs w:val="22"/>
        </w:rPr>
      </w:pPr>
      <w:r>
        <w:rPr>
          <w:sz w:val="22"/>
          <w:szCs w:val="22"/>
        </w:rPr>
        <w:t>“</w:t>
      </w:r>
      <w:r w:rsidR="00715CDF" w:rsidRPr="00F81A4A">
        <w:rPr>
          <w:sz w:val="22"/>
          <w:szCs w:val="22"/>
        </w:rPr>
        <w:t>Quality indicators followed for peritoneal dialysis patients include laboratory data for adequacy, anemia, nutrition, osteodystrophy, CV risk factors, peritonitis and exit site infection rates, and outcomes. Corporate QM calculates standardized mortality ratios (SMR), and Kaplan-Meier survival curves annually.</w:t>
      </w:r>
      <w:r>
        <w:rPr>
          <w:sz w:val="22"/>
          <w:szCs w:val="22"/>
        </w:rPr>
        <w:t>”</w:t>
      </w:r>
    </w:p>
    <w:p w:rsidR="00390713" w:rsidRDefault="00390713" w:rsidP="002767FA">
      <w:pPr>
        <w:autoSpaceDE w:val="0"/>
        <w:autoSpaceDN w:val="0"/>
        <w:adjustRightInd w:val="0"/>
        <w:jc w:val="both"/>
        <w:rPr>
          <w:rFonts w:eastAsiaTheme="minorHAnsi"/>
          <w:sz w:val="22"/>
          <w:szCs w:val="22"/>
        </w:rPr>
        <w:sectPr w:rsidR="00390713" w:rsidSect="0070608C">
          <w:headerReference w:type="default" r:id="rId20"/>
          <w:pgSz w:w="12240" w:h="15840"/>
          <w:pgMar w:top="1440" w:right="1440" w:bottom="1440" w:left="1440" w:header="720" w:footer="720" w:gutter="0"/>
          <w:cols w:space="720"/>
          <w:docGrid w:linePitch="360"/>
        </w:sectPr>
      </w:pPr>
    </w:p>
    <w:p w:rsidR="00715CDF" w:rsidRDefault="00F81A4A" w:rsidP="002767FA">
      <w:pPr>
        <w:autoSpaceDE w:val="0"/>
        <w:autoSpaceDN w:val="0"/>
        <w:adjustRightInd w:val="0"/>
        <w:jc w:val="both"/>
        <w:rPr>
          <w:rFonts w:eastAsiaTheme="minorHAnsi"/>
          <w:sz w:val="22"/>
          <w:szCs w:val="22"/>
        </w:rPr>
      </w:pPr>
      <w:r>
        <w:rPr>
          <w:rFonts w:eastAsiaTheme="minorHAnsi"/>
          <w:sz w:val="22"/>
          <w:szCs w:val="22"/>
        </w:rPr>
        <w:t>“</w:t>
      </w:r>
      <w:r w:rsidR="00715CDF" w:rsidRPr="00F81A4A">
        <w:rPr>
          <w:rFonts w:eastAsiaTheme="minorHAnsi"/>
          <w:sz w:val="22"/>
          <w:szCs w:val="22"/>
        </w:rPr>
        <w:t>The proposed facility is intended to provide dialysis services in a manner that is convenient to patients and continues to meet a demonstrated demand for dialysis services in Waterv</w:t>
      </w:r>
      <w:r w:rsidR="00390713">
        <w:rPr>
          <w:rFonts w:eastAsiaTheme="minorHAnsi"/>
          <w:sz w:val="22"/>
          <w:szCs w:val="22"/>
        </w:rPr>
        <w:t xml:space="preserve">ille and the surrounding area. </w:t>
      </w:r>
      <w:r w:rsidR="00715CDF" w:rsidRPr="00F81A4A">
        <w:rPr>
          <w:rFonts w:eastAsiaTheme="minorHAnsi"/>
          <w:sz w:val="22"/>
          <w:szCs w:val="22"/>
        </w:rPr>
        <w:t>The proposed change of ownership is unlikely, and is not intended, to have any negative consequence on the quality of care de</w:t>
      </w:r>
      <w:r>
        <w:rPr>
          <w:rFonts w:eastAsiaTheme="minorHAnsi"/>
          <w:sz w:val="22"/>
          <w:szCs w:val="22"/>
        </w:rPr>
        <w:t>livered by existing providers.”</w:t>
      </w:r>
    </w:p>
    <w:p w:rsidR="00390713" w:rsidRPr="00F81A4A" w:rsidRDefault="00390713" w:rsidP="002767FA">
      <w:pPr>
        <w:autoSpaceDE w:val="0"/>
        <w:autoSpaceDN w:val="0"/>
        <w:adjustRightInd w:val="0"/>
        <w:jc w:val="both"/>
        <w:rPr>
          <w:rFonts w:eastAsiaTheme="minorHAnsi"/>
          <w:sz w:val="22"/>
          <w:szCs w:val="22"/>
        </w:rPr>
      </w:pPr>
    </w:p>
    <w:p w:rsidR="0067753E" w:rsidRPr="00BE6F41" w:rsidRDefault="0067753E" w:rsidP="0070608C">
      <w:pPr>
        <w:jc w:val="both"/>
        <w:rPr>
          <w:b/>
          <w:i/>
        </w:rPr>
      </w:pPr>
      <w:r w:rsidRPr="00BE6F41">
        <w:rPr>
          <w:b/>
        </w:rPr>
        <w:t>CONU Discussion</w:t>
      </w:r>
    </w:p>
    <w:p w:rsidR="00F81A4A" w:rsidRPr="00BE6F41" w:rsidRDefault="00F81A4A" w:rsidP="0070608C">
      <w:pPr>
        <w:jc w:val="both"/>
        <w:rPr>
          <w:b/>
          <w:u w:val="single"/>
        </w:rPr>
      </w:pPr>
    </w:p>
    <w:p w:rsidR="0067753E" w:rsidRPr="00636C1A" w:rsidRDefault="008C0128" w:rsidP="0070608C">
      <w:pPr>
        <w:jc w:val="both"/>
        <w:rPr>
          <w:b/>
        </w:rPr>
      </w:pPr>
      <w:r w:rsidRPr="00636C1A">
        <w:rPr>
          <w:b/>
        </w:rPr>
        <w:t>CON Standard</w:t>
      </w:r>
      <w:r w:rsidR="0067753E" w:rsidRPr="00636C1A">
        <w:rPr>
          <w:b/>
        </w:rPr>
        <w:t xml:space="preserve"> </w:t>
      </w:r>
    </w:p>
    <w:p w:rsidR="0067753E" w:rsidRPr="00F81A4A" w:rsidRDefault="0067753E" w:rsidP="0070608C">
      <w:pPr>
        <w:jc w:val="both"/>
        <w:rPr>
          <w:b/>
          <w:sz w:val="22"/>
          <w:szCs w:val="22"/>
        </w:rPr>
      </w:pPr>
    </w:p>
    <w:p w:rsidR="0067753E" w:rsidRPr="00F81A4A" w:rsidRDefault="008C0128" w:rsidP="0070608C">
      <w:pPr>
        <w:jc w:val="both"/>
        <w:rPr>
          <w:b/>
          <w:sz w:val="22"/>
          <w:szCs w:val="22"/>
        </w:rPr>
      </w:pPr>
      <w:r w:rsidRPr="00F81A4A">
        <w:rPr>
          <w:sz w:val="22"/>
          <w:szCs w:val="22"/>
        </w:rPr>
        <w:t>The r</w:t>
      </w:r>
      <w:r w:rsidR="0067753E" w:rsidRPr="00F81A4A">
        <w:rPr>
          <w:sz w:val="22"/>
          <w:szCs w:val="22"/>
        </w:rPr>
        <w:t xml:space="preserve">elevant </w:t>
      </w:r>
      <w:r w:rsidRPr="00F81A4A">
        <w:rPr>
          <w:sz w:val="22"/>
          <w:szCs w:val="22"/>
        </w:rPr>
        <w:t>standard</w:t>
      </w:r>
      <w:r w:rsidR="0067753E" w:rsidRPr="00F81A4A">
        <w:rPr>
          <w:sz w:val="22"/>
          <w:szCs w:val="22"/>
        </w:rPr>
        <w:t xml:space="preserve"> for inclusion in this section are specific to the determination that the project ensures high-quality outcomes and does not negatively affect the quality of care delivered by existing service providers. </w:t>
      </w:r>
    </w:p>
    <w:p w:rsidR="00F81A4A" w:rsidRPr="00BE6F41" w:rsidRDefault="00F81A4A" w:rsidP="0070608C">
      <w:pPr>
        <w:jc w:val="both"/>
        <w:rPr>
          <w:b/>
          <w:u w:val="single"/>
        </w:rPr>
      </w:pPr>
    </w:p>
    <w:p w:rsidR="0067753E" w:rsidRPr="00636C1A" w:rsidRDefault="000A06C5" w:rsidP="0070608C">
      <w:pPr>
        <w:jc w:val="both"/>
        <w:rPr>
          <w:b/>
        </w:rPr>
      </w:pPr>
      <w:r w:rsidRPr="00636C1A">
        <w:rPr>
          <w:b/>
        </w:rPr>
        <w:t xml:space="preserve">CON </w:t>
      </w:r>
      <w:r w:rsidR="0067753E" w:rsidRPr="00636C1A">
        <w:rPr>
          <w:b/>
        </w:rPr>
        <w:t>Analysis</w:t>
      </w:r>
    </w:p>
    <w:p w:rsidR="00397579" w:rsidRPr="00F81A4A" w:rsidRDefault="00397579" w:rsidP="0070608C">
      <w:pPr>
        <w:jc w:val="both"/>
        <w:rPr>
          <w:sz w:val="22"/>
          <w:szCs w:val="22"/>
        </w:rPr>
      </w:pPr>
    </w:p>
    <w:p w:rsidR="00397579" w:rsidRPr="00F81A4A" w:rsidRDefault="00397579" w:rsidP="0070608C">
      <w:pPr>
        <w:jc w:val="both"/>
        <w:rPr>
          <w:sz w:val="22"/>
          <w:szCs w:val="22"/>
          <w:u w:val="single"/>
        </w:rPr>
      </w:pPr>
      <w:r w:rsidRPr="00F81A4A">
        <w:rPr>
          <w:sz w:val="22"/>
          <w:szCs w:val="22"/>
        </w:rPr>
        <w:t>The applicant has demonstrated that they can ensure high-quality outcomes through the significant level of health indicators that they measure a</w:t>
      </w:r>
      <w:r w:rsidR="00F4630C">
        <w:rPr>
          <w:sz w:val="22"/>
          <w:szCs w:val="22"/>
        </w:rPr>
        <w:t xml:space="preserve">s discussed in prior sections. </w:t>
      </w:r>
      <w:r w:rsidRPr="00F81A4A">
        <w:rPr>
          <w:sz w:val="22"/>
          <w:szCs w:val="22"/>
        </w:rPr>
        <w:t>Existing service providers would not be impacted by this proposal in that they are significantly distant from the facility locations under review in this project.</w:t>
      </w:r>
    </w:p>
    <w:p w:rsidR="00F81A4A" w:rsidRPr="00BE6F41" w:rsidRDefault="00F81A4A" w:rsidP="0070608C">
      <w:pPr>
        <w:jc w:val="both"/>
        <w:rPr>
          <w:b/>
          <w:u w:val="single"/>
        </w:rPr>
      </w:pPr>
    </w:p>
    <w:p w:rsidR="00003E55" w:rsidRPr="00636C1A" w:rsidRDefault="0067753E" w:rsidP="0070608C">
      <w:pPr>
        <w:jc w:val="both"/>
        <w:rPr>
          <w:b/>
        </w:rPr>
      </w:pPr>
      <w:r w:rsidRPr="00636C1A">
        <w:rPr>
          <w:b/>
        </w:rPr>
        <w:t xml:space="preserve">Conclusion </w:t>
      </w:r>
    </w:p>
    <w:p w:rsidR="001A2774" w:rsidRPr="00F81A4A" w:rsidRDefault="001A2774" w:rsidP="0070608C">
      <w:pPr>
        <w:jc w:val="both"/>
        <w:rPr>
          <w:sz w:val="22"/>
          <w:szCs w:val="22"/>
        </w:rPr>
      </w:pPr>
    </w:p>
    <w:p w:rsidR="00B132AC" w:rsidRPr="00F81A4A" w:rsidRDefault="001A2774" w:rsidP="0070608C">
      <w:pPr>
        <w:jc w:val="both"/>
        <w:rPr>
          <w:sz w:val="22"/>
          <w:szCs w:val="22"/>
        </w:rPr>
      </w:pPr>
      <w:r w:rsidRPr="00F81A4A">
        <w:rPr>
          <w:sz w:val="22"/>
          <w:szCs w:val="22"/>
        </w:rPr>
        <w:t>CONU recommends</w:t>
      </w:r>
      <w:r w:rsidR="005F4823" w:rsidRPr="00F81A4A">
        <w:rPr>
          <w:sz w:val="22"/>
          <w:szCs w:val="22"/>
        </w:rPr>
        <w:t xml:space="preserve"> that the Commissioner find</w:t>
      </w:r>
      <w:r w:rsidRPr="00F81A4A">
        <w:rPr>
          <w:sz w:val="22"/>
          <w:szCs w:val="22"/>
        </w:rPr>
        <w:t xml:space="preserve"> that </w:t>
      </w:r>
      <w:r w:rsidR="004737C1" w:rsidRPr="00F81A4A">
        <w:rPr>
          <w:sz w:val="22"/>
          <w:szCs w:val="22"/>
        </w:rPr>
        <w:t>the applicant</w:t>
      </w:r>
      <w:r w:rsidR="00845A59" w:rsidRPr="00F81A4A">
        <w:rPr>
          <w:sz w:val="22"/>
          <w:szCs w:val="22"/>
        </w:rPr>
        <w:t xml:space="preserve"> ha</w:t>
      </w:r>
      <w:r w:rsidR="004737C1" w:rsidRPr="00F81A4A">
        <w:rPr>
          <w:sz w:val="22"/>
          <w:szCs w:val="22"/>
        </w:rPr>
        <w:t>s</w:t>
      </w:r>
      <w:r w:rsidRPr="00F81A4A">
        <w:rPr>
          <w:sz w:val="22"/>
          <w:szCs w:val="22"/>
        </w:rPr>
        <w:t xml:space="preserve"> met </w:t>
      </w:r>
      <w:r w:rsidR="005B0AD7" w:rsidRPr="00F81A4A">
        <w:rPr>
          <w:sz w:val="22"/>
          <w:szCs w:val="22"/>
        </w:rPr>
        <w:t>their</w:t>
      </w:r>
      <w:r w:rsidRPr="00F81A4A">
        <w:rPr>
          <w:sz w:val="22"/>
          <w:szCs w:val="22"/>
        </w:rPr>
        <w:t xml:space="preserve"> burden to demonstrate that this project will ensur</w:t>
      </w:r>
      <w:r w:rsidR="006760E7" w:rsidRPr="00F81A4A">
        <w:rPr>
          <w:sz w:val="22"/>
          <w:szCs w:val="22"/>
        </w:rPr>
        <w:t>e high-quality outcomes and does</w:t>
      </w:r>
      <w:r w:rsidRPr="00F81A4A">
        <w:rPr>
          <w:sz w:val="22"/>
          <w:szCs w:val="22"/>
        </w:rPr>
        <w:t xml:space="preserve"> not negatively affect the quality of care delivered by existing service providers.</w:t>
      </w:r>
    </w:p>
    <w:p w:rsidR="00595EC7" w:rsidRPr="00177113" w:rsidRDefault="00595EC7" w:rsidP="0070608C">
      <w:pPr>
        <w:jc w:val="both"/>
        <w:sectPr w:rsidR="00595EC7" w:rsidRPr="00177113" w:rsidSect="0070608C">
          <w:pgSz w:w="12240" w:h="15840"/>
          <w:pgMar w:top="1440" w:right="1440" w:bottom="1440" w:left="1440" w:header="720" w:footer="720" w:gutter="0"/>
          <w:cols w:space="720"/>
          <w:docGrid w:linePitch="360"/>
        </w:sectPr>
      </w:pPr>
    </w:p>
    <w:p w:rsidR="0051353A" w:rsidRPr="00636C1A" w:rsidRDefault="00BE6F41" w:rsidP="0070608C">
      <w:pPr>
        <w:pStyle w:val="Heading1"/>
        <w:jc w:val="both"/>
        <w:rPr>
          <w:rFonts w:ascii="Times New Roman" w:hAnsi="Times New Roman" w:cs="Times New Roman"/>
          <w:sz w:val="28"/>
          <w:szCs w:val="28"/>
          <w:u w:val="single"/>
        </w:rPr>
      </w:pPr>
      <w:bookmarkStart w:id="11" w:name="_Ref195319971"/>
      <w:r w:rsidRPr="00636C1A">
        <w:rPr>
          <w:rFonts w:ascii="Times New Roman" w:hAnsi="Times New Roman" w:cs="Times New Roman"/>
          <w:sz w:val="28"/>
          <w:szCs w:val="28"/>
          <w:u w:val="single"/>
        </w:rPr>
        <w:t xml:space="preserve">VII. </w:t>
      </w:r>
      <w:r w:rsidR="004336AF" w:rsidRPr="00636C1A">
        <w:rPr>
          <w:rFonts w:ascii="Times New Roman" w:hAnsi="Times New Roman" w:cs="Times New Roman"/>
          <w:sz w:val="28"/>
          <w:szCs w:val="28"/>
          <w:u w:val="single"/>
        </w:rPr>
        <w:t>Service Utilization</w:t>
      </w:r>
      <w:bookmarkEnd w:id="11"/>
      <w:r w:rsidR="004336AF" w:rsidRPr="00636C1A">
        <w:rPr>
          <w:rFonts w:ascii="Times New Roman" w:hAnsi="Times New Roman" w:cs="Times New Roman"/>
          <w:sz w:val="28"/>
          <w:szCs w:val="28"/>
          <w:u w:val="single"/>
        </w:rPr>
        <w:t xml:space="preserve"> </w:t>
      </w:r>
    </w:p>
    <w:p w:rsidR="00F81A4A" w:rsidRDefault="00F81A4A" w:rsidP="0070608C">
      <w:pPr>
        <w:jc w:val="both"/>
        <w:rPr>
          <w:b/>
        </w:rPr>
      </w:pPr>
    </w:p>
    <w:p w:rsidR="00AA21FB" w:rsidRPr="002767FA" w:rsidRDefault="002767FA" w:rsidP="002767FA">
      <w:pPr>
        <w:jc w:val="both"/>
        <w:rPr>
          <w:b/>
          <w:i/>
        </w:rPr>
      </w:pPr>
      <w:r>
        <w:rPr>
          <w:b/>
        </w:rPr>
        <w:t xml:space="preserve">A. </w:t>
      </w:r>
      <w:r w:rsidR="00AA21FB" w:rsidRPr="002767FA">
        <w:rPr>
          <w:b/>
        </w:rPr>
        <w:t xml:space="preserve">From Applicant </w:t>
      </w:r>
    </w:p>
    <w:p w:rsidR="00E04446" w:rsidRPr="00674138" w:rsidRDefault="00E04446" w:rsidP="0070608C">
      <w:pPr>
        <w:jc w:val="both"/>
        <w:rPr>
          <w:sz w:val="16"/>
          <w:szCs w:val="16"/>
        </w:rPr>
      </w:pPr>
    </w:p>
    <w:p w:rsidR="00732979" w:rsidRPr="00F81A4A" w:rsidRDefault="00F81A4A" w:rsidP="002767FA">
      <w:pPr>
        <w:spacing w:after="200" w:line="276" w:lineRule="auto"/>
        <w:jc w:val="both"/>
        <w:rPr>
          <w:rFonts w:eastAsiaTheme="minorHAnsi"/>
          <w:sz w:val="22"/>
          <w:szCs w:val="22"/>
        </w:rPr>
      </w:pPr>
      <w:bookmarkStart w:id="12" w:name="_DV_M433"/>
      <w:bookmarkEnd w:id="12"/>
      <w:r>
        <w:rPr>
          <w:rFonts w:eastAsiaTheme="minorHAnsi"/>
          <w:sz w:val="22"/>
          <w:szCs w:val="22"/>
        </w:rPr>
        <w:t>“</w:t>
      </w:r>
      <w:r w:rsidR="00732979" w:rsidRPr="00F81A4A">
        <w:rPr>
          <w:rFonts w:eastAsiaTheme="minorHAnsi"/>
          <w:sz w:val="22"/>
          <w:szCs w:val="22"/>
        </w:rPr>
        <w:t xml:space="preserve">The acquisition of the dialysis services program at MGMC will not result in an inappropriate </w:t>
      </w:r>
      <w:r w:rsidRPr="00F81A4A">
        <w:rPr>
          <w:rFonts w:eastAsiaTheme="minorHAnsi"/>
          <w:sz w:val="22"/>
          <w:szCs w:val="22"/>
        </w:rPr>
        <w:t>I</w:t>
      </w:r>
      <w:r w:rsidR="00732979" w:rsidRPr="00F81A4A">
        <w:rPr>
          <w:rFonts w:eastAsiaTheme="minorHAnsi"/>
          <w:sz w:val="22"/>
          <w:szCs w:val="22"/>
        </w:rPr>
        <w:t>ncrease i</w:t>
      </w:r>
      <w:r>
        <w:rPr>
          <w:rFonts w:eastAsiaTheme="minorHAnsi"/>
          <w:sz w:val="22"/>
          <w:szCs w:val="22"/>
        </w:rPr>
        <w:t>n the utilization of services.”</w:t>
      </w:r>
    </w:p>
    <w:p w:rsidR="00F81A4A" w:rsidRDefault="00F81A4A" w:rsidP="002767FA">
      <w:pPr>
        <w:spacing w:after="200" w:line="276" w:lineRule="auto"/>
        <w:jc w:val="both"/>
        <w:rPr>
          <w:rFonts w:eastAsiaTheme="minorHAnsi"/>
          <w:sz w:val="22"/>
          <w:szCs w:val="22"/>
        </w:rPr>
      </w:pPr>
      <w:r>
        <w:rPr>
          <w:rFonts w:eastAsiaTheme="minorHAnsi"/>
          <w:sz w:val="22"/>
          <w:szCs w:val="22"/>
        </w:rPr>
        <w:t>“</w:t>
      </w:r>
      <w:r w:rsidR="00732979" w:rsidRPr="00F81A4A">
        <w:rPr>
          <w:rFonts w:eastAsiaTheme="minorHAnsi"/>
          <w:sz w:val="22"/>
          <w:szCs w:val="22"/>
        </w:rPr>
        <w:t>The clinic nephrologist and Medical Director determine the most clinically advantageous treatment regimen for each patie</w:t>
      </w:r>
      <w:r>
        <w:rPr>
          <w:rFonts w:eastAsiaTheme="minorHAnsi"/>
          <w:sz w:val="22"/>
          <w:szCs w:val="22"/>
        </w:rPr>
        <w:t xml:space="preserve">nt. </w:t>
      </w:r>
      <w:r w:rsidR="00732979" w:rsidRPr="00F81A4A">
        <w:rPr>
          <w:rFonts w:eastAsiaTheme="minorHAnsi"/>
          <w:sz w:val="22"/>
          <w:szCs w:val="22"/>
        </w:rPr>
        <w:t>Most dialysis patients receive t</w:t>
      </w:r>
      <w:r w:rsidR="00F4630C">
        <w:rPr>
          <w:rFonts w:eastAsiaTheme="minorHAnsi"/>
          <w:sz w:val="22"/>
          <w:szCs w:val="22"/>
        </w:rPr>
        <w:t xml:space="preserve">hree (3) treatments each week. </w:t>
      </w:r>
      <w:r w:rsidR="00732979" w:rsidRPr="00F81A4A">
        <w:rPr>
          <w:rFonts w:eastAsiaTheme="minorHAnsi"/>
          <w:sz w:val="22"/>
          <w:szCs w:val="22"/>
        </w:rPr>
        <w:t xml:space="preserve">Fewer require more frequent treatments if determined to be clinically necessary </w:t>
      </w:r>
      <w:r>
        <w:rPr>
          <w:rFonts w:eastAsiaTheme="minorHAnsi"/>
          <w:sz w:val="22"/>
          <w:szCs w:val="22"/>
        </w:rPr>
        <w:t xml:space="preserve">by the patient’s nephrologist. </w:t>
      </w:r>
      <w:r w:rsidR="00732979" w:rsidRPr="00F81A4A">
        <w:rPr>
          <w:rFonts w:eastAsiaTheme="minorHAnsi"/>
          <w:sz w:val="22"/>
          <w:szCs w:val="22"/>
        </w:rPr>
        <w:t xml:space="preserve">Nationally less than 10% of dialysis patients choose a home based treatment option some of which may require more than </w:t>
      </w:r>
      <w:r>
        <w:rPr>
          <w:rFonts w:eastAsiaTheme="minorHAnsi"/>
          <w:sz w:val="22"/>
          <w:szCs w:val="22"/>
        </w:rPr>
        <w:t xml:space="preserve">three (3) treatments per week. </w:t>
      </w:r>
      <w:r w:rsidR="00732979" w:rsidRPr="00F81A4A">
        <w:rPr>
          <w:rFonts w:eastAsiaTheme="minorHAnsi"/>
          <w:sz w:val="22"/>
          <w:szCs w:val="22"/>
        </w:rPr>
        <w:t>High rates of diabetes and hypertension will likely continue to contribute to an annual incident ESR</w:t>
      </w:r>
      <w:r w:rsidR="00674138" w:rsidRPr="00F81A4A">
        <w:rPr>
          <w:rFonts w:eastAsiaTheme="minorHAnsi"/>
          <w:sz w:val="22"/>
          <w:szCs w:val="22"/>
        </w:rPr>
        <w:t xml:space="preserve">D growth rate of three to four </w:t>
      </w:r>
      <w:r w:rsidR="00732979" w:rsidRPr="00F81A4A">
        <w:rPr>
          <w:rFonts w:eastAsiaTheme="minorHAnsi"/>
          <w:sz w:val="22"/>
          <w:szCs w:val="22"/>
        </w:rPr>
        <w:t>percent (3 – 4%).</w:t>
      </w:r>
      <w:r>
        <w:rPr>
          <w:rFonts w:eastAsiaTheme="minorHAnsi"/>
          <w:sz w:val="22"/>
          <w:szCs w:val="22"/>
        </w:rPr>
        <w:t>”</w:t>
      </w:r>
    </w:p>
    <w:p w:rsidR="00732979" w:rsidRPr="00F81A4A" w:rsidRDefault="00F81A4A" w:rsidP="002767FA">
      <w:pPr>
        <w:spacing w:after="200" w:line="276" w:lineRule="auto"/>
        <w:jc w:val="both"/>
        <w:rPr>
          <w:rFonts w:eastAsiaTheme="minorHAnsi"/>
          <w:sz w:val="22"/>
          <w:szCs w:val="22"/>
        </w:rPr>
      </w:pPr>
      <w:r>
        <w:rPr>
          <w:rFonts w:eastAsiaTheme="minorHAnsi"/>
          <w:sz w:val="22"/>
          <w:szCs w:val="22"/>
        </w:rPr>
        <w:t>“</w:t>
      </w:r>
      <w:r w:rsidR="00732979" w:rsidRPr="00F81A4A">
        <w:rPr>
          <w:rFonts w:eastAsiaTheme="minorHAnsi"/>
          <w:sz w:val="22"/>
          <w:szCs w:val="22"/>
        </w:rPr>
        <w:t>CMS (Centers for Medicare and Medicaid Services) requires that each patient receive education about his or her dialysis t</w:t>
      </w:r>
      <w:r>
        <w:rPr>
          <w:rFonts w:eastAsiaTheme="minorHAnsi"/>
          <w:sz w:val="22"/>
          <w:szCs w:val="22"/>
        </w:rPr>
        <w:t xml:space="preserve">reatment and modality options. </w:t>
      </w:r>
      <w:r w:rsidR="00732979" w:rsidRPr="00F81A4A">
        <w:rPr>
          <w:rFonts w:eastAsiaTheme="minorHAnsi"/>
          <w:sz w:val="22"/>
          <w:szCs w:val="22"/>
        </w:rPr>
        <w:t>Patient education and choice is an important factor in controlling the utilization of services.</w:t>
      </w:r>
      <w:r>
        <w:rPr>
          <w:rFonts w:eastAsiaTheme="minorHAnsi"/>
          <w:sz w:val="22"/>
          <w:szCs w:val="22"/>
        </w:rPr>
        <w:t>”</w:t>
      </w:r>
    </w:p>
    <w:p w:rsidR="00732979" w:rsidRPr="00F81A4A" w:rsidRDefault="00F81A4A" w:rsidP="002767FA">
      <w:pPr>
        <w:spacing w:after="200" w:line="276" w:lineRule="auto"/>
        <w:jc w:val="both"/>
        <w:rPr>
          <w:rFonts w:eastAsiaTheme="minorHAnsi"/>
          <w:sz w:val="22"/>
          <w:szCs w:val="22"/>
        </w:rPr>
      </w:pPr>
      <w:r>
        <w:rPr>
          <w:rFonts w:eastAsiaTheme="minorHAnsi"/>
          <w:sz w:val="22"/>
          <w:szCs w:val="22"/>
        </w:rPr>
        <w:t>“</w:t>
      </w:r>
      <w:r w:rsidR="00732979" w:rsidRPr="00F81A4A">
        <w:rPr>
          <w:rFonts w:eastAsiaTheme="minorHAnsi"/>
          <w:sz w:val="22"/>
          <w:szCs w:val="22"/>
        </w:rPr>
        <w:t>While we endeavor to serve patients who require dialysis treatments the clinical team at DCI believes a system which promotes education, encourages transplantation, prolongs existing renal function and emphasizes modality choice will provide exceptional patient outcomes at the lowest cost to Federal and State agencies.</w:t>
      </w:r>
      <w:r>
        <w:rPr>
          <w:rFonts w:eastAsiaTheme="minorHAnsi"/>
          <w:sz w:val="22"/>
          <w:szCs w:val="22"/>
        </w:rPr>
        <w:t>”</w:t>
      </w:r>
    </w:p>
    <w:p w:rsidR="0067753E" w:rsidRPr="00BE6F41" w:rsidRDefault="00F81A4A" w:rsidP="002767FA">
      <w:pPr>
        <w:jc w:val="both"/>
        <w:rPr>
          <w:b/>
          <w:i/>
        </w:rPr>
      </w:pPr>
      <w:bookmarkStart w:id="13" w:name="_Ref195320003"/>
      <w:r w:rsidRPr="00BE6F41">
        <w:rPr>
          <w:b/>
        </w:rPr>
        <w:t xml:space="preserve">B. </w:t>
      </w:r>
      <w:r w:rsidR="0067753E" w:rsidRPr="00BE6F41">
        <w:rPr>
          <w:b/>
        </w:rPr>
        <w:t xml:space="preserve">CONU Discussion </w:t>
      </w:r>
    </w:p>
    <w:p w:rsidR="00F81A4A" w:rsidRPr="00BE6F41" w:rsidRDefault="00F81A4A" w:rsidP="0070608C">
      <w:pPr>
        <w:jc w:val="both"/>
        <w:rPr>
          <w:b/>
          <w:u w:val="single"/>
        </w:rPr>
      </w:pPr>
    </w:p>
    <w:p w:rsidR="0067753E" w:rsidRPr="00BE6F41" w:rsidRDefault="0067753E" w:rsidP="0070608C">
      <w:pPr>
        <w:jc w:val="both"/>
        <w:rPr>
          <w:b/>
          <w:u w:val="single"/>
        </w:rPr>
      </w:pPr>
      <w:r w:rsidRPr="00636C1A">
        <w:rPr>
          <w:b/>
        </w:rPr>
        <w:t xml:space="preserve">CON </w:t>
      </w:r>
      <w:r w:rsidR="006B13F0" w:rsidRPr="00636C1A">
        <w:rPr>
          <w:b/>
        </w:rPr>
        <w:t>Standard</w:t>
      </w:r>
    </w:p>
    <w:p w:rsidR="0067753E" w:rsidRPr="00674138" w:rsidRDefault="0067753E" w:rsidP="0070608C">
      <w:pPr>
        <w:jc w:val="both"/>
        <w:rPr>
          <w:b/>
          <w:sz w:val="16"/>
          <w:szCs w:val="16"/>
        </w:rPr>
      </w:pPr>
    </w:p>
    <w:p w:rsidR="00C7758E" w:rsidRPr="00F81A4A" w:rsidRDefault="006B13F0" w:rsidP="0070608C">
      <w:pPr>
        <w:jc w:val="both"/>
        <w:rPr>
          <w:sz w:val="22"/>
          <w:szCs w:val="22"/>
        </w:rPr>
      </w:pPr>
      <w:r w:rsidRPr="00F81A4A">
        <w:rPr>
          <w:sz w:val="22"/>
          <w:szCs w:val="22"/>
        </w:rPr>
        <w:t>The r</w:t>
      </w:r>
      <w:r w:rsidR="0067753E" w:rsidRPr="00F81A4A">
        <w:rPr>
          <w:sz w:val="22"/>
          <w:szCs w:val="22"/>
        </w:rPr>
        <w:t xml:space="preserve">elevant </w:t>
      </w:r>
      <w:r w:rsidRPr="00F81A4A">
        <w:rPr>
          <w:sz w:val="22"/>
          <w:szCs w:val="22"/>
        </w:rPr>
        <w:t>standard</w:t>
      </w:r>
      <w:r w:rsidR="0067753E" w:rsidRPr="00F81A4A">
        <w:rPr>
          <w:sz w:val="22"/>
          <w:szCs w:val="22"/>
        </w:rPr>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F81A4A">
        <w:rPr>
          <w:color w:val="000000"/>
          <w:sz w:val="22"/>
          <w:szCs w:val="22"/>
        </w:rPr>
        <w:t xml:space="preserve"> </w:t>
      </w:r>
      <w:r w:rsidR="001D3C46" w:rsidRPr="00F81A4A">
        <w:rPr>
          <w:sz w:val="22"/>
          <w:szCs w:val="22"/>
        </w:rPr>
        <w:t>as established in Title 24-A, section 6951, when the principles adopted by the Maine Quality Forum are directly applicable to the application</w:t>
      </w:r>
      <w:r w:rsidR="00F81A4A" w:rsidRPr="00F81A4A">
        <w:rPr>
          <w:sz w:val="22"/>
          <w:szCs w:val="22"/>
        </w:rPr>
        <w:t>.</w:t>
      </w:r>
    </w:p>
    <w:p w:rsidR="00F81A4A" w:rsidRPr="00BE6F41" w:rsidRDefault="00F81A4A" w:rsidP="0070608C">
      <w:pPr>
        <w:ind w:left="720" w:firstLine="720"/>
        <w:jc w:val="both"/>
        <w:rPr>
          <w:b/>
          <w:u w:val="single"/>
        </w:rPr>
      </w:pPr>
    </w:p>
    <w:p w:rsidR="0067753E" w:rsidRPr="00636C1A" w:rsidRDefault="000A06C5" w:rsidP="0070608C">
      <w:pPr>
        <w:jc w:val="both"/>
        <w:rPr>
          <w:b/>
        </w:rPr>
      </w:pPr>
      <w:r w:rsidRPr="00636C1A">
        <w:rPr>
          <w:b/>
        </w:rPr>
        <w:t xml:space="preserve">CON </w:t>
      </w:r>
      <w:r w:rsidR="0067753E" w:rsidRPr="00636C1A">
        <w:rPr>
          <w:b/>
        </w:rPr>
        <w:t>Analysis</w:t>
      </w:r>
    </w:p>
    <w:p w:rsidR="00397579" w:rsidRPr="00674138" w:rsidRDefault="00397579" w:rsidP="0070608C">
      <w:pPr>
        <w:jc w:val="both"/>
        <w:rPr>
          <w:sz w:val="16"/>
          <w:szCs w:val="16"/>
        </w:rPr>
      </w:pPr>
    </w:p>
    <w:p w:rsidR="00397579" w:rsidRPr="00F81A4A" w:rsidRDefault="00397579" w:rsidP="0070608C">
      <w:pPr>
        <w:jc w:val="both"/>
        <w:rPr>
          <w:sz w:val="22"/>
          <w:szCs w:val="22"/>
        </w:rPr>
      </w:pPr>
      <w:r w:rsidRPr="00F81A4A">
        <w:rPr>
          <w:sz w:val="22"/>
          <w:szCs w:val="22"/>
        </w:rPr>
        <w:t>This project involves continuation of existing dialysis services and no addition of new health services</w:t>
      </w:r>
      <w:r w:rsidR="000872FD" w:rsidRPr="00F81A4A">
        <w:rPr>
          <w:sz w:val="22"/>
          <w:szCs w:val="22"/>
        </w:rPr>
        <w:t>.</w:t>
      </w:r>
      <w:r w:rsidRPr="00F81A4A">
        <w:rPr>
          <w:sz w:val="22"/>
          <w:szCs w:val="22"/>
        </w:rPr>
        <w:t xml:space="preserve"> Due to the unique and specialized nature of the services provided there would be little opportunity </w:t>
      </w:r>
      <w:r w:rsidR="00674138" w:rsidRPr="00F81A4A">
        <w:rPr>
          <w:sz w:val="22"/>
          <w:szCs w:val="22"/>
        </w:rPr>
        <w:t>for inappropriate</w:t>
      </w:r>
      <w:r w:rsidRPr="00F81A4A">
        <w:rPr>
          <w:sz w:val="22"/>
          <w:szCs w:val="22"/>
        </w:rPr>
        <w:t xml:space="preserve"> inc</w:t>
      </w:r>
      <w:r w:rsidR="00F81A4A" w:rsidRPr="00F81A4A">
        <w:rPr>
          <w:sz w:val="22"/>
          <w:szCs w:val="22"/>
        </w:rPr>
        <w:t>reases in service utilization.</w:t>
      </w:r>
    </w:p>
    <w:p w:rsidR="00F47485" w:rsidRPr="00BE6F41" w:rsidRDefault="00F47485" w:rsidP="0070608C">
      <w:pPr>
        <w:jc w:val="both"/>
        <w:rPr>
          <w:b/>
          <w:u w:val="single"/>
        </w:rPr>
      </w:pPr>
    </w:p>
    <w:p w:rsidR="00403EEC" w:rsidRPr="00636C1A" w:rsidRDefault="0067753E" w:rsidP="0070608C">
      <w:pPr>
        <w:jc w:val="both"/>
        <w:rPr>
          <w:b/>
        </w:rPr>
      </w:pPr>
      <w:r w:rsidRPr="00636C1A">
        <w:rPr>
          <w:b/>
        </w:rPr>
        <w:t>Conclusion</w:t>
      </w:r>
    </w:p>
    <w:p w:rsidR="001A2774" w:rsidRPr="00674138" w:rsidRDefault="001A2774" w:rsidP="0070608C">
      <w:pPr>
        <w:jc w:val="both"/>
        <w:rPr>
          <w:b/>
          <w:sz w:val="16"/>
          <w:szCs w:val="16"/>
        </w:rPr>
      </w:pPr>
    </w:p>
    <w:p w:rsidR="005A08CC" w:rsidRPr="00177113" w:rsidRDefault="001A2774" w:rsidP="0070608C">
      <w:pPr>
        <w:jc w:val="both"/>
      </w:pPr>
      <w:r w:rsidRPr="00177113">
        <w:t>CONU recommends</w:t>
      </w:r>
      <w:r w:rsidR="00D81EC4" w:rsidRPr="00177113">
        <w:t xml:space="preserve"> that the Commissioner find</w:t>
      </w:r>
      <w:r w:rsidRPr="00177113">
        <w:t xml:space="preserve"> that the applicant ha</w:t>
      </w:r>
      <w:r w:rsidR="00845A59" w:rsidRPr="00177113">
        <w:t>s</w:t>
      </w:r>
      <w:r w:rsidRPr="00177113">
        <w:t xml:space="preserve"> met their burden to demonstrate that</w:t>
      </w:r>
      <w:r w:rsidR="00A869F9" w:rsidRPr="00177113">
        <w:t xml:space="preserve"> the project does not result in</w:t>
      </w:r>
      <w:r w:rsidRPr="00177113">
        <w:t xml:space="preserve"> inappropriate i</w:t>
      </w:r>
      <w:r w:rsidR="00A869F9" w:rsidRPr="00177113">
        <w:t>ncreases in service utilization, according to the principles of evidence-based medicine adopted by the Maine Quality Foru</w:t>
      </w:r>
      <w:bookmarkEnd w:id="13"/>
      <w:r w:rsidR="00595EC7" w:rsidRPr="00177113">
        <w:t xml:space="preserve">m. </w:t>
      </w:r>
    </w:p>
    <w:p w:rsidR="002767FA" w:rsidRDefault="002767FA" w:rsidP="0070608C">
      <w:pPr>
        <w:pStyle w:val="Heading1"/>
        <w:jc w:val="both"/>
        <w:rPr>
          <w:rFonts w:ascii="Times New Roman" w:hAnsi="Times New Roman" w:cs="Times New Roman"/>
          <w:sz w:val="28"/>
          <w:szCs w:val="28"/>
          <w:u w:val="single"/>
        </w:rPr>
        <w:sectPr w:rsidR="002767FA" w:rsidSect="0070608C">
          <w:headerReference w:type="even" r:id="rId21"/>
          <w:headerReference w:type="default" r:id="rId22"/>
          <w:headerReference w:type="first" r:id="rId23"/>
          <w:pgSz w:w="12240" w:h="15840"/>
          <w:pgMar w:top="1440" w:right="1440" w:bottom="1440" w:left="1440" w:header="720" w:footer="720" w:gutter="0"/>
          <w:cols w:space="720"/>
          <w:docGrid w:linePitch="360"/>
        </w:sectPr>
      </w:pPr>
    </w:p>
    <w:p w:rsidR="00AA3EB7" w:rsidRPr="00636C1A" w:rsidRDefault="00595EC7" w:rsidP="0070608C">
      <w:pPr>
        <w:pStyle w:val="Heading1"/>
        <w:jc w:val="both"/>
        <w:rPr>
          <w:rFonts w:ascii="Times New Roman" w:hAnsi="Times New Roman" w:cs="Times New Roman"/>
          <w:sz w:val="28"/>
          <w:szCs w:val="28"/>
          <w:u w:val="single"/>
        </w:rPr>
      </w:pPr>
      <w:r w:rsidRPr="00636C1A">
        <w:rPr>
          <w:rFonts w:ascii="Times New Roman" w:hAnsi="Times New Roman" w:cs="Times New Roman"/>
          <w:sz w:val="28"/>
          <w:szCs w:val="28"/>
          <w:u w:val="single"/>
        </w:rPr>
        <w:t>VI</w:t>
      </w:r>
      <w:r w:rsidR="00B20320" w:rsidRPr="00636C1A">
        <w:rPr>
          <w:rFonts w:ascii="Times New Roman" w:hAnsi="Times New Roman" w:cs="Times New Roman"/>
          <w:sz w:val="28"/>
          <w:szCs w:val="28"/>
          <w:u w:val="single"/>
        </w:rPr>
        <w:t>II</w:t>
      </w:r>
      <w:r w:rsidR="00AA3EB7" w:rsidRPr="00636C1A">
        <w:rPr>
          <w:rFonts w:ascii="Times New Roman" w:hAnsi="Times New Roman" w:cs="Times New Roman"/>
          <w:sz w:val="28"/>
          <w:szCs w:val="28"/>
          <w:u w:val="single"/>
        </w:rPr>
        <w:t xml:space="preserve">. </w:t>
      </w:r>
      <w:r w:rsidR="00696788" w:rsidRPr="00636C1A">
        <w:rPr>
          <w:rFonts w:ascii="Times New Roman" w:hAnsi="Times New Roman" w:cs="Times New Roman"/>
          <w:sz w:val="28"/>
          <w:szCs w:val="28"/>
          <w:u w:val="single"/>
        </w:rPr>
        <w:t>Timeline</w:t>
      </w:r>
    </w:p>
    <w:p w:rsidR="00CB0B1F" w:rsidRPr="00177113" w:rsidRDefault="00CB0B1F" w:rsidP="0070608C">
      <w:pPr>
        <w:jc w:val="both"/>
      </w:pPr>
    </w:p>
    <w:p w:rsidR="00CB0B1F" w:rsidRPr="00177113" w:rsidRDefault="00CB0B1F" w:rsidP="0070608C">
      <w:pPr>
        <w:jc w:val="both"/>
      </w:pPr>
      <w:r w:rsidRPr="00177113">
        <w:t>Letter of Intent filed:</w:t>
      </w:r>
      <w:r w:rsidRPr="00177113">
        <w:tab/>
      </w:r>
      <w:r w:rsidR="00B02777" w:rsidRPr="00177113">
        <w:tab/>
      </w:r>
      <w:r w:rsidR="00B02777" w:rsidRPr="00177113">
        <w:tab/>
      </w:r>
      <w:r w:rsidR="00B02777" w:rsidRPr="00177113">
        <w:tab/>
      </w:r>
      <w:r w:rsidR="00B02777" w:rsidRPr="00177113">
        <w:tab/>
      </w:r>
      <w:r w:rsidR="00B02777" w:rsidRPr="00177113">
        <w:tab/>
      </w:r>
      <w:r w:rsidRPr="00177113">
        <w:t>June 17, 2013</w:t>
      </w:r>
    </w:p>
    <w:p w:rsidR="00CB0B1F" w:rsidRPr="00177113" w:rsidRDefault="00CB0B1F" w:rsidP="0070608C">
      <w:pPr>
        <w:jc w:val="both"/>
      </w:pPr>
      <w:r w:rsidRPr="00177113">
        <w:t>Technical Assistance meeting held:</w:t>
      </w:r>
      <w:r w:rsidRPr="00177113">
        <w:tab/>
      </w:r>
      <w:r w:rsidR="00B02777" w:rsidRPr="00177113">
        <w:tab/>
      </w:r>
      <w:r w:rsidR="00B02777" w:rsidRPr="00177113">
        <w:tab/>
      </w:r>
      <w:r w:rsidR="00B02777" w:rsidRPr="00177113">
        <w:tab/>
      </w:r>
      <w:r w:rsidRPr="00177113">
        <w:t>Waived</w:t>
      </w:r>
    </w:p>
    <w:p w:rsidR="00CB0B1F" w:rsidRPr="00177113" w:rsidRDefault="00CB0B1F" w:rsidP="0070608C">
      <w:pPr>
        <w:jc w:val="both"/>
      </w:pPr>
      <w:r w:rsidRPr="00177113">
        <w:t xml:space="preserve">CON application filed: </w:t>
      </w:r>
      <w:r w:rsidR="00B02777" w:rsidRPr="00177113">
        <w:tab/>
      </w:r>
      <w:r w:rsidR="00B02777" w:rsidRPr="00177113">
        <w:tab/>
      </w:r>
      <w:r w:rsidR="00B02777" w:rsidRPr="00177113">
        <w:tab/>
      </w:r>
      <w:r w:rsidR="00B02777" w:rsidRPr="00177113">
        <w:tab/>
      </w:r>
      <w:r w:rsidR="00B02777" w:rsidRPr="00177113">
        <w:tab/>
      </w:r>
      <w:r w:rsidRPr="00177113">
        <w:t>August 1, 2013</w:t>
      </w:r>
    </w:p>
    <w:p w:rsidR="00CB0B1F" w:rsidRPr="00177113" w:rsidRDefault="00CB0B1F" w:rsidP="0070608C">
      <w:pPr>
        <w:jc w:val="both"/>
      </w:pPr>
      <w:r w:rsidRPr="00177113">
        <w:t xml:space="preserve">CON certified as complete: </w:t>
      </w:r>
      <w:r w:rsidR="00B02777" w:rsidRPr="00177113">
        <w:tab/>
      </w:r>
      <w:r w:rsidR="00B02777" w:rsidRPr="00177113">
        <w:tab/>
      </w:r>
      <w:r w:rsidR="00B02777" w:rsidRPr="00177113">
        <w:tab/>
      </w:r>
      <w:r w:rsidR="00B02777" w:rsidRPr="00177113">
        <w:tab/>
      </w:r>
      <w:r w:rsidR="00B02777" w:rsidRPr="00177113">
        <w:tab/>
      </w:r>
      <w:r w:rsidRPr="00177113">
        <w:t>August 1, 2013</w:t>
      </w:r>
    </w:p>
    <w:p w:rsidR="00CB0B1F" w:rsidRPr="00177113" w:rsidRDefault="00CB0B1F" w:rsidP="0070608C">
      <w:pPr>
        <w:jc w:val="both"/>
      </w:pPr>
      <w:r w:rsidRPr="00177113">
        <w:t xml:space="preserve">Public information meeting held: </w:t>
      </w:r>
      <w:r w:rsidR="00B02777" w:rsidRPr="00177113">
        <w:tab/>
      </w:r>
      <w:r w:rsidR="00B02777" w:rsidRPr="00177113">
        <w:tab/>
      </w:r>
      <w:r w:rsidR="00B02777" w:rsidRPr="00177113">
        <w:tab/>
      </w:r>
      <w:r w:rsidR="00B02777" w:rsidRPr="00177113">
        <w:tab/>
      </w:r>
      <w:r w:rsidR="00B34BB3" w:rsidRPr="00177113">
        <w:t>Waived</w:t>
      </w:r>
    </w:p>
    <w:p w:rsidR="00CB0B1F" w:rsidRPr="00177113" w:rsidRDefault="00B02777" w:rsidP="0070608C">
      <w:pPr>
        <w:jc w:val="both"/>
      </w:pPr>
      <w:r w:rsidRPr="00177113">
        <w:t>Public hearing held</w:t>
      </w:r>
      <w:r w:rsidRPr="00177113">
        <w:tab/>
      </w:r>
      <w:r w:rsidRPr="00177113">
        <w:tab/>
      </w:r>
      <w:r w:rsidRPr="00177113">
        <w:tab/>
      </w:r>
      <w:r w:rsidRPr="00177113">
        <w:tab/>
      </w:r>
      <w:r w:rsidRPr="00177113">
        <w:tab/>
      </w:r>
      <w:r w:rsidRPr="00177113">
        <w:tab/>
        <w:t>N/A</w:t>
      </w:r>
    </w:p>
    <w:p w:rsidR="00AA3EB7" w:rsidRPr="00177113" w:rsidRDefault="00B34BB3" w:rsidP="0070608C">
      <w:pPr>
        <w:jc w:val="both"/>
      </w:pPr>
      <w:r w:rsidRPr="00177113">
        <w:t>Close of Public Record</w:t>
      </w:r>
      <w:r w:rsidRPr="00177113">
        <w:tab/>
      </w:r>
      <w:r w:rsidRPr="00177113">
        <w:tab/>
      </w:r>
      <w:r w:rsidRPr="00177113">
        <w:tab/>
      </w:r>
      <w:r w:rsidRPr="00177113">
        <w:tab/>
      </w:r>
      <w:r w:rsidRPr="00177113">
        <w:tab/>
        <w:t>August 31, 2013</w:t>
      </w:r>
    </w:p>
    <w:p w:rsidR="00674138" w:rsidRDefault="00674138" w:rsidP="0070608C">
      <w:pPr>
        <w:pStyle w:val="Heading1"/>
        <w:jc w:val="both"/>
        <w:rPr>
          <w:rFonts w:ascii="Times New Roman" w:hAnsi="Times New Roman" w:cs="Times New Roman"/>
        </w:rPr>
        <w:sectPr w:rsidR="00674138" w:rsidSect="0070608C">
          <w:headerReference w:type="default" r:id="rId24"/>
          <w:pgSz w:w="12240" w:h="15840"/>
          <w:pgMar w:top="1440" w:right="1440" w:bottom="1440" w:left="1440" w:header="720" w:footer="720" w:gutter="0"/>
          <w:cols w:space="720"/>
          <w:docGrid w:linePitch="360"/>
        </w:sectPr>
      </w:pPr>
    </w:p>
    <w:p w:rsidR="00AA21FB" w:rsidRPr="0089374C" w:rsidRDefault="00595EC7" w:rsidP="0070608C">
      <w:pPr>
        <w:pStyle w:val="Heading1"/>
        <w:jc w:val="both"/>
        <w:rPr>
          <w:rFonts w:ascii="Times New Roman" w:hAnsi="Times New Roman" w:cs="Times New Roman"/>
          <w:sz w:val="28"/>
          <w:szCs w:val="28"/>
          <w:u w:val="single"/>
        </w:rPr>
      </w:pPr>
      <w:r w:rsidRPr="0089374C">
        <w:rPr>
          <w:rFonts w:ascii="Times New Roman" w:hAnsi="Times New Roman" w:cs="Times New Roman"/>
          <w:sz w:val="28"/>
          <w:szCs w:val="28"/>
          <w:u w:val="single"/>
        </w:rPr>
        <w:t>IX</w:t>
      </w:r>
      <w:r w:rsidR="00BE6F41" w:rsidRPr="0089374C">
        <w:rPr>
          <w:rFonts w:ascii="Times New Roman" w:hAnsi="Times New Roman" w:cs="Times New Roman"/>
          <w:sz w:val="28"/>
          <w:szCs w:val="28"/>
          <w:u w:val="single"/>
        </w:rPr>
        <w:t xml:space="preserve">. </w:t>
      </w:r>
      <w:r w:rsidR="00FF4C9B" w:rsidRPr="0089374C">
        <w:rPr>
          <w:rFonts w:ascii="Times New Roman" w:hAnsi="Times New Roman" w:cs="Times New Roman"/>
          <w:sz w:val="28"/>
          <w:szCs w:val="28"/>
          <w:u w:val="single"/>
        </w:rPr>
        <w:t xml:space="preserve">CON </w:t>
      </w:r>
      <w:r w:rsidR="00F47485" w:rsidRPr="0089374C">
        <w:rPr>
          <w:rFonts w:ascii="Times New Roman" w:hAnsi="Times New Roman" w:cs="Times New Roman"/>
          <w:sz w:val="28"/>
          <w:szCs w:val="28"/>
          <w:u w:val="single"/>
        </w:rPr>
        <w:t>Findings and Recommendations</w:t>
      </w:r>
    </w:p>
    <w:p w:rsidR="00AA21FB" w:rsidRPr="0074796B" w:rsidRDefault="00AA21FB" w:rsidP="0070608C">
      <w:pPr>
        <w:jc w:val="both"/>
        <w:rPr>
          <w:sz w:val="22"/>
          <w:szCs w:val="22"/>
        </w:rPr>
      </w:pPr>
      <w:r w:rsidRPr="0074796B">
        <w:rPr>
          <w:sz w:val="22"/>
          <w:szCs w:val="22"/>
        </w:rPr>
        <w:cr/>
        <w:t>Based on the preceding analysis, including information contained in the record, the CONU recommends that the Commissioner make the following findings and recommendations</w:t>
      </w:r>
      <w:r w:rsidR="009E1817" w:rsidRPr="0074796B">
        <w:rPr>
          <w:sz w:val="22"/>
          <w:szCs w:val="22"/>
        </w:rPr>
        <w:t xml:space="preserve"> subject to the conditions below</w:t>
      </w:r>
      <w:r w:rsidRPr="0074796B">
        <w:rPr>
          <w:sz w:val="22"/>
          <w:szCs w:val="22"/>
        </w:rPr>
        <w:t>:</w:t>
      </w:r>
    </w:p>
    <w:p w:rsidR="00AA21FB" w:rsidRPr="00177113" w:rsidRDefault="00AA21FB" w:rsidP="0070608C">
      <w:pPr>
        <w:jc w:val="both"/>
      </w:pPr>
    </w:p>
    <w:p w:rsidR="00AA21FB" w:rsidRPr="0074796B" w:rsidRDefault="00AA21FB" w:rsidP="0070608C">
      <w:pPr>
        <w:ind w:left="720" w:hanging="360"/>
        <w:jc w:val="both"/>
        <w:rPr>
          <w:sz w:val="22"/>
          <w:szCs w:val="22"/>
        </w:rPr>
      </w:pPr>
      <w:r w:rsidRPr="0074796B">
        <w:rPr>
          <w:b/>
          <w:sz w:val="22"/>
          <w:szCs w:val="22"/>
        </w:rPr>
        <w:t>A.</w:t>
      </w:r>
      <w:r w:rsidRPr="0074796B">
        <w:rPr>
          <w:sz w:val="22"/>
          <w:szCs w:val="22"/>
        </w:rPr>
        <w:tab/>
      </w:r>
      <w:r w:rsidR="00FB12DE" w:rsidRPr="0074796B">
        <w:rPr>
          <w:sz w:val="22"/>
          <w:szCs w:val="22"/>
        </w:rPr>
        <w:t>T</w:t>
      </w:r>
      <w:r w:rsidRPr="0074796B">
        <w:rPr>
          <w:sz w:val="22"/>
          <w:szCs w:val="22"/>
        </w:rPr>
        <w:t xml:space="preserve">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AA21FB" w:rsidRPr="00177113" w:rsidRDefault="00AA21FB" w:rsidP="0070608C">
      <w:pPr>
        <w:ind w:left="720" w:hanging="360"/>
        <w:jc w:val="both"/>
      </w:pPr>
    </w:p>
    <w:p w:rsidR="00AA21FB" w:rsidRPr="0074796B" w:rsidRDefault="00AA21FB" w:rsidP="0070608C">
      <w:pPr>
        <w:ind w:left="720" w:hanging="360"/>
        <w:jc w:val="both"/>
        <w:rPr>
          <w:sz w:val="22"/>
          <w:szCs w:val="22"/>
        </w:rPr>
      </w:pPr>
      <w:r w:rsidRPr="0074796B">
        <w:rPr>
          <w:b/>
          <w:sz w:val="22"/>
          <w:szCs w:val="22"/>
        </w:rPr>
        <w:t>B.</w:t>
      </w:r>
      <w:r w:rsidRPr="0074796B">
        <w:rPr>
          <w:sz w:val="22"/>
          <w:szCs w:val="22"/>
        </w:rPr>
        <w:tab/>
        <w:t>The economic feasibility of the proposed services is demonstrated in terms of the:</w:t>
      </w:r>
    </w:p>
    <w:p w:rsidR="00AA21FB" w:rsidRPr="0074796B" w:rsidRDefault="00AA21FB" w:rsidP="0070608C">
      <w:pPr>
        <w:ind w:left="720" w:hanging="360"/>
        <w:jc w:val="both"/>
        <w:rPr>
          <w:sz w:val="22"/>
          <w:szCs w:val="22"/>
        </w:rPr>
      </w:pPr>
    </w:p>
    <w:p w:rsidR="00AA21FB" w:rsidRPr="0074796B" w:rsidRDefault="00AA21FB" w:rsidP="0070608C">
      <w:pPr>
        <w:ind w:left="720"/>
        <w:jc w:val="both"/>
        <w:rPr>
          <w:sz w:val="22"/>
          <w:szCs w:val="22"/>
        </w:rPr>
      </w:pPr>
      <w:r w:rsidRPr="0074796B">
        <w:rPr>
          <w:b/>
          <w:sz w:val="22"/>
          <w:szCs w:val="22"/>
        </w:rPr>
        <w:t>1.</w:t>
      </w:r>
      <w:r w:rsidRPr="0074796B">
        <w:rPr>
          <w:sz w:val="22"/>
          <w:szCs w:val="22"/>
        </w:rPr>
        <w:t xml:space="preserve"> Capacity of the applicant to support the project financially over its useful life, in light of the rates the applicant expects to be able to charge for the services to be provided by the project; and</w:t>
      </w:r>
    </w:p>
    <w:p w:rsidR="00AA21FB" w:rsidRPr="0074796B" w:rsidRDefault="00AA21FB" w:rsidP="0070608C">
      <w:pPr>
        <w:ind w:left="720" w:hanging="360"/>
        <w:jc w:val="both"/>
        <w:rPr>
          <w:sz w:val="22"/>
          <w:szCs w:val="22"/>
        </w:rPr>
      </w:pPr>
    </w:p>
    <w:p w:rsidR="00AA21FB" w:rsidRPr="0074796B" w:rsidRDefault="00AA21FB" w:rsidP="0070608C">
      <w:pPr>
        <w:ind w:left="720"/>
        <w:jc w:val="both"/>
        <w:rPr>
          <w:sz w:val="22"/>
          <w:szCs w:val="22"/>
        </w:rPr>
      </w:pPr>
      <w:r w:rsidRPr="0074796B">
        <w:rPr>
          <w:b/>
          <w:sz w:val="22"/>
          <w:szCs w:val="22"/>
        </w:rPr>
        <w:t>2.</w:t>
      </w:r>
      <w:r w:rsidRPr="0074796B">
        <w:rPr>
          <w:sz w:val="22"/>
          <w:szCs w:val="22"/>
        </w:rPr>
        <w:t xml:space="preserve"> The applicant’s ability to establish and operate the project in accordance with existing and reasonably anticipated future changes in federal, state and local licensure and other applicable or potentially applicable rules;</w:t>
      </w:r>
    </w:p>
    <w:p w:rsidR="00AA21FB" w:rsidRPr="0074796B" w:rsidRDefault="00AA21FB" w:rsidP="0070608C">
      <w:pPr>
        <w:ind w:left="720" w:hanging="360"/>
        <w:jc w:val="both"/>
        <w:rPr>
          <w:sz w:val="22"/>
          <w:szCs w:val="22"/>
        </w:rPr>
      </w:pPr>
    </w:p>
    <w:p w:rsidR="00AA21FB" w:rsidRPr="0074796B" w:rsidRDefault="00AA21FB" w:rsidP="0070608C">
      <w:pPr>
        <w:ind w:left="720" w:hanging="360"/>
        <w:jc w:val="both"/>
        <w:rPr>
          <w:sz w:val="22"/>
          <w:szCs w:val="22"/>
        </w:rPr>
      </w:pPr>
      <w:r w:rsidRPr="0074796B">
        <w:rPr>
          <w:b/>
          <w:sz w:val="22"/>
          <w:szCs w:val="22"/>
        </w:rPr>
        <w:t>C.</w:t>
      </w:r>
      <w:r w:rsidRPr="0074796B">
        <w:rPr>
          <w:sz w:val="22"/>
          <w:szCs w:val="22"/>
        </w:rPr>
        <w:tab/>
        <w:t xml:space="preserve">The applicant has demonstrated that there is a public need for the proposed services </w:t>
      </w:r>
      <w:r w:rsidR="009E1817" w:rsidRPr="0074796B">
        <w:rPr>
          <w:sz w:val="22"/>
          <w:szCs w:val="22"/>
        </w:rPr>
        <w:t xml:space="preserve">as demonstrated by </w:t>
      </w:r>
      <w:r w:rsidRPr="0074796B">
        <w:rPr>
          <w:sz w:val="22"/>
          <w:szCs w:val="22"/>
        </w:rPr>
        <w:t>certain factors, including, but not limited to;</w:t>
      </w:r>
    </w:p>
    <w:p w:rsidR="00AA21FB" w:rsidRPr="0074796B" w:rsidRDefault="00AA21FB" w:rsidP="0070608C">
      <w:pPr>
        <w:ind w:left="720" w:hanging="360"/>
        <w:jc w:val="both"/>
        <w:rPr>
          <w:sz w:val="22"/>
          <w:szCs w:val="22"/>
        </w:rPr>
      </w:pPr>
    </w:p>
    <w:p w:rsidR="00AA21FB" w:rsidRPr="0074796B" w:rsidRDefault="00AA21FB" w:rsidP="0070608C">
      <w:pPr>
        <w:ind w:left="720"/>
        <w:jc w:val="both"/>
        <w:rPr>
          <w:sz w:val="22"/>
          <w:szCs w:val="22"/>
        </w:rPr>
      </w:pPr>
      <w:r w:rsidRPr="0074796B">
        <w:rPr>
          <w:b/>
          <w:sz w:val="22"/>
          <w:szCs w:val="22"/>
        </w:rPr>
        <w:t>1.</w:t>
      </w:r>
      <w:r w:rsidRPr="0074796B">
        <w:rPr>
          <w:sz w:val="22"/>
          <w:szCs w:val="22"/>
        </w:rPr>
        <w:t xml:space="preserve"> The </w:t>
      </w:r>
      <w:r w:rsidR="009E1817" w:rsidRPr="0074796B">
        <w:rPr>
          <w:sz w:val="22"/>
          <w:szCs w:val="22"/>
        </w:rPr>
        <w:t xml:space="preserve">extent to which the </w:t>
      </w:r>
      <w:r w:rsidRPr="0074796B">
        <w:rPr>
          <w:sz w:val="22"/>
          <w:szCs w:val="22"/>
        </w:rPr>
        <w:t>project will substantially address specific health problems as measured by health needs in the area to be served by the project;</w:t>
      </w:r>
    </w:p>
    <w:p w:rsidR="00AA21FB" w:rsidRPr="0074796B" w:rsidRDefault="00AA21FB" w:rsidP="0070608C">
      <w:pPr>
        <w:ind w:left="720" w:hanging="360"/>
        <w:jc w:val="both"/>
        <w:rPr>
          <w:sz w:val="22"/>
          <w:szCs w:val="22"/>
        </w:rPr>
      </w:pPr>
    </w:p>
    <w:p w:rsidR="00AA21FB" w:rsidRPr="0074796B" w:rsidRDefault="00AA21FB" w:rsidP="0070608C">
      <w:pPr>
        <w:ind w:left="720"/>
        <w:jc w:val="both"/>
        <w:rPr>
          <w:sz w:val="22"/>
          <w:szCs w:val="22"/>
        </w:rPr>
      </w:pPr>
      <w:r w:rsidRPr="0074796B">
        <w:rPr>
          <w:b/>
          <w:sz w:val="22"/>
          <w:szCs w:val="22"/>
        </w:rPr>
        <w:t>2.</w:t>
      </w:r>
      <w:r w:rsidRPr="0074796B">
        <w:rPr>
          <w:sz w:val="22"/>
          <w:szCs w:val="22"/>
        </w:rPr>
        <w:t xml:space="preserve"> The project has demonstrated that it will have a positive impact on the health status indicators of the population to be served;</w:t>
      </w:r>
    </w:p>
    <w:p w:rsidR="00AA21FB" w:rsidRPr="0074796B" w:rsidRDefault="00AA21FB" w:rsidP="0070608C">
      <w:pPr>
        <w:ind w:left="720" w:hanging="360"/>
        <w:jc w:val="both"/>
        <w:rPr>
          <w:sz w:val="22"/>
          <w:szCs w:val="22"/>
        </w:rPr>
      </w:pPr>
    </w:p>
    <w:p w:rsidR="00AA21FB" w:rsidRPr="0074796B" w:rsidRDefault="009E1817" w:rsidP="0070608C">
      <w:pPr>
        <w:ind w:left="720"/>
        <w:jc w:val="both"/>
        <w:rPr>
          <w:sz w:val="22"/>
          <w:szCs w:val="22"/>
        </w:rPr>
      </w:pPr>
      <w:r w:rsidRPr="0074796B">
        <w:rPr>
          <w:b/>
          <w:sz w:val="22"/>
          <w:szCs w:val="22"/>
        </w:rPr>
        <w:t>3.</w:t>
      </w:r>
      <w:r w:rsidR="00AA21FB" w:rsidRPr="0074796B">
        <w:rPr>
          <w:sz w:val="22"/>
          <w:szCs w:val="22"/>
        </w:rPr>
        <w:t xml:space="preserve"> </w:t>
      </w:r>
      <w:r w:rsidRPr="0074796B">
        <w:rPr>
          <w:sz w:val="22"/>
          <w:szCs w:val="22"/>
        </w:rPr>
        <w:t>T</w:t>
      </w:r>
      <w:r w:rsidR="00AA21FB" w:rsidRPr="0074796B">
        <w:rPr>
          <w:sz w:val="22"/>
          <w:szCs w:val="22"/>
        </w:rPr>
        <w:t xml:space="preserve">he project will be </w:t>
      </w:r>
      <w:r w:rsidRPr="0074796B">
        <w:rPr>
          <w:sz w:val="22"/>
          <w:szCs w:val="22"/>
        </w:rPr>
        <w:t xml:space="preserve">accessible to all residents of </w:t>
      </w:r>
      <w:r w:rsidR="00AA21FB" w:rsidRPr="0074796B">
        <w:rPr>
          <w:sz w:val="22"/>
          <w:szCs w:val="22"/>
        </w:rPr>
        <w:t>the area proposed to be served; and</w:t>
      </w:r>
    </w:p>
    <w:p w:rsidR="00AA21FB" w:rsidRPr="0074796B" w:rsidRDefault="00AA21FB" w:rsidP="0070608C">
      <w:pPr>
        <w:ind w:left="720" w:hanging="360"/>
        <w:jc w:val="both"/>
        <w:rPr>
          <w:sz w:val="22"/>
          <w:szCs w:val="22"/>
        </w:rPr>
      </w:pPr>
    </w:p>
    <w:p w:rsidR="00AA21FB" w:rsidRPr="0074796B" w:rsidRDefault="009E1817" w:rsidP="0070608C">
      <w:pPr>
        <w:ind w:left="720"/>
        <w:jc w:val="both"/>
        <w:rPr>
          <w:sz w:val="22"/>
          <w:szCs w:val="22"/>
        </w:rPr>
      </w:pPr>
      <w:r w:rsidRPr="0074796B">
        <w:rPr>
          <w:b/>
          <w:sz w:val="22"/>
          <w:szCs w:val="22"/>
        </w:rPr>
        <w:t>4.</w:t>
      </w:r>
      <w:r w:rsidRPr="0074796B">
        <w:rPr>
          <w:sz w:val="22"/>
          <w:szCs w:val="22"/>
        </w:rPr>
        <w:t xml:space="preserve"> T</w:t>
      </w:r>
      <w:r w:rsidR="00AA21FB" w:rsidRPr="0074796B">
        <w:rPr>
          <w:sz w:val="22"/>
          <w:szCs w:val="22"/>
        </w:rPr>
        <w:t>he project will provide demonstrable improvements in quality and outcome measu</w:t>
      </w:r>
      <w:r w:rsidRPr="0074796B">
        <w:rPr>
          <w:sz w:val="22"/>
          <w:szCs w:val="22"/>
        </w:rPr>
        <w:t xml:space="preserve">res applicable to the services </w:t>
      </w:r>
      <w:r w:rsidR="00AA21FB" w:rsidRPr="0074796B">
        <w:rPr>
          <w:sz w:val="22"/>
          <w:szCs w:val="22"/>
        </w:rPr>
        <w:t>proposed in the</w:t>
      </w:r>
      <w:r w:rsidRPr="0074796B">
        <w:rPr>
          <w:sz w:val="22"/>
          <w:szCs w:val="22"/>
        </w:rPr>
        <w:t xml:space="preserve"> project</w:t>
      </w:r>
      <w:r w:rsidR="00AA21FB" w:rsidRPr="0074796B">
        <w:rPr>
          <w:sz w:val="22"/>
          <w:szCs w:val="22"/>
        </w:rPr>
        <w:t xml:space="preserve">; </w:t>
      </w:r>
    </w:p>
    <w:p w:rsidR="00AA21FB" w:rsidRPr="00177113" w:rsidRDefault="00AA21FB" w:rsidP="0070608C">
      <w:pPr>
        <w:ind w:left="720" w:hanging="360"/>
        <w:jc w:val="both"/>
      </w:pPr>
    </w:p>
    <w:p w:rsidR="00AA21FB" w:rsidRPr="0074796B" w:rsidRDefault="00AA21FB" w:rsidP="0070608C">
      <w:pPr>
        <w:ind w:left="720" w:hanging="360"/>
        <w:jc w:val="both"/>
        <w:rPr>
          <w:sz w:val="22"/>
          <w:szCs w:val="22"/>
        </w:rPr>
      </w:pPr>
      <w:r w:rsidRPr="0074796B">
        <w:rPr>
          <w:b/>
          <w:sz w:val="22"/>
          <w:szCs w:val="22"/>
        </w:rPr>
        <w:t>D.</w:t>
      </w:r>
      <w:r w:rsidRPr="0074796B">
        <w:rPr>
          <w:sz w:val="22"/>
          <w:szCs w:val="22"/>
        </w:rPr>
        <w:tab/>
        <w:t>The applicant has demonstrated that the proposed services are consistent with the orderly and economic development of health facilities and health resources for the State as demonstrated by:</w:t>
      </w:r>
    </w:p>
    <w:p w:rsidR="00AA21FB" w:rsidRPr="0074796B" w:rsidRDefault="00AA21FB" w:rsidP="0070608C">
      <w:pPr>
        <w:ind w:left="720" w:hanging="360"/>
        <w:jc w:val="both"/>
        <w:rPr>
          <w:sz w:val="22"/>
          <w:szCs w:val="22"/>
        </w:rPr>
      </w:pPr>
    </w:p>
    <w:p w:rsidR="00AA21FB" w:rsidRPr="0074796B" w:rsidRDefault="009E1817" w:rsidP="0070608C">
      <w:pPr>
        <w:ind w:left="720"/>
        <w:jc w:val="both"/>
        <w:rPr>
          <w:sz w:val="22"/>
          <w:szCs w:val="22"/>
        </w:rPr>
      </w:pPr>
      <w:r w:rsidRPr="0074796B">
        <w:rPr>
          <w:b/>
          <w:sz w:val="22"/>
          <w:szCs w:val="22"/>
        </w:rPr>
        <w:t>1.</w:t>
      </w:r>
      <w:r w:rsidRPr="0074796B">
        <w:rPr>
          <w:sz w:val="22"/>
          <w:szCs w:val="22"/>
        </w:rPr>
        <w:t xml:space="preserve"> T</w:t>
      </w:r>
      <w:r w:rsidR="00AA21FB" w:rsidRPr="0074796B">
        <w:rPr>
          <w:sz w:val="22"/>
          <w:szCs w:val="22"/>
        </w:rPr>
        <w:t xml:space="preserve">he impact of the project on total health </w:t>
      </w:r>
      <w:r w:rsidRPr="0074796B">
        <w:rPr>
          <w:sz w:val="22"/>
          <w:szCs w:val="22"/>
        </w:rPr>
        <w:t>c</w:t>
      </w:r>
      <w:r w:rsidR="00AA21FB" w:rsidRPr="0074796B">
        <w:rPr>
          <w:sz w:val="22"/>
          <w:szCs w:val="22"/>
        </w:rPr>
        <w:t>are expenditures after taking into account, to the extent practical, both the costs</w:t>
      </w:r>
      <w:r w:rsidRPr="0074796B">
        <w:rPr>
          <w:sz w:val="22"/>
          <w:szCs w:val="22"/>
        </w:rPr>
        <w:t xml:space="preserve"> </w:t>
      </w:r>
      <w:r w:rsidR="00AA21FB" w:rsidRPr="0074796B">
        <w:rPr>
          <w:sz w:val="22"/>
          <w:szCs w:val="22"/>
        </w:rPr>
        <w:t>and benefits of the project and the competing demands in the local service area</w:t>
      </w:r>
      <w:r w:rsidRPr="0074796B">
        <w:rPr>
          <w:sz w:val="22"/>
          <w:szCs w:val="22"/>
        </w:rPr>
        <w:t xml:space="preserve"> </w:t>
      </w:r>
      <w:r w:rsidR="00AA21FB" w:rsidRPr="0074796B">
        <w:rPr>
          <w:sz w:val="22"/>
          <w:szCs w:val="22"/>
        </w:rPr>
        <w:t xml:space="preserve">and statewide for available resources for health care; </w:t>
      </w:r>
    </w:p>
    <w:p w:rsidR="00AA21FB" w:rsidRPr="0074796B" w:rsidRDefault="00AA21FB" w:rsidP="0070608C">
      <w:pPr>
        <w:ind w:left="720" w:hanging="360"/>
        <w:jc w:val="both"/>
        <w:rPr>
          <w:sz w:val="22"/>
          <w:szCs w:val="22"/>
        </w:rPr>
      </w:pPr>
    </w:p>
    <w:p w:rsidR="00AA21FB" w:rsidRPr="0074796B" w:rsidRDefault="00AA21FB" w:rsidP="0070608C">
      <w:pPr>
        <w:ind w:left="720"/>
        <w:jc w:val="both"/>
        <w:rPr>
          <w:sz w:val="22"/>
          <w:szCs w:val="22"/>
        </w:rPr>
      </w:pPr>
      <w:r w:rsidRPr="0074796B">
        <w:rPr>
          <w:b/>
          <w:sz w:val="22"/>
          <w:szCs w:val="22"/>
        </w:rPr>
        <w:t>2.</w:t>
      </w:r>
      <w:r w:rsidRPr="0074796B">
        <w:rPr>
          <w:sz w:val="22"/>
          <w:szCs w:val="22"/>
        </w:rPr>
        <w:t xml:space="preserve"> The availability of State funds to cover any increase in state costs associated with utilization of the project’s services; and</w:t>
      </w:r>
    </w:p>
    <w:p w:rsidR="00AA21FB" w:rsidRPr="0074796B" w:rsidRDefault="00AA21FB" w:rsidP="0070608C">
      <w:pPr>
        <w:ind w:left="720" w:hanging="360"/>
        <w:jc w:val="both"/>
        <w:rPr>
          <w:sz w:val="22"/>
          <w:szCs w:val="22"/>
        </w:rPr>
      </w:pPr>
    </w:p>
    <w:p w:rsidR="00AA21FB" w:rsidRPr="0074796B" w:rsidRDefault="00AA21FB" w:rsidP="0070608C">
      <w:pPr>
        <w:ind w:left="720"/>
        <w:jc w:val="both"/>
        <w:rPr>
          <w:sz w:val="22"/>
          <w:szCs w:val="22"/>
        </w:rPr>
      </w:pPr>
      <w:r w:rsidRPr="0074796B">
        <w:rPr>
          <w:b/>
          <w:sz w:val="22"/>
          <w:szCs w:val="22"/>
        </w:rPr>
        <w:t>3.</w:t>
      </w:r>
      <w:r w:rsidRPr="0074796B">
        <w:rPr>
          <w:sz w:val="22"/>
          <w:szCs w:val="22"/>
        </w:rPr>
        <w:t xml:space="preserve"> The likelihood that more effective, more accessible or less costly alternative technologies or methods of service de</w:t>
      </w:r>
      <w:r w:rsidR="00616524" w:rsidRPr="0074796B">
        <w:rPr>
          <w:sz w:val="22"/>
          <w:szCs w:val="22"/>
        </w:rPr>
        <w:t>livery may become available was</w:t>
      </w:r>
      <w:r w:rsidRPr="0074796B">
        <w:rPr>
          <w:sz w:val="22"/>
          <w:szCs w:val="22"/>
        </w:rPr>
        <w:t xml:space="preserve"> demonstrated by the applicant;</w:t>
      </w:r>
    </w:p>
    <w:p w:rsidR="00AA21FB" w:rsidRPr="00177113" w:rsidRDefault="00AA21FB" w:rsidP="0070608C">
      <w:pPr>
        <w:ind w:left="720" w:hanging="360"/>
        <w:jc w:val="both"/>
      </w:pPr>
    </w:p>
    <w:p w:rsidR="0074796B" w:rsidRDefault="0074796B" w:rsidP="0070608C">
      <w:pPr>
        <w:ind w:left="720" w:hanging="360"/>
        <w:jc w:val="both"/>
        <w:rPr>
          <w:b/>
        </w:rPr>
        <w:sectPr w:rsidR="0074796B" w:rsidSect="0070608C">
          <w:headerReference w:type="default" r:id="rId25"/>
          <w:pgSz w:w="12240" w:h="15840"/>
          <w:pgMar w:top="1440" w:right="1440" w:bottom="1440" w:left="1440" w:header="720" w:footer="720" w:gutter="0"/>
          <w:cols w:space="720"/>
          <w:docGrid w:linePitch="360"/>
        </w:sectPr>
      </w:pPr>
    </w:p>
    <w:p w:rsidR="00AA21FB" w:rsidRPr="00177113" w:rsidRDefault="00E04446" w:rsidP="0070608C">
      <w:pPr>
        <w:ind w:left="720" w:hanging="360"/>
        <w:jc w:val="both"/>
      </w:pPr>
      <w:r w:rsidRPr="0074796B">
        <w:rPr>
          <w:b/>
        </w:rPr>
        <w:t>E</w:t>
      </w:r>
      <w:r w:rsidR="00AA21FB" w:rsidRPr="0074796B">
        <w:rPr>
          <w:b/>
        </w:rPr>
        <w:t>.</w:t>
      </w:r>
      <w:r w:rsidR="00AA21FB" w:rsidRPr="00177113">
        <w:tab/>
        <w:t>The applicant has</w:t>
      </w:r>
      <w:r w:rsidR="00485C0B" w:rsidRPr="00177113">
        <w:rPr>
          <w:b/>
        </w:rPr>
        <w:t xml:space="preserve"> </w:t>
      </w:r>
      <w:r w:rsidR="00AA21FB" w:rsidRPr="00177113">
        <w:t>demonstrated that the project ensures high-quality outcomes and does not negatively affect the quality of care delivered by existing service providers;</w:t>
      </w:r>
      <w:r w:rsidR="00696788" w:rsidRPr="00177113">
        <w:t xml:space="preserve"> and</w:t>
      </w:r>
    </w:p>
    <w:p w:rsidR="0074796B" w:rsidRDefault="0074796B" w:rsidP="0070608C">
      <w:pPr>
        <w:ind w:left="720" w:hanging="360"/>
        <w:jc w:val="both"/>
        <w:rPr>
          <w:b/>
          <w:sz w:val="22"/>
          <w:szCs w:val="22"/>
        </w:rPr>
      </w:pPr>
    </w:p>
    <w:p w:rsidR="005A08CC" w:rsidRPr="0074796B" w:rsidRDefault="00E04446" w:rsidP="0070608C">
      <w:pPr>
        <w:ind w:left="720" w:hanging="360"/>
        <w:jc w:val="both"/>
        <w:rPr>
          <w:sz w:val="22"/>
          <w:szCs w:val="22"/>
        </w:rPr>
      </w:pPr>
      <w:r w:rsidRPr="0074796B">
        <w:rPr>
          <w:b/>
          <w:sz w:val="22"/>
          <w:szCs w:val="22"/>
        </w:rPr>
        <w:t>F</w:t>
      </w:r>
      <w:r w:rsidR="00AA21FB" w:rsidRPr="0074796B">
        <w:rPr>
          <w:b/>
          <w:sz w:val="22"/>
          <w:szCs w:val="22"/>
        </w:rPr>
        <w:t>.</w:t>
      </w:r>
      <w:r w:rsidR="00AA21FB" w:rsidRPr="0074796B">
        <w:rPr>
          <w:sz w:val="22"/>
          <w:szCs w:val="22"/>
        </w:rPr>
        <w:tab/>
        <w:t>The applicant has demonstrated that the project does not result in inappropriate increases in service utilization, according to the principles of evidence-based medicine adop</w:t>
      </w:r>
      <w:r w:rsidR="00696788" w:rsidRPr="0074796B">
        <w:rPr>
          <w:sz w:val="22"/>
          <w:szCs w:val="22"/>
        </w:rPr>
        <w:t>ted by the Maine Quality Forum.</w:t>
      </w:r>
    </w:p>
    <w:sectPr w:rsidR="005A08CC" w:rsidRPr="0074796B" w:rsidSect="00706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9F" w:rsidRDefault="00016C9F">
      <w:r>
        <w:separator/>
      </w:r>
    </w:p>
  </w:endnote>
  <w:endnote w:type="continuationSeparator" w:id="0">
    <w:p w:rsidR="00016C9F" w:rsidRDefault="0001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9F" w:rsidRDefault="00016C9F">
      <w:r>
        <w:separator/>
      </w:r>
    </w:p>
  </w:footnote>
  <w:footnote w:type="continuationSeparator" w:id="0">
    <w:p w:rsidR="00016C9F" w:rsidRDefault="0001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2" w:rsidRDefault="00153F72" w:rsidP="00153F72">
    <w:pPr>
      <w:pStyle w:val="Header"/>
      <w:tabs>
        <w:tab w:val="clear" w:pos="8640"/>
      </w:tabs>
      <w:ind w:left="-1530"/>
    </w:pPr>
    <w:r>
      <w:rPr>
        <w:noProof/>
      </w:rPr>
      <w:drawing>
        <wp:inline distT="0" distB="0" distL="0" distR="0" wp14:anchorId="41ABF87F" wp14:editId="7D68FCAB">
          <wp:extent cx="7447464" cy="1167828"/>
          <wp:effectExtent l="0" t="0" r="1270" b="0"/>
          <wp:docPr id="1" name="Picture 1" descr="Licensing&amp;RegulatoryAugust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ing&amp;RegulatoryAugust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626" cy="1172558"/>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38" w:rsidRDefault="00674138" w:rsidP="00674138">
    <w:pPr>
      <w:pStyle w:val="Header"/>
      <w:tabs>
        <w:tab w:val="clear" w:pos="8640"/>
        <w:tab w:val="right" w:pos="9360"/>
      </w:tabs>
      <w:jc w:val="center"/>
      <w:rPr>
        <w:rStyle w:val="PageNumber"/>
      </w:rPr>
    </w:pPr>
    <w:r>
      <w:t>Dialysis Clinic, Inc.</w:t>
    </w:r>
    <w:r>
      <w:tab/>
      <w:t xml:space="preserve">- </w:t>
    </w:r>
    <w:r>
      <w:rPr>
        <w:rStyle w:val="PageNumber"/>
      </w:rPr>
      <w:fldChar w:fldCharType="begin"/>
    </w:r>
    <w:r>
      <w:rPr>
        <w:rStyle w:val="PageNumber"/>
      </w:rPr>
      <w:instrText xml:space="preserve"> PAGE </w:instrText>
    </w:r>
    <w:r>
      <w:rPr>
        <w:rStyle w:val="PageNumber"/>
      </w:rPr>
      <w:fldChar w:fldCharType="separate"/>
    </w:r>
    <w:r w:rsidR="000566E3">
      <w:rPr>
        <w:rStyle w:val="PageNumber"/>
        <w:noProof/>
      </w:rPr>
      <w:t>16</w:t>
    </w:r>
    <w:r>
      <w:rPr>
        <w:rStyle w:val="PageNumber"/>
      </w:rPr>
      <w:fldChar w:fldCharType="end"/>
    </w:r>
    <w:r>
      <w:rPr>
        <w:rStyle w:val="PageNumber"/>
      </w:rPr>
      <w:t xml:space="preserve"> -</w:t>
    </w:r>
    <w:r>
      <w:rPr>
        <w:rStyle w:val="PageNumber"/>
      </w:rPr>
      <w:tab/>
    </w:r>
    <w:r w:rsidR="002D1827">
      <w:rPr>
        <w:rStyle w:val="PageNumber"/>
      </w:rPr>
      <w:t>Acquisition of Control</w:t>
    </w:r>
  </w:p>
  <w:p w:rsidR="00674138" w:rsidRDefault="00674138" w:rsidP="00674138">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674138" w:rsidRDefault="0089374C" w:rsidP="00674138">
    <w:pPr>
      <w:pStyle w:val="Header"/>
      <w:rPr>
        <w:rStyle w:val="PageNumber"/>
      </w:rPr>
    </w:pPr>
    <w:r>
      <w:rPr>
        <w:rStyle w:val="PageNumber"/>
      </w:rPr>
      <w:t>VII. Service Utilization</w:t>
    </w:r>
  </w:p>
  <w:p w:rsidR="00674138" w:rsidRDefault="00674138" w:rsidP="006741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FA" w:rsidRDefault="002767FA" w:rsidP="00674138">
    <w:pPr>
      <w:pStyle w:val="Header"/>
      <w:tabs>
        <w:tab w:val="clear" w:pos="8640"/>
        <w:tab w:val="right" w:pos="9360"/>
      </w:tabs>
      <w:jc w:val="center"/>
      <w:rPr>
        <w:rStyle w:val="PageNumber"/>
      </w:rPr>
    </w:pPr>
    <w:r>
      <w:t>Dialysis Clinic, Inc.</w:t>
    </w:r>
    <w:r>
      <w:tab/>
      <w:t xml:space="preserve">- </w:t>
    </w:r>
    <w:r>
      <w:rPr>
        <w:rStyle w:val="PageNumber"/>
      </w:rPr>
      <w:fldChar w:fldCharType="begin"/>
    </w:r>
    <w:r>
      <w:rPr>
        <w:rStyle w:val="PageNumber"/>
      </w:rPr>
      <w:instrText xml:space="preserve"> PAGE </w:instrText>
    </w:r>
    <w:r>
      <w:rPr>
        <w:rStyle w:val="PageNumber"/>
      </w:rPr>
      <w:fldChar w:fldCharType="separate"/>
    </w:r>
    <w:r w:rsidR="000566E3">
      <w:rPr>
        <w:rStyle w:val="PageNumber"/>
        <w:noProof/>
      </w:rPr>
      <w:t>17</w:t>
    </w:r>
    <w:r>
      <w:rPr>
        <w:rStyle w:val="PageNumber"/>
      </w:rPr>
      <w:fldChar w:fldCharType="end"/>
    </w:r>
    <w:r>
      <w:rPr>
        <w:rStyle w:val="PageNumber"/>
      </w:rPr>
      <w:t xml:space="preserve"> -</w:t>
    </w:r>
    <w:r>
      <w:rPr>
        <w:rStyle w:val="PageNumber"/>
      </w:rPr>
      <w:tab/>
      <w:t>Acquisition of Control</w:t>
    </w:r>
  </w:p>
  <w:p w:rsidR="002767FA" w:rsidRDefault="002767FA" w:rsidP="00674138">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2767FA" w:rsidRDefault="002767FA" w:rsidP="00674138">
    <w:pPr>
      <w:pStyle w:val="Header"/>
      <w:rPr>
        <w:rStyle w:val="PageNumber"/>
      </w:rPr>
    </w:pPr>
    <w:r>
      <w:rPr>
        <w:rStyle w:val="PageNumber"/>
      </w:rPr>
      <w:t>VIII. Timeline</w:t>
    </w:r>
  </w:p>
  <w:p w:rsidR="002767FA" w:rsidRDefault="002767FA" w:rsidP="006741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38" w:rsidRDefault="00674138" w:rsidP="00674138">
    <w:pPr>
      <w:pStyle w:val="Header"/>
      <w:tabs>
        <w:tab w:val="clear" w:pos="8640"/>
        <w:tab w:val="right" w:pos="9360"/>
      </w:tabs>
      <w:jc w:val="center"/>
      <w:rPr>
        <w:rStyle w:val="PageNumber"/>
      </w:rPr>
    </w:pPr>
    <w:r>
      <w:t>Dialysis Clinic, Inc.</w:t>
    </w:r>
    <w:r>
      <w:tab/>
      <w:t xml:space="preserve">- </w:t>
    </w:r>
    <w:r>
      <w:rPr>
        <w:rStyle w:val="PageNumber"/>
      </w:rPr>
      <w:fldChar w:fldCharType="begin"/>
    </w:r>
    <w:r>
      <w:rPr>
        <w:rStyle w:val="PageNumber"/>
      </w:rPr>
      <w:instrText xml:space="preserve"> PAGE </w:instrText>
    </w:r>
    <w:r>
      <w:rPr>
        <w:rStyle w:val="PageNumber"/>
      </w:rPr>
      <w:fldChar w:fldCharType="separate"/>
    </w:r>
    <w:r w:rsidR="000566E3">
      <w:rPr>
        <w:rStyle w:val="PageNumber"/>
        <w:noProof/>
      </w:rPr>
      <w:t>19</w:t>
    </w:r>
    <w:r>
      <w:rPr>
        <w:rStyle w:val="PageNumber"/>
      </w:rPr>
      <w:fldChar w:fldCharType="end"/>
    </w:r>
    <w:r>
      <w:rPr>
        <w:rStyle w:val="PageNumber"/>
      </w:rPr>
      <w:t xml:space="preserve"> -</w:t>
    </w:r>
    <w:r>
      <w:rPr>
        <w:rStyle w:val="PageNumber"/>
      </w:rPr>
      <w:tab/>
    </w:r>
    <w:r w:rsidR="002D1827">
      <w:rPr>
        <w:rStyle w:val="PageNumber"/>
      </w:rPr>
      <w:t>Acquisition of Control</w:t>
    </w:r>
  </w:p>
  <w:p w:rsidR="00674138" w:rsidRDefault="00674138" w:rsidP="00674138">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674138" w:rsidRDefault="00674138" w:rsidP="00674138">
    <w:pPr>
      <w:pStyle w:val="Header"/>
      <w:rPr>
        <w:rStyle w:val="PageNumber"/>
      </w:rPr>
    </w:pPr>
    <w:r>
      <w:rPr>
        <w:rStyle w:val="PageNumber"/>
      </w:rPr>
      <w:t>IX. Finding and Recommendations</w:t>
    </w:r>
  </w:p>
  <w:p w:rsidR="00636C1A" w:rsidRDefault="00636C1A" w:rsidP="00674138">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F83B16" w:rsidP="00237C8E">
    <w:pPr>
      <w:pStyle w:val="Header"/>
      <w:tabs>
        <w:tab w:val="clear" w:pos="8640"/>
        <w:tab w:val="right" w:pos="9360"/>
      </w:tabs>
      <w:jc w:val="center"/>
      <w:rPr>
        <w:rStyle w:val="PageNumber"/>
      </w:rPr>
    </w:pPr>
    <w:r>
      <w:t>Dialysis Clinic, Inc.</w:t>
    </w:r>
    <w:r w:rsidR="00016C9F">
      <w:t xml:space="preserve"> </w:t>
    </w:r>
    <w:r w:rsidR="00016C9F">
      <w:tab/>
      <w:t xml:space="preserve">- </w:t>
    </w:r>
    <w:r w:rsidR="00016C9F">
      <w:rPr>
        <w:rStyle w:val="PageNumber"/>
      </w:rPr>
      <w:fldChar w:fldCharType="begin"/>
    </w:r>
    <w:r w:rsidR="00016C9F">
      <w:rPr>
        <w:rStyle w:val="PageNumber"/>
      </w:rPr>
      <w:instrText xml:space="preserve"> PAGE </w:instrText>
    </w:r>
    <w:r w:rsidR="00016C9F">
      <w:rPr>
        <w:rStyle w:val="PageNumber"/>
      </w:rPr>
      <w:fldChar w:fldCharType="separate"/>
    </w:r>
    <w:r w:rsidR="000566E3">
      <w:rPr>
        <w:rStyle w:val="PageNumber"/>
        <w:noProof/>
      </w:rPr>
      <w:t>3</w:t>
    </w:r>
    <w:r w:rsidR="00016C9F">
      <w:rPr>
        <w:rStyle w:val="PageNumber"/>
      </w:rPr>
      <w:fldChar w:fldCharType="end"/>
    </w:r>
    <w:r w:rsidR="00016C9F">
      <w:rPr>
        <w:rStyle w:val="PageNumber"/>
      </w:rPr>
      <w:t xml:space="preserve"> -</w:t>
    </w:r>
    <w:r w:rsidR="00016C9F">
      <w:rPr>
        <w:rStyle w:val="PageNumber"/>
      </w:rPr>
      <w:tab/>
    </w:r>
    <w:r w:rsidR="002D1827">
      <w:rPr>
        <w:rStyle w:val="PageNumber"/>
      </w:rPr>
      <w:t>Acquisition of Control</w:t>
    </w:r>
    <w:r w:rsidR="00016C9F">
      <w:rPr>
        <w:rStyle w:val="PageNumber"/>
      </w:rPr>
      <w:t xml:space="preserve"> </w:t>
    </w:r>
  </w:p>
  <w:p w:rsidR="00016C9F" w:rsidRDefault="00016C9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636C1A" w:rsidRDefault="00D22A15" w:rsidP="00636C1A">
    <w:pPr>
      <w:pStyle w:val="Header"/>
      <w:numPr>
        <w:ilvl w:val="0"/>
        <w:numId w:val="17"/>
      </w:numPr>
      <w:ind w:left="270" w:hanging="270"/>
      <w:rPr>
        <w:rStyle w:val="PageNumber"/>
      </w:rPr>
    </w:pPr>
    <w:r>
      <w:rPr>
        <w:rStyle w:val="PageNumber"/>
      </w:rPr>
      <w:t>Abstract</w:t>
    </w:r>
  </w:p>
  <w:p w:rsidR="00636C1A" w:rsidRDefault="00636C1A" w:rsidP="00636C1A">
    <w:pPr>
      <w:pStyle w:val="Header"/>
      <w:ind w:left="27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15" w:rsidRDefault="00D22A15" w:rsidP="00237C8E">
    <w:pPr>
      <w:pStyle w:val="Header"/>
      <w:tabs>
        <w:tab w:val="clear" w:pos="8640"/>
        <w:tab w:val="right" w:pos="9360"/>
      </w:tabs>
      <w:jc w:val="center"/>
      <w:rPr>
        <w:rStyle w:val="PageNumber"/>
      </w:rPr>
    </w:pPr>
    <w:r>
      <w:t xml:space="preserve">Dialysis Clinic, Inc. </w:t>
    </w:r>
    <w:r>
      <w:tab/>
      <w:t xml:space="preserve">- </w:t>
    </w:r>
    <w:r>
      <w:rPr>
        <w:rStyle w:val="PageNumber"/>
      </w:rPr>
      <w:fldChar w:fldCharType="begin"/>
    </w:r>
    <w:r>
      <w:rPr>
        <w:rStyle w:val="PageNumber"/>
      </w:rPr>
      <w:instrText xml:space="preserve"> PAGE </w:instrText>
    </w:r>
    <w:r>
      <w:rPr>
        <w:rStyle w:val="PageNumber"/>
      </w:rPr>
      <w:fldChar w:fldCharType="separate"/>
    </w:r>
    <w:r w:rsidR="000566E3">
      <w:rPr>
        <w:rStyle w:val="PageNumber"/>
        <w:noProof/>
      </w:rPr>
      <w:t>5</w:t>
    </w:r>
    <w:r>
      <w:rPr>
        <w:rStyle w:val="PageNumber"/>
      </w:rPr>
      <w:fldChar w:fldCharType="end"/>
    </w:r>
    <w:r>
      <w:rPr>
        <w:rStyle w:val="PageNumber"/>
      </w:rPr>
      <w:t xml:space="preserve"> -</w:t>
    </w:r>
    <w:r>
      <w:rPr>
        <w:rStyle w:val="PageNumber"/>
      </w:rPr>
      <w:tab/>
      <w:t xml:space="preserve">Acquisition of Control </w:t>
    </w:r>
  </w:p>
  <w:p w:rsidR="00D22A15" w:rsidRDefault="00D22A15"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D22A15" w:rsidRDefault="00D22A15">
    <w:pPr>
      <w:pStyle w:val="Header"/>
      <w:rPr>
        <w:rStyle w:val="PageNumber"/>
      </w:rPr>
    </w:pPr>
    <w:r>
      <w:rPr>
        <w:rStyle w:val="PageNumber"/>
      </w:rPr>
      <w:t>II. Fit, Willing and Able</w:t>
    </w:r>
  </w:p>
  <w:p w:rsidR="00636C1A" w:rsidRDefault="00636C1A">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6643FE" w:rsidP="001804AF">
    <w:pPr>
      <w:pStyle w:val="Header"/>
      <w:tabs>
        <w:tab w:val="clear" w:pos="8640"/>
        <w:tab w:val="right" w:pos="9360"/>
      </w:tabs>
      <w:jc w:val="center"/>
      <w:rPr>
        <w:rStyle w:val="PageNumber"/>
      </w:rPr>
    </w:pPr>
    <w:r>
      <w:t>Dialysis Clinic, Inc.</w:t>
    </w:r>
    <w:r w:rsidR="00016C9F">
      <w:tab/>
      <w:t xml:space="preserve">- </w:t>
    </w:r>
    <w:r w:rsidR="00016C9F">
      <w:rPr>
        <w:rStyle w:val="PageNumber"/>
      </w:rPr>
      <w:fldChar w:fldCharType="begin"/>
    </w:r>
    <w:r w:rsidR="00016C9F">
      <w:rPr>
        <w:rStyle w:val="PageNumber"/>
      </w:rPr>
      <w:instrText xml:space="preserve"> PAGE </w:instrText>
    </w:r>
    <w:r w:rsidR="00016C9F">
      <w:rPr>
        <w:rStyle w:val="PageNumber"/>
      </w:rPr>
      <w:fldChar w:fldCharType="separate"/>
    </w:r>
    <w:r w:rsidR="000566E3">
      <w:rPr>
        <w:rStyle w:val="PageNumber"/>
        <w:noProof/>
      </w:rPr>
      <w:t>7</w:t>
    </w:r>
    <w:r w:rsidR="00016C9F">
      <w:rPr>
        <w:rStyle w:val="PageNumber"/>
      </w:rPr>
      <w:fldChar w:fldCharType="end"/>
    </w:r>
    <w:r w:rsidR="00016C9F">
      <w:rPr>
        <w:rStyle w:val="PageNumber"/>
      </w:rPr>
      <w:t xml:space="preserve"> -</w:t>
    </w:r>
    <w:r w:rsidR="00016C9F">
      <w:rPr>
        <w:rStyle w:val="PageNumber"/>
      </w:rPr>
      <w:tab/>
    </w:r>
    <w:r w:rsidR="002D1827">
      <w:rPr>
        <w:rStyle w:val="PageNumber"/>
      </w:rPr>
      <w:t>Acquisition of Control</w:t>
    </w:r>
  </w:p>
  <w:p w:rsidR="00016C9F" w:rsidRDefault="00016C9F"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016C9F" w:rsidP="00177113">
    <w:pPr>
      <w:pStyle w:val="Header"/>
      <w:tabs>
        <w:tab w:val="clear" w:pos="8640"/>
        <w:tab w:val="right" w:pos="9360"/>
      </w:tabs>
      <w:rPr>
        <w:rStyle w:val="PageNumber"/>
        <w:bCs/>
      </w:rPr>
    </w:pPr>
    <w:r>
      <w:rPr>
        <w:rStyle w:val="PageNumber"/>
        <w:bCs/>
      </w:rPr>
      <w:t>III. Economic Feasibility</w:t>
    </w:r>
  </w:p>
  <w:p w:rsidR="00636C1A" w:rsidRDefault="00636C1A" w:rsidP="00177113">
    <w:pPr>
      <w:pStyle w:val="Header"/>
      <w:tabs>
        <w:tab w:val="clear" w:pos="8640"/>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4E" w:rsidRDefault="004B064E" w:rsidP="001804AF">
    <w:pPr>
      <w:pStyle w:val="Header"/>
      <w:tabs>
        <w:tab w:val="clear" w:pos="8640"/>
        <w:tab w:val="right" w:pos="9360"/>
      </w:tabs>
      <w:jc w:val="center"/>
    </w:pPr>
  </w:p>
  <w:p w:rsidR="00016C9F" w:rsidRDefault="006643FE" w:rsidP="001804AF">
    <w:pPr>
      <w:pStyle w:val="Header"/>
      <w:tabs>
        <w:tab w:val="clear" w:pos="8640"/>
        <w:tab w:val="right" w:pos="9360"/>
      </w:tabs>
      <w:jc w:val="center"/>
      <w:rPr>
        <w:rStyle w:val="PageNumber"/>
      </w:rPr>
    </w:pPr>
    <w:r>
      <w:t>Dialysis Clinic, Inc.</w:t>
    </w:r>
    <w:r w:rsidR="00016C9F">
      <w:t xml:space="preserve"> </w:t>
    </w:r>
    <w:r w:rsidR="00016C9F">
      <w:tab/>
      <w:t xml:space="preserve">- </w:t>
    </w:r>
    <w:r w:rsidR="00016C9F">
      <w:rPr>
        <w:rStyle w:val="PageNumber"/>
      </w:rPr>
      <w:fldChar w:fldCharType="begin"/>
    </w:r>
    <w:r w:rsidR="00016C9F">
      <w:rPr>
        <w:rStyle w:val="PageNumber"/>
      </w:rPr>
      <w:instrText xml:space="preserve"> PAGE </w:instrText>
    </w:r>
    <w:r w:rsidR="00016C9F">
      <w:rPr>
        <w:rStyle w:val="PageNumber"/>
      </w:rPr>
      <w:fldChar w:fldCharType="separate"/>
    </w:r>
    <w:r w:rsidR="000566E3">
      <w:rPr>
        <w:rStyle w:val="PageNumber"/>
        <w:noProof/>
      </w:rPr>
      <w:t>11</w:t>
    </w:r>
    <w:r w:rsidR="00016C9F">
      <w:rPr>
        <w:rStyle w:val="PageNumber"/>
      </w:rPr>
      <w:fldChar w:fldCharType="end"/>
    </w:r>
    <w:r w:rsidR="00016C9F">
      <w:rPr>
        <w:rStyle w:val="PageNumber"/>
      </w:rPr>
      <w:t xml:space="preserve"> -</w:t>
    </w:r>
    <w:r w:rsidR="00016C9F">
      <w:rPr>
        <w:rStyle w:val="PageNumber"/>
      </w:rPr>
      <w:tab/>
    </w:r>
    <w:r w:rsidR="002D1827">
      <w:rPr>
        <w:rStyle w:val="PageNumber"/>
      </w:rPr>
      <w:t>Acquisition of Control</w:t>
    </w:r>
  </w:p>
  <w:p w:rsidR="00016C9F" w:rsidRDefault="00016C9F"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016C9F" w:rsidP="0050666A">
    <w:pPr>
      <w:pStyle w:val="Header"/>
      <w:tabs>
        <w:tab w:val="clear" w:pos="8640"/>
        <w:tab w:val="right" w:pos="9360"/>
      </w:tabs>
      <w:rPr>
        <w:rStyle w:val="PageNumber"/>
        <w:bCs/>
      </w:rPr>
    </w:pPr>
    <w:r>
      <w:rPr>
        <w:rStyle w:val="PageNumber"/>
        <w:bCs/>
      </w:rPr>
      <w:t>IV. Public Need</w:t>
    </w:r>
  </w:p>
  <w:p w:rsidR="00636C1A" w:rsidRDefault="00636C1A" w:rsidP="0050666A">
    <w:pPr>
      <w:pStyle w:val="Header"/>
      <w:tabs>
        <w:tab w:val="clear" w:pos="864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6643FE" w:rsidP="001804AF">
    <w:pPr>
      <w:pStyle w:val="Header"/>
      <w:tabs>
        <w:tab w:val="clear" w:pos="8640"/>
        <w:tab w:val="right" w:pos="9360"/>
      </w:tabs>
      <w:jc w:val="center"/>
      <w:rPr>
        <w:rStyle w:val="PageNumber"/>
      </w:rPr>
    </w:pPr>
    <w:r>
      <w:t>Dialysis Clinic, Inc.</w:t>
    </w:r>
    <w:r w:rsidR="00016C9F">
      <w:tab/>
      <w:t xml:space="preserve">- </w:t>
    </w:r>
    <w:r w:rsidR="00016C9F">
      <w:rPr>
        <w:rStyle w:val="PageNumber"/>
      </w:rPr>
      <w:fldChar w:fldCharType="begin"/>
    </w:r>
    <w:r w:rsidR="00016C9F">
      <w:rPr>
        <w:rStyle w:val="PageNumber"/>
      </w:rPr>
      <w:instrText xml:space="preserve"> PAGE </w:instrText>
    </w:r>
    <w:r w:rsidR="00016C9F">
      <w:rPr>
        <w:rStyle w:val="PageNumber"/>
      </w:rPr>
      <w:fldChar w:fldCharType="separate"/>
    </w:r>
    <w:r w:rsidR="000566E3">
      <w:rPr>
        <w:rStyle w:val="PageNumber"/>
        <w:noProof/>
      </w:rPr>
      <w:t>13</w:t>
    </w:r>
    <w:r w:rsidR="00016C9F">
      <w:rPr>
        <w:rStyle w:val="PageNumber"/>
      </w:rPr>
      <w:fldChar w:fldCharType="end"/>
    </w:r>
    <w:r w:rsidR="00016C9F">
      <w:rPr>
        <w:rStyle w:val="PageNumber"/>
      </w:rPr>
      <w:t xml:space="preserve"> -</w:t>
    </w:r>
    <w:r w:rsidR="00016C9F">
      <w:rPr>
        <w:rStyle w:val="PageNumber"/>
      </w:rPr>
      <w:tab/>
    </w:r>
    <w:r w:rsidR="002D1827">
      <w:rPr>
        <w:rStyle w:val="PageNumber"/>
      </w:rPr>
      <w:t>Acquisition of Control</w:t>
    </w:r>
  </w:p>
  <w:p w:rsidR="00016C9F" w:rsidRDefault="00016C9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016C9F">
    <w:pPr>
      <w:pStyle w:val="Header"/>
      <w:rPr>
        <w:rStyle w:val="PageNumber"/>
      </w:rPr>
    </w:pPr>
    <w:r>
      <w:rPr>
        <w:rStyle w:val="PageNumber"/>
      </w:rPr>
      <w:t xml:space="preserve">V. </w:t>
    </w:r>
    <w:r w:rsidR="00674138">
      <w:rPr>
        <w:rStyle w:val="PageNumber"/>
      </w:rPr>
      <w:t>Orderly and Economic Development</w:t>
    </w:r>
  </w:p>
  <w:p w:rsidR="00636C1A" w:rsidRDefault="00636C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38" w:rsidRDefault="00674138" w:rsidP="001804AF">
    <w:pPr>
      <w:pStyle w:val="Header"/>
      <w:tabs>
        <w:tab w:val="clear" w:pos="8640"/>
        <w:tab w:val="right" w:pos="9360"/>
      </w:tabs>
      <w:jc w:val="center"/>
      <w:rPr>
        <w:rStyle w:val="PageNumber"/>
      </w:rPr>
    </w:pPr>
    <w:r>
      <w:t>Dialysis Clinic, Inc.</w:t>
    </w:r>
    <w:r>
      <w:tab/>
      <w:t xml:space="preserve">- </w:t>
    </w:r>
    <w:r>
      <w:rPr>
        <w:rStyle w:val="PageNumber"/>
      </w:rPr>
      <w:fldChar w:fldCharType="begin"/>
    </w:r>
    <w:r>
      <w:rPr>
        <w:rStyle w:val="PageNumber"/>
      </w:rPr>
      <w:instrText xml:space="preserve"> PAGE </w:instrText>
    </w:r>
    <w:r>
      <w:rPr>
        <w:rStyle w:val="PageNumber"/>
      </w:rPr>
      <w:fldChar w:fldCharType="separate"/>
    </w:r>
    <w:r w:rsidR="000566E3">
      <w:rPr>
        <w:rStyle w:val="PageNumber"/>
        <w:noProof/>
      </w:rPr>
      <w:t>15</w:t>
    </w:r>
    <w:r>
      <w:rPr>
        <w:rStyle w:val="PageNumber"/>
      </w:rPr>
      <w:fldChar w:fldCharType="end"/>
    </w:r>
    <w:r>
      <w:rPr>
        <w:rStyle w:val="PageNumber"/>
      </w:rPr>
      <w:t xml:space="preserve"> -</w:t>
    </w:r>
    <w:r>
      <w:rPr>
        <w:rStyle w:val="PageNumber"/>
      </w:rPr>
      <w:tab/>
    </w:r>
    <w:r w:rsidR="002D1827">
      <w:rPr>
        <w:rStyle w:val="PageNumber"/>
      </w:rPr>
      <w:t>Acquisition of Control</w:t>
    </w:r>
  </w:p>
  <w:p w:rsidR="00674138" w:rsidRDefault="00674138"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674138" w:rsidRDefault="00674138">
    <w:pPr>
      <w:pStyle w:val="Header"/>
      <w:rPr>
        <w:rStyle w:val="PageNumber"/>
      </w:rPr>
    </w:pPr>
    <w:r>
      <w:rPr>
        <w:rStyle w:val="PageNumber"/>
      </w:rPr>
      <w:t>VI. Outcomes and Community Impact</w:t>
    </w:r>
  </w:p>
  <w:p w:rsidR="00636C1A" w:rsidRDefault="00636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AD1"/>
    <w:multiLevelType w:val="hybridMultilevel"/>
    <w:tmpl w:val="4782BF6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0645"/>
    <w:multiLevelType w:val="hybridMultilevel"/>
    <w:tmpl w:val="D4F2CD40"/>
    <w:lvl w:ilvl="0" w:tplc="B5F28B5C">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F2771"/>
    <w:multiLevelType w:val="hybridMultilevel"/>
    <w:tmpl w:val="9334D83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605D8"/>
    <w:multiLevelType w:val="hybridMultilevel"/>
    <w:tmpl w:val="65144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C0562"/>
    <w:multiLevelType w:val="hybridMultilevel"/>
    <w:tmpl w:val="56C8CA30"/>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66032"/>
    <w:multiLevelType w:val="hybridMultilevel"/>
    <w:tmpl w:val="A9E2D6F2"/>
    <w:lvl w:ilvl="0" w:tplc="4B28B6C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5819"/>
    <w:multiLevelType w:val="hybridMultilevel"/>
    <w:tmpl w:val="373C5D7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F51EE"/>
    <w:multiLevelType w:val="hybridMultilevel"/>
    <w:tmpl w:val="92B23FC8"/>
    <w:lvl w:ilvl="0" w:tplc="5AEA4216">
      <w:start w:val="2"/>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8B5972"/>
    <w:multiLevelType w:val="hybridMultilevel"/>
    <w:tmpl w:val="AD10D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43464"/>
    <w:multiLevelType w:val="hybridMultilevel"/>
    <w:tmpl w:val="DB2CA8B4"/>
    <w:lvl w:ilvl="0" w:tplc="342CC38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E37EB"/>
    <w:multiLevelType w:val="hybridMultilevel"/>
    <w:tmpl w:val="8514D5C6"/>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80596"/>
    <w:multiLevelType w:val="hybridMultilevel"/>
    <w:tmpl w:val="BFAA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62988"/>
    <w:multiLevelType w:val="hybridMultilevel"/>
    <w:tmpl w:val="44ACF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E0BB8"/>
    <w:multiLevelType w:val="hybridMultilevel"/>
    <w:tmpl w:val="8EA621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E8F54AF"/>
    <w:multiLevelType w:val="hybridMultilevel"/>
    <w:tmpl w:val="232CB4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F4F1604"/>
    <w:multiLevelType w:val="hybridMultilevel"/>
    <w:tmpl w:val="A05A4BC0"/>
    <w:lvl w:ilvl="0" w:tplc="9FF29E42">
      <w:start w:val="6"/>
      <w:numFmt w:val="upperRoman"/>
      <w:lvlText w:val="%1."/>
      <w:lvlJc w:val="left"/>
      <w:pPr>
        <w:ind w:left="76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51D36"/>
    <w:multiLevelType w:val="hybridMultilevel"/>
    <w:tmpl w:val="A332311C"/>
    <w:lvl w:ilvl="0" w:tplc="4CFA8C8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7C66D5"/>
    <w:multiLevelType w:val="hybridMultilevel"/>
    <w:tmpl w:val="78642B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6696AB4"/>
    <w:multiLevelType w:val="hybridMultilevel"/>
    <w:tmpl w:val="6ABE6596"/>
    <w:lvl w:ilvl="0" w:tplc="6F5EF4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81389"/>
    <w:multiLevelType w:val="hybridMultilevel"/>
    <w:tmpl w:val="F02A2276"/>
    <w:lvl w:ilvl="0" w:tplc="B7027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16"/>
  </w:num>
  <w:num w:numId="5">
    <w:abstractNumId w:val="5"/>
  </w:num>
  <w:num w:numId="6">
    <w:abstractNumId w:val="13"/>
  </w:num>
  <w:num w:numId="7">
    <w:abstractNumId w:val="6"/>
  </w:num>
  <w:num w:numId="8">
    <w:abstractNumId w:val="19"/>
  </w:num>
  <w:num w:numId="9">
    <w:abstractNumId w:val="10"/>
  </w:num>
  <w:num w:numId="10">
    <w:abstractNumId w:val="7"/>
  </w:num>
  <w:num w:numId="11">
    <w:abstractNumId w:val="17"/>
  </w:num>
  <w:num w:numId="12">
    <w:abstractNumId w:val="8"/>
  </w:num>
  <w:num w:numId="13">
    <w:abstractNumId w:val="2"/>
  </w:num>
  <w:num w:numId="14">
    <w:abstractNumId w:val="0"/>
  </w:num>
  <w:num w:numId="15">
    <w:abstractNumId w:val="3"/>
  </w:num>
  <w:num w:numId="16">
    <w:abstractNumId w:val="12"/>
  </w:num>
  <w:num w:numId="17">
    <w:abstractNumId w:val="20"/>
  </w:num>
  <w:num w:numId="18">
    <w:abstractNumId w:val="1"/>
  </w:num>
  <w:num w:numId="19">
    <w:abstractNumId w:val="4"/>
  </w:num>
  <w:num w:numId="20">
    <w:abstractNumId w:val="11"/>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1A9"/>
    <w:rsid w:val="00003BF7"/>
    <w:rsid w:val="00003E55"/>
    <w:rsid w:val="000061C0"/>
    <w:rsid w:val="00007462"/>
    <w:rsid w:val="00010FEE"/>
    <w:rsid w:val="000116C6"/>
    <w:rsid w:val="00013754"/>
    <w:rsid w:val="00014F57"/>
    <w:rsid w:val="00016B51"/>
    <w:rsid w:val="00016C9F"/>
    <w:rsid w:val="00016F66"/>
    <w:rsid w:val="000216A0"/>
    <w:rsid w:val="00024D4B"/>
    <w:rsid w:val="00026156"/>
    <w:rsid w:val="00026432"/>
    <w:rsid w:val="000306F8"/>
    <w:rsid w:val="00032533"/>
    <w:rsid w:val="000345DE"/>
    <w:rsid w:val="00034FD4"/>
    <w:rsid w:val="0003667B"/>
    <w:rsid w:val="00040D10"/>
    <w:rsid w:val="00041EBA"/>
    <w:rsid w:val="00043186"/>
    <w:rsid w:val="0004389E"/>
    <w:rsid w:val="000442EE"/>
    <w:rsid w:val="000450F3"/>
    <w:rsid w:val="00046DFB"/>
    <w:rsid w:val="00051392"/>
    <w:rsid w:val="00052A8E"/>
    <w:rsid w:val="00052C28"/>
    <w:rsid w:val="00054225"/>
    <w:rsid w:val="000544B7"/>
    <w:rsid w:val="00055047"/>
    <w:rsid w:val="0005511F"/>
    <w:rsid w:val="00055F8B"/>
    <w:rsid w:val="000566E3"/>
    <w:rsid w:val="00056D31"/>
    <w:rsid w:val="00062BF0"/>
    <w:rsid w:val="00063F10"/>
    <w:rsid w:val="000663D0"/>
    <w:rsid w:val="00070193"/>
    <w:rsid w:val="00075057"/>
    <w:rsid w:val="00076012"/>
    <w:rsid w:val="00076607"/>
    <w:rsid w:val="00077EEC"/>
    <w:rsid w:val="00080825"/>
    <w:rsid w:val="000854E9"/>
    <w:rsid w:val="000872FD"/>
    <w:rsid w:val="000902AD"/>
    <w:rsid w:val="00091B04"/>
    <w:rsid w:val="000922F1"/>
    <w:rsid w:val="00092D67"/>
    <w:rsid w:val="000930A4"/>
    <w:rsid w:val="00093328"/>
    <w:rsid w:val="00094484"/>
    <w:rsid w:val="0009650B"/>
    <w:rsid w:val="000967EB"/>
    <w:rsid w:val="000968D5"/>
    <w:rsid w:val="00096B41"/>
    <w:rsid w:val="00097517"/>
    <w:rsid w:val="00097693"/>
    <w:rsid w:val="000A05E6"/>
    <w:rsid w:val="000A06C5"/>
    <w:rsid w:val="000A08C9"/>
    <w:rsid w:val="000A119F"/>
    <w:rsid w:val="000A3E3D"/>
    <w:rsid w:val="000A5118"/>
    <w:rsid w:val="000A6DC8"/>
    <w:rsid w:val="000B1DBE"/>
    <w:rsid w:val="000B3084"/>
    <w:rsid w:val="000B3361"/>
    <w:rsid w:val="000B42CF"/>
    <w:rsid w:val="000B563C"/>
    <w:rsid w:val="000B58E2"/>
    <w:rsid w:val="000B6428"/>
    <w:rsid w:val="000B6B59"/>
    <w:rsid w:val="000B6F6B"/>
    <w:rsid w:val="000C02CD"/>
    <w:rsid w:val="000C05B8"/>
    <w:rsid w:val="000C184B"/>
    <w:rsid w:val="000C4118"/>
    <w:rsid w:val="000C4CF6"/>
    <w:rsid w:val="000C5ABE"/>
    <w:rsid w:val="000C5C78"/>
    <w:rsid w:val="000C7F8B"/>
    <w:rsid w:val="000D12B4"/>
    <w:rsid w:val="000D46A5"/>
    <w:rsid w:val="000D72BF"/>
    <w:rsid w:val="000D7454"/>
    <w:rsid w:val="000D7F49"/>
    <w:rsid w:val="000E0EFF"/>
    <w:rsid w:val="000E25BD"/>
    <w:rsid w:val="000E592E"/>
    <w:rsid w:val="000E6CF3"/>
    <w:rsid w:val="000F300C"/>
    <w:rsid w:val="000F36BB"/>
    <w:rsid w:val="000F4D08"/>
    <w:rsid w:val="000F7E1C"/>
    <w:rsid w:val="000F7F2B"/>
    <w:rsid w:val="0010200A"/>
    <w:rsid w:val="00106349"/>
    <w:rsid w:val="00106DC2"/>
    <w:rsid w:val="0010762B"/>
    <w:rsid w:val="0010786D"/>
    <w:rsid w:val="00112136"/>
    <w:rsid w:val="0011216D"/>
    <w:rsid w:val="001123F4"/>
    <w:rsid w:val="001150F3"/>
    <w:rsid w:val="0011600C"/>
    <w:rsid w:val="00116289"/>
    <w:rsid w:val="0011644F"/>
    <w:rsid w:val="00117CD5"/>
    <w:rsid w:val="00120B0F"/>
    <w:rsid w:val="001212EB"/>
    <w:rsid w:val="00121C05"/>
    <w:rsid w:val="001227AD"/>
    <w:rsid w:val="001249E7"/>
    <w:rsid w:val="00125D7A"/>
    <w:rsid w:val="00126780"/>
    <w:rsid w:val="001270B3"/>
    <w:rsid w:val="00127993"/>
    <w:rsid w:val="00130ECD"/>
    <w:rsid w:val="00131744"/>
    <w:rsid w:val="001328E1"/>
    <w:rsid w:val="001342BD"/>
    <w:rsid w:val="00136B46"/>
    <w:rsid w:val="0013773E"/>
    <w:rsid w:val="001411A8"/>
    <w:rsid w:val="00141379"/>
    <w:rsid w:val="00141856"/>
    <w:rsid w:val="0014286D"/>
    <w:rsid w:val="00142AF5"/>
    <w:rsid w:val="001437E4"/>
    <w:rsid w:val="00143889"/>
    <w:rsid w:val="001452EE"/>
    <w:rsid w:val="001453D0"/>
    <w:rsid w:val="00147374"/>
    <w:rsid w:val="0014742E"/>
    <w:rsid w:val="00150ABE"/>
    <w:rsid w:val="00150C76"/>
    <w:rsid w:val="00153F72"/>
    <w:rsid w:val="00154A8B"/>
    <w:rsid w:val="001552DF"/>
    <w:rsid w:val="001606CA"/>
    <w:rsid w:val="00161043"/>
    <w:rsid w:val="0016238C"/>
    <w:rsid w:val="0016323D"/>
    <w:rsid w:val="00163C16"/>
    <w:rsid w:val="00164035"/>
    <w:rsid w:val="0016455F"/>
    <w:rsid w:val="00164DC7"/>
    <w:rsid w:val="00170A22"/>
    <w:rsid w:val="00171EA8"/>
    <w:rsid w:val="00172171"/>
    <w:rsid w:val="00172B2C"/>
    <w:rsid w:val="00174B5C"/>
    <w:rsid w:val="00175A6C"/>
    <w:rsid w:val="00177113"/>
    <w:rsid w:val="0018003F"/>
    <w:rsid w:val="001804AF"/>
    <w:rsid w:val="001819BD"/>
    <w:rsid w:val="00181BCF"/>
    <w:rsid w:val="001823ED"/>
    <w:rsid w:val="00182C85"/>
    <w:rsid w:val="00182C8B"/>
    <w:rsid w:val="00185184"/>
    <w:rsid w:val="001870AC"/>
    <w:rsid w:val="0018741D"/>
    <w:rsid w:val="00187F19"/>
    <w:rsid w:val="00192F8A"/>
    <w:rsid w:val="001940E3"/>
    <w:rsid w:val="00194135"/>
    <w:rsid w:val="001A0ED7"/>
    <w:rsid w:val="001A110A"/>
    <w:rsid w:val="001A2774"/>
    <w:rsid w:val="001A3904"/>
    <w:rsid w:val="001A5864"/>
    <w:rsid w:val="001A733F"/>
    <w:rsid w:val="001A734E"/>
    <w:rsid w:val="001B0B14"/>
    <w:rsid w:val="001B1B91"/>
    <w:rsid w:val="001B5D94"/>
    <w:rsid w:val="001B6517"/>
    <w:rsid w:val="001B68F2"/>
    <w:rsid w:val="001B735B"/>
    <w:rsid w:val="001B7F40"/>
    <w:rsid w:val="001C1832"/>
    <w:rsid w:val="001C19A4"/>
    <w:rsid w:val="001C26FE"/>
    <w:rsid w:val="001C4A51"/>
    <w:rsid w:val="001C51C6"/>
    <w:rsid w:val="001C542F"/>
    <w:rsid w:val="001C713E"/>
    <w:rsid w:val="001D0296"/>
    <w:rsid w:val="001D213B"/>
    <w:rsid w:val="001D36E5"/>
    <w:rsid w:val="001D3C46"/>
    <w:rsid w:val="001D3FC9"/>
    <w:rsid w:val="001D6399"/>
    <w:rsid w:val="001D679E"/>
    <w:rsid w:val="001D6D33"/>
    <w:rsid w:val="001E00BD"/>
    <w:rsid w:val="001E269A"/>
    <w:rsid w:val="001E3A4E"/>
    <w:rsid w:val="001E594F"/>
    <w:rsid w:val="001E6BFB"/>
    <w:rsid w:val="001E7C49"/>
    <w:rsid w:val="001F067B"/>
    <w:rsid w:val="001F215C"/>
    <w:rsid w:val="001F4319"/>
    <w:rsid w:val="001F4990"/>
    <w:rsid w:val="001F58AF"/>
    <w:rsid w:val="001F5BCA"/>
    <w:rsid w:val="001F5D04"/>
    <w:rsid w:val="001F5D2A"/>
    <w:rsid w:val="001F7401"/>
    <w:rsid w:val="00200076"/>
    <w:rsid w:val="002003C8"/>
    <w:rsid w:val="00200D4B"/>
    <w:rsid w:val="00201FC4"/>
    <w:rsid w:val="00202E71"/>
    <w:rsid w:val="00204F50"/>
    <w:rsid w:val="0020536F"/>
    <w:rsid w:val="00205E08"/>
    <w:rsid w:val="00206984"/>
    <w:rsid w:val="00210E23"/>
    <w:rsid w:val="00212F87"/>
    <w:rsid w:val="00214036"/>
    <w:rsid w:val="002147A0"/>
    <w:rsid w:val="00214F84"/>
    <w:rsid w:val="00215D54"/>
    <w:rsid w:val="00215D9F"/>
    <w:rsid w:val="00216329"/>
    <w:rsid w:val="00216F07"/>
    <w:rsid w:val="0022060C"/>
    <w:rsid w:val="0022100D"/>
    <w:rsid w:val="0022146F"/>
    <w:rsid w:val="00222352"/>
    <w:rsid w:val="00222A11"/>
    <w:rsid w:val="00224144"/>
    <w:rsid w:val="00224366"/>
    <w:rsid w:val="002256D6"/>
    <w:rsid w:val="00225DC6"/>
    <w:rsid w:val="00227CB8"/>
    <w:rsid w:val="0023013F"/>
    <w:rsid w:val="0023123B"/>
    <w:rsid w:val="00232440"/>
    <w:rsid w:val="00235199"/>
    <w:rsid w:val="00235FA9"/>
    <w:rsid w:val="002369A8"/>
    <w:rsid w:val="00236A10"/>
    <w:rsid w:val="00237C8E"/>
    <w:rsid w:val="00237E17"/>
    <w:rsid w:val="00240843"/>
    <w:rsid w:val="00241573"/>
    <w:rsid w:val="00244346"/>
    <w:rsid w:val="00245CA8"/>
    <w:rsid w:val="00247F3D"/>
    <w:rsid w:val="00250263"/>
    <w:rsid w:val="00251E25"/>
    <w:rsid w:val="00251F13"/>
    <w:rsid w:val="00251F6D"/>
    <w:rsid w:val="002525B6"/>
    <w:rsid w:val="00252E7D"/>
    <w:rsid w:val="00253CD1"/>
    <w:rsid w:val="00255BCA"/>
    <w:rsid w:val="0025717C"/>
    <w:rsid w:val="0025743F"/>
    <w:rsid w:val="00257FA4"/>
    <w:rsid w:val="00262CC3"/>
    <w:rsid w:val="00262F87"/>
    <w:rsid w:val="0026409A"/>
    <w:rsid w:val="00265AE1"/>
    <w:rsid w:val="00270C8C"/>
    <w:rsid w:val="00272AEC"/>
    <w:rsid w:val="00272BAF"/>
    <w:rsid w:val="002732A7"/>
    <w:rsid w:val="00273E81"/>
    <w:rsid w:val="00274534"/>
    <w:rsid w:val="00274A23"/>
    <w:rsid w:val="002767FA"/>
    <w:rsid w:val="00277DBF"/>
    <w:rsid w:val="002823F9"/>
    <w:rsid w:val="00283D65"/>
    <w:rsid w:val="00283DC2"/>
    <w:rsid w:val="0028523A"/>
    <w:rsid w:val="0028763E"/>
    <w:rsid w:val="00287742"/>
    <w:rsid w:val="002935BF"/>
    <w:rsid w:val="00293647"/>
    <w:rsid w:val="002940A8"/>
    <w:rsid w:val="00294CE5"/>
    <w:rsid w:val="00294DEC"/>
    <w:rsid w:val="0029625C"/>
    <w:rsid w:val="0029675D"/>
    <w:rsid w:val="002975E4"/>
    <w:rsid w:val="002A0E6B"/>
    <w:rsid w:val="002A14EA"/>
    <w:rsid w:val="002A5230"/>
    <w:rsid w:val="002A5A03"/>
    <w:rsid w:val="002B0D72"/>
    <w:rsid w:val="002B0F12"/>
    <w:rsid w:val="002B6542"/>
    <w:rsid w:val="002C009E"/>
    <w:rsid w:val="002C2225"/>
    <w:rsid w:val="002C3EE6"/>
    <w:rsid w:val="002C52F0"/>
    <w:rsid w:val="002C781C"/>
    <w:rsid w:val="002C7BD1"/>
    <w:rsid w:val="002D1827"/>
    <w:rsid w:val="002D457E"/>
    <w:rsid w:val="002D4697"/>
    <w:rsid w:val="002D5814"/>
    <w:rsid w:val="002D5FB7"/>
    <w:rsid w:val="002D6538"/>
    <w:rsid w:val="002E0E08"/>
    <w:rsid w:val="002E1EB3"/>
    <w:rsid w:val="002E3098"/>
    <w:rsid w:val="002E5AD7"/>
    <w:rsid w:val="002E5DFF"/>
    <w:rsid w:val="002F1A23"/>
    <w:rsid w:val="002F5D5D"/>
    <w:rsid w:val="002F6027"/>
    <w:rsid w:val="002F661F"/>
    <w:rsid w:val="002F77AA"/>
    <w:rsid w:val="0030245A"/>
    <w:rsid w:val="003024F1"/>
    <w:rsid w:val="00302ACF"/>
    <w:rsid w:val="00303ACB"/>
    <w:rsid w:val="00304C0B"/>
    <w:rsid w:val="0030620E"/>
    <w:rsid w:val="0030621E"/>
    <w:rsid w:val="00307410"/>
    <w:rsid w:val="003147E9"/>
    <w:rsid w:val="00316135"/>
    <w:rsid w:val="00321025"/>
    <w:rsid w:val="00321A8A"/>
    <w:rsid w:val="00322A3A"/>
    <w:rsid w:val="00323EF1"/>
    <w:rsid w:val="00324685"/>
    <w:rsid w:val="003246BB"/>
    <w:rsid w:val="00324ADA"/>
    <w:rsid w:val="0032609B"/>
    <w:rsid w:val="003268FA"/>
    <w:rsid w:val="003302F0"/>
    <w:rsid w:val="0033322B"/>
    <w:rsid w:val="0033470C"/>
    <w:rsid w:val="00334745"/>
    <w:rsid w:val="003408B2"/>
    <w:rsid w:val="003411E0"/>
    <w:rsid w:val="00342ECC"/>
    <w:rsid w:val="00343D2F"/>
    <w:rsid w:val="00344554"/>
    <w:rsid w:val="003459C9"/>
    <w:rsid w:val="00346582"/>
    <w:rsid w:val="00346BBE"/>
    <w:rsid w:val="003501B0"/>
    <w:rsid w:val="00350211"/>
    <w:rsid w:val="003510E9"/>
    <w:rsid w:val="00352154"/>
    <w:rsid w:val="00355C3F"/>
    <w:rsid w:val="0035626B"/>
    <w:rsid w:val="00356D91"/>
    <w:rsid w:val="00356E63"/>
    <w:rsid w:val="00357C0E"/>
    <w:rsid w:val="00357D07"/>
    <w:rsid w:val="00362413"/>
    <w:rsid w:val="0036310C"/>
    <w:rsid w:val="003652E8"/>
    <w:rsid w:val="00365CA2"/>
    <w:rsid w:val="00367D55"/>
    <w:rsid w:val="00370E86"/>
    <w:rsid w:val="003722CC"/>
    <w:rsid w:val="00373C6C"/>
    <w:rsid w:val="00373DE7"/>
    <w:rsid w:val="0037690B"/>
    <w:rsid w:val="00377656"/>
    <w:rsid w:val="00383BFF"/>
    <w:rsid w:val="00384353"/>
    <w:rsid w:val="00384A6A"/>
    <w:rsid w:val="00384E81"/>
    <w:rsid w:val="0038540E"/>
    <w:rsid w:val="003854EC"/>
    <w:rsid w:val="0038597B"/>
    <w:rsid w:val="00387E7D"/>
    <w:rsid w:val="00390593"/>
    <w:rsid w:val="00390713"/>
    <w:rsid w:val="00390AA5"/>
    <w:rsid w:val="0039108A"/>
    <w:rsid w:val="00391987"/>
    <w:rsid w:val="003924D2"/>
    <w:rsid w:val="003926EA"/>
    <w:rsid w:val="00393402"/>
    <w:rsid w:val="00397579"/>
    <w:rsid w:val="003978F8"/>
    <w:rsid w:val="003A0128"/>
    <w:rsid w:val="003A0242"/>
    <w:rsid w:val="003A05A4"/>
    <w:rsid w:val="003A1445"/>
    <w:rsid w:val="003A20AA"/>
    <w:rsid w:val="003A3B6D"/>
    <w:rsid w:val="003A3D98"/>
    <w:rsid w:val="003A46C9"/>
    <w:rsid w:val="003A46E0"/>
    <w:rsid w:val="003A4DEC"/>
    <w:rsid w:val="003A78AD"/>
    <w:rsid w:val="003B05CA"/>
    <w:rsid w:val="003B3E8A"/>
    <w:rsid w:val="003B4649"/>
    <w:rsid w:val="003B5350"/>
    <w:rsid w:val="003B6079"/>
    <w:rsid w:val="003C4CD4"/>
    <w:rsid w:val="003D0405"/>
    <w:rsid w:val="003D0B5D"/>
    <w:rsid w:val="003D0BDE"/>
    <w:rsid w:val="003D2FEF"/>
    <w:rsid w:val="003D37F4"/>
    <w:rsid w:val="003E2C49"/>
    <w:rsid w:val="003E38CB"/>
    <w:rsid w:val="003E5114"/>
    <w:rsid w:val="003E6426"/>
    <w:rsid w:val="003E70FD"/>
    <w:rsid w:val="003E752C"/>
    <w:rsid w:val="003E77E1"/>
    <w:rsid w:val="003F1FAA"/>
    <w:rsid w:val="003F58EF"/>
    <w:rsid w:val="00400BCE"/>
    <w:rsid w:val="00400EB6"/>
    <w:rsid w:val="004031B9"/>
    <w:rsid w:val="00403EEC"/>
    <w:rsid w:val="00405177"/>
    <w:rsid w:val="004059D4"/>
    <w:rsid w:val="00405B9A"/>
    <w:rsid w:val="00405C51"/>
    <w:rsid w:val="004101FC"/>
    <w:rsid w:val="00411AD9"/>
    <w:rsid w:val="00412913"/>
    <w:rsid w:val="00412BA8"/>
    <w:rsid w:val="00414541"/>
    <w:rsid w:val="004156B1"/>
    <w:rsid w:val="00415E79"/>
    <w:rsid w:val="00417574"/>
    <w:rsid w:val="00417581"/>
    <w:rsid w:val="00417C0F"/>
    <w:rsid w:val="004207F6"/>
    <w:rsid w:val="0042197C"/>
    <w:rsid w:val="00422811"/>
    <w:rsid w:val="00422851"/>
    <w:rsid w:val="0042287D"/>
    <w:rsid w:val="00422A34"/>
    <w:rsid w:val="00422A73"/>
    <w:rsid w:val="00422D24"/>
    <w:rsid w:val="00423626"/>
    <w:rsid w:val="00424A03"/>
    <w:rsid w:val="00426B2E"/>
    <w:rsid w:val="004309AB"/>
    <w:rsid w:val="00432B35"/>
    <w:rsid w:val="0043347D"/>
    <w:rsid w:val="004336AF"/>
    <w:rsid w:val="00433E65"/>
    <w:rsid w:val="00434034"/>
    <w:rsid w:val="00436EAE"/>
    <w:rsid w:val="00443665"/>
    <w:rsid w:val="00443D73"/>
    <w:rsid w:val="0044452F"/>
    <w:rsid w:val="00445BCD"/>
    <w:rsid w:val="00446CB8"/>
    <w:rsid w:val="00450E6A"/>
    <w:rsid w:val="004538B0"/>
    <w:rsid w:val="00453D27"/>
    <w:rsid w:val="00454D6D"/>
    <w:rsid w:val="00454F4F"/>
    <w:rsid w:val="00455C8C"/>
    <w:rsid w:val="004620A5"/>
    <w:rsid w:val="004629A6"/>
    <w:rsid w:val="00462DC2"/>
    <w:rsid w:val="00464ABC"/>
    <w:rsid w:val="00466BD1"/>
    <w:rsid w:val="00466DB7"/>
    <w:rsid w:val="00467E95"/>
    <w:rsid w:val="00470D26"/>
    <w:rsid w:val="004714B7"/>
    <w:rsid w:val="004716E9"/>
    <w:rsid w:val="00471ED5"/>
    <w:rsid w:val="004724E3"/>
    <w:rsid w:val="004737C1"/>
    <w:rsid w:val="00473C74"/>
    <w:rsid w:val="00477B8C"/>
    <w:rsid w:val="00481886"/>
    <w:rsid w:val="00482953"/>
    <w:rsid w:val="004829F3"/>
    <w:rsid w:val="004831B1"/>
    <w:rsid w:val="00484B28"/>
    <w:rsid w:val="00485C0B"/>
    <w:rsid w:val="00485F47"/>
    <w:rsid w:val="00486846"/>
    <w:rsid w:val="00486FB7"/>
    <w:rsid w:val="004910F8"/>
    <w:rsid w:val="0049342F"/>
    <w:rsid w:val="00493A8E"/>
    <w:rsid w:val="00493C32"/>
    <w:rsid w:val="00493D42"/>
    <w:rsid w:val="00496406"/>
    <w:rsid w:val="00496A5F"/>
    <w:rsid w:val="00496DFB"/>
    <w:rsid w:val="004978D4"/>
    <w:rsid w:val="00497B4D"/>
    <w:rsid w:val="004A0E8A"/>
    <w:rsid w:val="004A3E6A"/>
    <w:rsid w:val="004A4A78"/>
    <w:rsid w:val="004A514C"/>
    <w:rsid w:val="004A51DE"/>
    <w:rsid w:val="004A61ED"/>
    <w:rsid w:val="004A6F55"/>
    <w:rsid w:val="004A75E9"/>
    <w:rsid w:val="004A7E6A"/>
    <w:rsid w:val="004A7EE1"/>
    <w:rsid w:val="004B064E"/>
    <w:rsid w:val="004B1D7A"/>
    <w:rsid w:val="004B4477"/>
    <w:rsid w:val="004B6C79"/>
    <w:rsid w:val="004C001C"/>
    <w:rsid w:val="004C0CCA"/>
    <w:rsid w:val="004C1992"/>
    <w:rsid w:val="004C1C4C"/>
    <w:rsid w:val="004C23CD"/>
    <w:rsid w:val="004C528F"/>
    <w:rsid w:val="004C5345"/>
    <w:rsid w:val="004C66F2"/>
    <w:rsid w:val="004C7120"/>
    <w:rsid w:val="004C76C5"/>
    <w:rsid w:val="004D00D7"/>
    <w:rsid w:val="004D131C"/>
    <w:rsid w:val="004D4509"/>
    <w:rsid w:val="004D56CF"/>
    <w:rsid w:val="004E144B"/>
    <w:rsid w:val="004E557C"/>
    <w:rsid w:val="004E6C2B"/>
    <w:rsid w:val="004E75C9"/>
    <w:rsid w:val="004E7E4E"/>
    <w:rsid w:val="004F0984"/>
    <w:rsid w:val="004F3144"/>
    <w:rsid w:val="004F437E"/>
    <w:rsid w:val="004F572D"/>
    <w:rsid w:val="004F70B3"/>
    <w:rsid w:val="005002F7"/>
    <w:rsid w:val="005053E9"/>
    <w:rsid w:val="005065B7"/>
    <w:rsid w:val="0050666A"/>
    <w:rsid w:val="00507012"/>
    <w:rsid w:val="005113CE"/>
    <w:rsid w:val="0051353A"/>
    <w:rsid w:val="00514533"/>
    <w:rsid w:val="00514E5D"/>
    <w:rsid w:val="00515839"/>
    <w:rsid w:val="00516852"/>
    <w:rsid w:val="00517B0E"/>
    <w:rsid w:val="00522FB3"/>
    <w:rsid w:val="005254F4"/>
    <w:rsid w:val="00525A8F"/>
    <w:rsid w:val="00525CAF"/>
    <w:rsid w:val="00526BA7"/>
    <w:rsid w:val="005310F8"/>
    <w:rsid w:val="005336AB"/>
    <w:rsid w:val="00533CA8"/>
    <w:rsid w:val="00536B68"/>
    <w:rsid w:val="005374A7"/>
    <w:rsid w:val="00537550"/>
    <w:rsid w:val="0054109B"/>
    <w:rsid w:val="0054246B"/>
    <w:rsid w:val="00543BF7"/>
    <w:rsid w:val="005443BB"/>
    <w:rsid w:val="005448AB"/>
    <w:rsid w:val="00545188"/>
    <w:rsid w:val="00545C02"/>
    <w:rsid w:val="00545F60"/>
    <w:rsid w:val="00546D6B"/>
    <w:rsid w:val="00547A95"/>
    <w:rsid w:val="0055003B"/>
    <w:rsid w:val="0055033E"/>
    <w:rsid w:val="00554379"/>
    <w:rsid w:val="00556339"/>
    <w:rsid w:val="00557E75"/>
    <w:rsid w:val="00565660"/>
    <w:rsid w:val="005674C7"/>
    <w:rsid w:val="00570073"/>
    <w:rsid w:val="00570D1C"/>
    <w:rsid w:val="00572647"/>
    <w:rsid w:val="005763E5"/>
    <w:rsid w:val="00580248"/>
    <w:rsid w:val="005803BC"/>
    <w:rsid w:val="00581402"/>
    <w:rsid w:val="0058157C"/>
    <w:rsid w:val="00581C66"/>
    <w:rsid w:val="00582633"/>
    <w:rsid w:val="005828EB"/>
    <w:rsid w:val="005831C2"/>
    <w:rsid w:val="00583354"/>
    <w:rsid w:val="0058458C"/>
    <w:rsid w:val="00584D6A"/>
    <w:rsid w:val="005856BA"/>
    <w:rsid w:val="005869BA"/>
    <w:rsid w:val="00587ABC"/>
    <w:rsid w:val="00587E8E"/>
    <w:rsid w:val="005908F8"/>
    <w:rsid w:val="0059151F"/>
    <w:rsid w:val="00594AFE"/>
    <w:rsid w:val="00595692"/>
    <w:rsid w:val="00595EC7"/>
    <w:rsid w:val="005960C8"/>
    <w:rsid w:val="0059618E"/>
    <w:rsid w:val="00596425"/>
    <w:rsid w:val="005A018C"/>
    <w:rsid w:val="005A08CC"/>
    <w:rsid w:val="005A1124"/>
    <w:rsid w:val="005A160B"/>
    <w:rsid w:val="005A5C6F"/>
    <w:rsid w:val="005B0AD7"/>
    <w:rsid w:val="005B2A5D"/>
    <w:rsid w:val="005B32EF"/>
    <w:rsid w:val="005B3F7D"/>
    <w:rsid w:val="005B40DC"/>
    <w:rsid w:val="005B415A"/>
    <w:rsid w:val="005B4607"/>
    <w:rsid w:val="005B5848"/>
    <w:rsid w:val="005B7BDC"/>
    <w:rsid w:val="005C046E"/>
    <w:rsid w:val="005C0709"/>
    <w:rsid w:val="005C0CE5"/>
    <w:rsid w:val="005C2E1F"/>
    <w:rsid w:val="005C3008"/>
    <w:rsid w:val="005C36C7"/>
    <w:rsid w:val="005C51D7"/>
    <w:rsid w:val="005C52DD"/>
    <w:rsid w:val="005C64DE"/>
    <w:rsid w:val="005D037C"/>
    <w:rsid w:val="005D039B"/>
    <w:rsid w:val="005D0577"/>
    <w:rsid w:val="005D1235"/>
    <w:rsid w:val="005D14D0"/>
    <w:rsid w:val="005D18F8"/>
    <w:rsid w:val="005D242D"/>
    <w:rsid w:val="005D51EE"/>
    <w:rsid w:val="005D59FA"/>
    <w:rsid w:val="005D7BDB"/>
    <w:rsid w:val="005D7C35"/>
    <w:rsid w:val="005D7ED4"/>
    <w:rsid w:val="005E0B2E"/>
    <w:rsid w:val="005E4370"/>
    <w:rsid w:val="005E4AEE"/>
    <w:rsid w:val="005E5A17"/>
    <w:rsid w:val="005E616C"/>
    <w:rsid w:val="005E777C"/>
    <w:rsid w:val="005F08A2"/>
    <w:rsid w:val="005F4823"/>
    <w:rsid w:val="005F4E46"/>
    <w:rsid w:val="005F72A2"/>
    <w:rsid w:val="005F755E"/>
    <w:rsid w:val="005F7C00"/>
    <w:rsid w:val="00600191"/>
    <w:rsid w:val="00602FAD"/>
    <w:rsid w:val="00603019"/>
    <w:rsid w:val="00603422"/>
    <w:rsid w:val="00606EE1"/>
    <w:rsid w:val="006072C7"/>
    <w:rsid w:val="0060753C"/>
    <w:rsid w:val="00611034"/>
    <w:rsid w:val="00612038"/>
    <w:rsid w:val="006124A5"/>
    <w:rsid w:val="00613911"/>
    <w:rsid w:val="00616524"/>
    <w:rsid w:val="0061709D"/>
    <w:rsid w:val="00620D87"/>
    <w:rsid w:val="00622589"/>
    <w:rsid w:val="0062269C"/>
    <w:rsid w:val="0062301C"/>
    <w:rsid w:val="00623CD3"/>
    <w:rsid w:val="006240CC"/>
    <w:rsid w:val="00624863"/>
    <w:rsid w:val="00625A1A"/>
    <w:rsid w:val="00625D27"/>
    <w:rsid w:val="00626BF9"/>
    <w:rsid w:val="0063032C"/>
    <w:rsid w:val="0063128A"/>
    <w:rsid w:val="00631E0E"/>
    <w:rsid w:val="00633545"/>
    <w:rsid w:val="0063491C"/>
    <w:rsid w:val="00635733"/>
    <w:rsid w:val="00636366"/>
    <w:rsid w:val="00636C1A"/>
    <w:rsid w:val="00641162"/>
    <w:rsid w:val="00643903"/>
    <w:rsid w:val="00643E72"/>
    <w:rsid w:val="006444D4"/>
    <w:rsid w:val="006449D0"/>
    <w:rsid w:val="006452A3"/>
    <w:rsid w:val="00645CFF"/>
    <w:rsid w:val="00647078"/>
    <w:rsid w:val="00647EA2"/>
    <w:rsid w:val="006503A3"/>
    <w:rsid w:val="006504B0"/>
    <w:rsid w:val="00650A78"/>
    <w:rsid w:val="0065225D"/>
    <w:rsid w:val="00653F10"/>
    <w:rsid w:val="006540F0"/>
    <w:rsid w:val="00654CAF"/>
    <w:rsid w:val="006601BA"/>
    <w:rsid w:val="00664296"/>
    <w:rsid w:val="006643FE"/>
    <w:rsid w:val="0066473B"/>
    <w:rsid w:val="00665580"/>
    <w:rsid w:val="006660DB"/>
    <w:rsid w:val="00666133"/>
    <w:rsid w:val="0066625B"/>
    <w:rsid w:val="00670787"/>
    <w:rsid w:val="00673875"/>
    <w:rsid w:val="00673FCA"/>
    <w:rsid w:val="00674138"/>
    <w:rsid w:val="00675036"/>
    <w:rsid w:val="006760E7"/>
    <w:rsid w:val="00676100"/>
    <w:rsid w:val="0067753E"/>
    <w:rsid w:val="00681FA3"/>
    <w:rsid w:val="0068589B"/>
    <w:rsid w:val="00686EAF"/>
    <w:rsid w:val="00687C41"/>
    <w:rsid w:val="00691CD5"/>
    <w:rsid w:val="00692E8C"/>
    <w:rsid w:val="006933FD"/>
    <w:rsid w:val="006934F7"/>
    <w:rsid w:val="00696788"/>
    <w:rsid w:val="00697607"/>
    <w:rsid w:val="006A01C9"/>
    <w:rsid w:val="006A0F9E"/>
    <w:rsid w:val="006A183C"/>
    <w:rsid w:val="006A3DC8"/>
    <w:rsid w:val="006A4BF6"/>
    <w:rsid w:val="006A5D8F"/>
    <w:rsid w:val="006A7E7E"/>
    <w:rsid w:val="006B05A3"/>
    <w:rsid w:val="006B13F0"/>
    <w:rsid w:val="006B56A2"/>
    <w:rsid w:val="006B5B2D"/>
    <w:rsid w:val="006B65EC"/>
    <w:rsid w:val="006B6A9D"/>
    <w:rsid w:val="006B6C2B"/>
    <w:rsid w:val="006B7755"/>
    <w:rsid w:val="006C0096"/>
    <w:rsid w:val="006C1047"/>
    <w:rsid w:val="006C1D7E"/>
    <w:rsid w:val="006C4DDA"/>
    <w:rsid w:val="006C5201"/>
    <w:rsid w:val="006C5605"/>
    <w:rsid w:val="006C5B9E"/>
    <w:rsid w:val="006C6B24"/>
    <w:rsid w:val="006C7ABE"/>
    <w:rsid w:val="006D36F9"/>
    <w:rsid w:val="006E0920"/>
    <w:rsid w:val="006E09B1"/>
    <w:rsid w:val="006E0A55"/>
    <w:rsid w:val="006E1749"/>
    <w:rsid w:val="006E1950"/>
    <w:rsid w:val="006E19D4"/>
    <w:rsid w:val="006E270A"/>
    <w:rsid w:val="006E2953"/>
    <w:rsid w:val="006E3A71"/>
    <w:rsid w:val="006E44C3"/>
    <w:rsid w:val="006E54E7"/>
    <w:rsid w:val="006F4190"/>
    <w:rsid w:val="006F4CBE"/>
    <w:rsid w:val="006F4F1D"/>
    <w:rsid w:val="006F6D08"/>
    <w:rsid w:val="006F6FC8"/>
    <w:rsid w:val="006F702A"/>
    <w:rsid w:val="007006EA"/>
    <w:rsid w:val="00701F98"/>
    <w:rsid w:val="007029EC"/>
    <w:rsid w:val="00702C1D"/>
    <w:rsid w:val="00705791"/>
    <w:rsid w:val="0070608C"/>
    <w:rsid w:val="007125EA"/>
    <w:rsid w:val="00712749"/>
    <w:rsid w:val="0071377B"/>
    <w:rsid w:val="00715CDF"/>
    <w:rsid w:val="007212C3"/>
    <w:rsid w:val="00722332"/>
    <w:rsid w:val="0072436B"/>
    <w:rsid w:val="007268EE"/>
    <w:rsid w:val="00726ADD"/>
    <w:rsid w:val="0072715F"/>
    <w:rsid w:val="00731A9C"/>
    <w:rsid w:val="00731B0B"/>
    <w:rsid w:val="0073204E"/>
    <w:rsid w:val="007322BA"/>
    <w:rsid w:val="00732979"/>
    <w:rsid w:val="00734271"/>
    <w:rsid w:val="007349F3"/>
    <w:rsid w:val="00734A6A"/>
    <w:rsid w:val="0073749A"/>
    <w:rsid w:val="00740F85"/>
    <w:rsid w:val="007415AB"/>
    <w:rsid w:val="00743249"/>
    <w:rsid w:val="007454A8"/>
    <w:rsid w:val="00745F7A"/>
    <w:rsid w:val="0074796B"/>
    <w:rsid w:val="00747ABC"/>
    <w:rsid w:val="007501A0"/>
    <w:rsid w:val="007501F7"/>
    <w:rsid w:val="007538E7"/>
    <w:rsid w:val="0075404F"/>
    <w:rsid w:val="007560B5"/>
    <w:rsid w:val="00760809"/>
    <w:rsid w:val="00760BC8"/>
    <w:rsid w:val="0076162B"/>
    <w:rsid w:val="00761D9C"/>
    <w:rsid w:val="00761F4F"/>
    <w:rsid w:val="00762DF3"/>
    <w:rsid w:val="007635E4"/>
    <w:rsid w:val="00763A02"/>
    <w:rsid w:val="00765327"/>
    <w:rsid w:val="007663E0"/>
    <w:rsid w:val="007713B7"/>
    <w:rsid w:val="0077175C"/>
    <w:rsid w:val="00772383"/>
    <w:rsid w:val="00772D96"/>
    <w:rsid w:val="00773738"/>
    <w:rsid w:val="00774EA2"/>
    <w:rsid w:val="00775382"/>
    <w:rsid w:val="00775D0E"/>
    <w:rsid w:val="00776842"/>
    <w:rsid w:val="00777CCA"/>
    <w:rsid w:val="00780506"/>
    <w:rsid w:val="00780933"/>
    <w:rsid w:val="00782728"/>
    <w:rsid w:val="007828D5"/>
    <w:rsid w:val="007837C5"/>
    <w:rsid w:val="00783BBE"/>
    <w:rsid w:val="00791831"/>
    <w:rsid w:val="007926D5"/>
    <w:rsid w:val="00793B20"/>
    <w:rsid w:val="00793C90"/>
    <w:rsid w:val="00794425"/>
    <w:rsid w:val="0079485C"/>
    <w:rsid w:val="0079511C"/>
    <w:rsid w:val="00797D9C"/>
    <w:rsid w:val="007A2119"/>
    <w:rsid w:val="007A251C"/>
    <w:rsid w:val="007A4501"/>
    <w:rsid w:val="007A50B0"/>
    <w:rsid w:val="007A585E"/>
    <w:rsid w:val="007B1216"/>
    <w:rsid w:val="007B19D4"/>
    <w:rsid w:val="007B1D8B"/>
    <w:rsid w:val="007B2903"/>
    <w:rsid w:val="007B4559"/>
    <w:rsid w:val="007B4E9C"/>
    <w:rsid w:val="007B524C"/>
    <w:rsid w:val="007B6752"/>
    <w:rsid w:val="007B7B5F"/>
    <w:rsid w:val="007C35A0"/>
    <w:rsid w:val="007C78B1"/>
    <w:rsid w:val="007D0A8D"/>
    <w:rsid w:val="007D1B80"/>
    <w:rsid w:val="007D30C8"/>
    <w:rsid w:val="007D3B0F"/>
    <w:rsid w:val="007D4502"/>
    <w:rsid w:val="007D45A7"/>
    <w:rsid w:val="007D6549"/>
    <w:rsid w:val="007D6C3C"/>
    <w:rsid w:val="007E07EB"/>
    <w:rsid w:val="007E21E5"/>
    <w:rsid w:val="007E220F"/>
    <w:rsid w:val="007E4451"/>
    <w:rsid w:val="007E58B4"/>
    <w:rsid w:val="007F022E"/>
    <w:rsid w:val="007F092F"/>
    <w:rsid w:val="007F27B7"/>
    <w:rsid w:val="007F2D35"/>
    <w:rsid w:val="007F2D68"/>
    <w:rsid w:val="007F3CC9"/>
    <w:rsid w:val="007F4CBE"/>
    <w:rsid w:val="007F6924"/>
    <w:rsid w:val="007F7BFC"/>
    <w:rsid w:val="00806AB0"/>
    <w:rsid w:val="008072BB"/>
    <w:rsid w:val="0080754C"/>
    <w:rsid w:val="00807870"/>
    <w:rsid w:val="00810FE1"/>
    <w:rsid w:val="00811D62"/>
    <w:rsid w:val="00813635"/>
    <w:rsid w:val="00816CFD"/>
    <w:rsid w:val="008177DF"/>
    <w:rsid w:val="00821AC2"/>
    <w:rsid w:val="00821B04"/>
    <w:rsid w:val="00821B4B"/>
    <w:rsid w:val="00822762"/>
    <w:rsid w:val="00822BDF"/>
    <w:rsid w:val="0082500C"/>
    <w:rsid w:val="00826054"/>
    <w:rsid w:val="00827134"/>
    <w:rsid w:val="00827364"/>
    <w:rsid w:val="0082794E"/>
    <w:rsid w:val="0083113A"/>
    <w:rsid w:val="008317A6"/>
    <w:rsid w:val="008330C1"/>
    <w:rsid w:val="00833C8B"/>
    <w:rsid w:val="00833F0F"/>
    <w:rsid w:val="00834892"/>
    <w:rsid w:val="00834CD3"/>
    <w:rsid w:val="00836541"/>
    <w:rsid w:val="00836E57"/>
    <w:rsid w:val="00837AEA"/>
    <w:rsid w:val="008406D5"/>
    <w:rsid w:val="00842E87"/>
    <w:rsid w:val="00842EBD"/>
    <w:rsid w:val="008443D2"/>
    <w:rsid w:val="00844781"/>
    <w:rsid w:val="008449A1"/>
    <w:rsid w:val="0084507C"/>
    <w:rsid w:val="00845A59"/>
    <w:rsid w:val="00845F78"/>
    <w:rsid w:val="00846297"/>
    <w:rsid w:val="00846CE8"/>
    <w:rsid w:val="00847AAA"/>
    <w:rsid w:val="00847DC8"/>
    <w:rsid w:val="0085057C"/>
    <w:rsid w:val="0085142A"/>
    <w:rsid w:val="00851BB0"/>
    <w:rsid w:val="00852292"/>
    <w:rsid w:val="00853C84"/>
    <w:rsid w:val="00854FF9"/>
    <w:rsid w:val="00856CEE"/>
    <w:rsid w:val="00857367"/>
    <w:rsid w:val="00857816"/>
    <w:rsid w:val="00857BD2"/>
    <w:rsid w:val="0086026B"/>
    <w:rsid w:val="0086036D"/>
    <w:rsid w:val="00861616"/>
    <w:rsid w:val="008616AF"/>
    <w:rsid w:val="00861AD4"/>
    <w:rsid w:val="00861B2C"/>
    <w:rsid w:val="00861C1D"/>
    <w:rsid w:val="008620EA"/>
    <w:rsid w:val="008626C7"/>
    <w:rsid w:val="008643FC"/>
    <w:rsid w:val="00870408"/>
    <w:rsid w:val="00870CCE"/>
    <w:rsid w:val="008727DB"/>
    <w:rsid w:val="00872CB0"/>
    <w:rsid w:val="00872E85"/>
    <w:rsid w:val="008730BC"/>
    <w:rsid w:val="0087478D"/>
    <w:rsid w:val="00874CA5"/>
    <w:rsid w:val="00875D00"/>
    <w:rsid w:val="00876327"/>
    <w:rsid w:val="00876364"/>
    <w:rsid w:val="00880B80"/>
    <w:rsid w:val="00881AE2"/>
    <w:rsid w:val="00883D24"/>
    <w:rsid w:val="0088407E"/>
    <w:rsid w:val="00885D21"/>
    <w:rsid w:val="0088630B"/>
    <w:rsid w:val="008915F5"/>
    <w:rsid w:val="008917B1"/>
    <w:rsid w:val="0089374C"/>
    <w:rsid w:val="00893D45"/>
    <w:rsid w:val="008968FC"/>
    <w:rsid w:val="008A0CCD"/>
    <w:rsid w:val="008A11E5"/>
    <w:rsid w:val="008A169B"/>
    <w:rsid w:val="008A1889"/>
    <w:rsid w:val="008A2759"/>
    <w:rsid w:val="008A2FF2"/>
    <w:rsid w:val="008A35D6"/>
    <w:rsid w:val="008A406E"/>
    <w:rsid w:val="008A57B8"/>
    <w:rsid w:val="008A6411"/>
    <w:rsid w:val="008A797A"/>
    <w:rsid w:val="008B0356"/>
    <w:rsid w:val="008B0D5C"/>
    <w:rsid w:val="008B1253"/>
    <w:rsid w:val="008B1590"/>
    <w:rsid w:val="008B172B"/>
    <w:rsid w:val="008B2271"/>
    <w:rsid w:val="008B25EC"/>
    <w:rsid w:val="008B2E12"/>
    <w:rsid w:val="008B5527"/>
    <w:rsid w:val="008B5A6B"/>
    <w:rsid w:val="008B6F1D"/>
    <w:rsid w:val="008B70F2"/>
    <w:rsid w:val="008C0128"/>
    <w:rsid w:val="008C05BC"/>
    <w:rsid w:val="008C3127"/>
    <w:rsid w:val="008C3C3D"/>
    <w:rsid w:val="008C45C6"/>
    <w:rsid w:val="008C4765"/>
    <w:rsid w:val="008C5F9B"/>
    <w:rsid w:val="008D0BDC"/>
    <w:rsid w:val="008D0D61"/>
    <w:rsid w:val="008D3354"/>
    <w:rsid w:val="008D357C"/>
    <w:rsid w:val="008D3A66"/>
    <w:rsid w:val="008D45A9"/>
    <w:rsid w:val="008D62A3"/>
    <w:rsid w:val="008D6F4F"/>
    <w:rsid w:val="008D7057"/>
    <w:rsid w:val="008E10CA"/>
    <w:rsid w:val="008E2AE9"/>
    <w:rsid w:val="008E41AC"/>
    <w:rsid w:val="008E4B17"/>
    <w:rsid w:val="008E53DD"/>
    <w:rsid w:val="008E624C"/>
    <w:rsid w:val="008E759A"/>
    <w:rsid w:val="008F0BD5"/>
    <w:rsid w:val="008F2303"/>
    <w:rsid w:val="008F31D8"/>
    <w:rsid w:val="008F3FA3"/>
    <w:rsid w:val="008F5F14"/>
    <w:rsid w:val="008F6532"/>
    <w:rsid w:val="008F70C0"/>
    <w:rsid w:val="008F7B41"/>
    <w:rsid w:val="008F7D30"/>
    <w:rsid w:val="00900228"/>
    <w:rsid w:val="00901B2A"/>
    <w:rsid w:val="00902EF5"/>
    <w:rsid w:val="00903CFB"/>
    <w:rsid w:val="009058A2"/>
    <w:rsid w:val="00906E4B"/>
    <w:rsid w:val="00907AD3"/>
    <w:rsid w:val="00910E6C"/>
    <w:rsid w:val="0091174B"/>
    <w:rsid w:val="009121D5"/>
    <w:rsid w:val="00912C6A"/>
    <w:rsid w:val="0091360D"/>
    <w:rsid w:val="00914382"/>
    <w:rsid w:val="0091633B"/>
    <w:rsid w:val="009169C3"/>
    <w:rsid w:val="00916FF1"/>
    <w:rsid w:val="00917FE8"/>
    <w:rsid w:val="00920057"/>
    <w:rsid w:val="009208D9"/>
    <w:rsid w:val="009227F9"/>
    <w:rsid w:val="00922BBB"/>
    <w:rsid w:val="00922EE3"/>
    <w:rsid w:val="009238A8"/>
    <w:rsid w:val="009261F5"/>
    <w:rsid w:val="0092656F"/>
    <w:rsid w:val="00930805"/>
    <w:rsid w:val="00931233"/>
    <w:rsid w:val="009329D3"/>
    <w:rsid w:val="009348C3"/>
    <w:rsid w:val="00934E9A"/>
    <w:rsid w:val="009362F4"/>
    <w:rsid w:val="009367DB"/>
    <w:rsid w:val="00937FC2"/>
    <w:rsid w:val="0094000C"/>
    <w:rsid w:val="00941DDE"/>
    <w:rsid w:val="00942125"/>
    <w:rsid w:val="009429EE"/>
    <w:rsid w:val="00943FCB"/>
    <w:rsid w:val="00944919"/>
    <w:rsid w:val="00944AF9"/>
    <w:rsid w:val="009467CE"/>
    <w:rsid w:val="0094722D"/>
    <w:rsid w:val="009505A3"/>
    <w:rsid w:val="009506C2"/>
    <w:rsid w:val="00950A4E"/>
    <w:rsid w:val="00952A76"/>
    <w:rsid w:val="00952F88"/>
    <w:rsid w:val="00954219"/>
    <w:rsid w:val="009547EB"/>
    <w:rsid w:val="00954DA1"/>
    <w:rsid w:val="0095550A"/>
    <w:rsid w:val="0095668E"/>
    <w:rsid w:val="0095723C"/>
    <w:rsid w:val="00957D94"/>
    <w:rsid w:val="009640B2"/>
    <w:rsid w:val="0096525B"/>
    <w:rsid w:val="0096652F"/>
    <w:rsid w:val="0096686B"/>
    <w:rsid w:val="00966C5C"/>
    <w:rsid w:val="00972DBD"/>
    <w:rsid w:val="009734C6"/>
    <w:rsid w:val="00973AAB"/>
    <w:rsid w:val="00975768"/>
    <w:rsid w:val="00975AFD"/>
    <w:rsid w:val="00975C12"/>
    <w:rsid w:val="00976F58"/>
    <w:rsid w:val="00981185"/>
    <w:rsid w:val="00984D69"/>
    <w:rsid w:val="0098558F"/>
    <w:rsid w:val="0099050E"/>
    <w:rsid w:val="00991FB5"/>
    <w:rsid w:val="00992F13"/>
    <w:rsid w:val="00993099"/>
    <w:rsid w:val="0099474F"/>
    <w:rsid w:val="00996579"/>
    <w:rsid w:val="009A088B"/>
    <w:rsid w:val="009A1A38"/>
    <w:rsid w:val="009A24AE"/>
    <w:rsid w:val="009A302F"/>
    <w:rsid w:val="009A4D9D"/>
    <w:rsid w:val="009A534A"/>
    <w:rsid w:val="009A578C"/>
    <w:rsid w:val="009A62B9"/>
    <w:rsid w:val="009A7D34"/>
    <w:rsid w:val="009B0817"/>
    <w:rsid w:val="009B0F9E"/>
    <w:rsid w:val="009B1E62"/>
    <w:rsid w:val="009B2F66"/>
    <w:rsid w:val="009B4EB3"/>
    <w:rsid w:val="009B5EAF"/>
    <w:rsid w:val="009B7D33"/>
    <w:rsid w:val="009C0E6D"/>
    <w:rsid w:val="009C1C10"/>
    <w:rsid w:val="009C40CD"/>
    <w:rsid w:val="009C482E"/>
    <w:rsid w:val="009C6E56"/>
    <w:rsid w:val="009C726F"/>
    <w:rsid w:val="009D0E6E"/>
    <w:rsid w:val="009D2370"/>
    <w:rsid w:val="009D2C54"/>
    <w:rsid w:val="009D2E20"/>
    <w:rsid w:val="009D3568"/>
    <w:rsid w:val="009D3C78"/>
    <w:rsid w:val="009D58C5"/>
    <w:rsid w:val="009D6221"/>
    <w:rsid w:val="009E0506"/>
    <w:rsid w:val="009E0660"/>
    <w:rsid w:val="009E1817"/>
    <w:rsid w:val="009E2EA0"/>
    <w:rsid w:val="009E598C"/>
    <w:rsid w:val="009E6111"/>
    <w:rsid w:val="009E6636"/>
    <w:rsid w:val="009F0F0C"/>
    <w:rsid w:val="009F1514"/>
    <w:rsid w:val="009F1837"/>
    <w:rsid w:val="009F18BB"/>
    <w:rsid w:val="009F2068"/>
    <w:rsid w:val="009F227F"/>
    <w:rsid w:val="009F418D"/>
    <w:rsid w:val="009F45A9"/>
    <w:rsid w:val="009F5123"/>
    <w:rsid w:val="009F5367"/>
    <w:rsid w:val="009F62AF"/>
    <w:rsid w:val="009F66EB"/>
    <w:rsid w:val="009F6BA8"/>
    <w:rsid w:val="00A00716"/>
    <w:rsid w:val="00A022FE"/>
    <w:rsid w:val="00A02D6E"/>
    <w:rsid w:val="00A0368C"/>
    <w:rsid w:val="00A03C4C"/>
    <w:rsid w:val="00A03EE1"/>
    <w:rsid w:val="00A04774"/>
    <w:rsid w:val="00A04BCA"/>
    <w:rsid w:val="00A05A71"/>
    <w:rsid w:val="00A07045"/>
    <w:rsid w:val="00A1029B"/>
    <w:rsid w:val="00A10648"/>
    <w:rsid w:val="00A10BDE"/>
    <w:rsid w:val="00A121B7"/>
    <w:rsid w:val="00A143EF"/>
    <w:rsid w:val="00A14AE3"/>
    <w:rsid w:val="00A14FF9"/>
    <w:rsid w:val="00A15152"/>
    <w:rsid w:val="00A15BEE"/>
    <w:rsid w:val="00A16394"/>
    <w:rsid w:val="00A17820"/>
    <w:rsid w:val="00A17CB9"/>
    <w:rsid w:val="00A22321"/>
    <w:rsid w:val="00A229A2"/>
    <w:rsid w:val="00A25B13"/>
    <w:rsid w:val="00A25B5E"/>
    <w:rsid w:val="00A270EA"/>
    <w:rsid w:val="00A2766F"/>
    <w:rsid w:val="00A27BCA"/>
    <w:rsid w:val="00A34E53"/>
    <w:rsid w:val="00A353B5"/>
    <w:rsid w:val="00A40E5E"/>
    <w:rsid w:val="00A431A4"/>
    <w:rsid w:val="00A461C0"/>
    <w:rsid w:val="00A46C94"/>
    <w:rsid w:val="00A46ED4"/>
    <w:rsid w:val="00A47F0D"/>
    <w:rsid w:val="00A553BF"/>
    <w:rsid w:val="00A554D2"/>
    <w:rsid w:val="00A637EE"/>
    <w:rsid w:val="00A63A9A"/>
    <w:rsid w:val="00A673D2"/>
    <w:rsid w:val="00A70744"/>
    <w:rsid w:val="00A7436C"/>
    <w:rsid w:val="00A74676"/>
    <w:rsid w:val="00A75128"/>
    <w:rsid w:val="00A753D0"/>
    <w:rsid w:val="00A769D9"/>
    <w:rsid w:val="00A777C1"/>
    <w:rsid w:val="00A80168"/>
    <w:rsid w:val="00A83702"/>
    <w:rsid w:val="00A866BE"/>
    <w:rsid w:val="00A869F9"/>
    <w:rsid w:val="00A8777A"/>
    <w:rsid w:val="00A913ED"/>
    <w:rsid w:val="00A92B60"/>
    <w:rsid w:val="00A948C7"/>
    <w:rsid w:val="00A9547A"/>
    <w:rsid w:val="00A96E3B"/>
    <w:rsid w:val="00A97665"/>
    <w:rsid w:val="00AA09B7"/>
    <w:rsid w:val="00AA120D"/>
    <w:rsid w:val="00AA1D4F"/>
    <w:rsid w:val="00AA21FB"/>
    <w:rsid w:val="00AA3EB7"/>
    <w:rsid w:val="00AB0547"/>
    <w:rsid w:val="00AB18FE"/>
    <w:rsid w:val="00AB23C8"/>
    <w:rsid w:val="00AB2F9D"/>
    <w:rsid w:val="00AB4685"/>
    <w:rsid w:val="00AB6AAE"/>
    <w:rsid w:val="00AC02E6"/>
    <w:rsid w:val="00AC053D"/>
    <w:rsid w:val="00AC258F"/>
    <w:rsid w:val="00AC426B"/>
    <w:rsid w:val="00AC5272"/>
    <w:rsid w:val="00AC5F5A"/>
    <w:rsid w:val="00AC7D42"/>
    <w:rsid w:val="00AD0551"/>
    <w:rsid w:val="00AD160D"/>
    <w:rsid w:val="00AD1EF1"/>
    <w:rsid w:val="00AD404C"/>
    <w:rsid w:val="00AD4724"/>
    <w:rsid w:val="00AD509F"/>
    <w:rsid w:val="00AD6035"/>
    <w:rsid w:val="00AD6D32"/>
    <w:rsid w:val="00AE239C"/>
    <w:rsid w:val="00AE36D8"/>
    <w:rsid w:val="00AE3C39"/>
    <w:rsid w:val="00AE471B"/>
    <w:rsid w:val="00AE55AE"/>
    <w:rsid w:val="00AE72A4"/>
    <w:rsid w:val="00AE764D"/>
    <w:rsid w:val="00AE7A84"/>
    <w:rsid w:val="00AF0785"/>
    <w:rsid w:val="00AF0926"/>
    <w:rsid w:val="00AF0A8A"/>
    <w:rsid w:val="00AF19E5"/>
    <w:rsid w:val="00AF6D09"/>
    <w:rsid w:val="00AF7E02"/>
    <w:rsid w:val="00B0110B"/>
    <w:rsid w:val="00B02777"/>
    <w:rsid w:val="00B02C90"/>
    <w:rsid w:val="00B04EB3"/>
    <w:rsid w:val="00B057B5"/>
    <w:rsid w:val="00B063C5"/>
    <w:rsid w:val="00B10A0E"/>
    <w:rsid w:val="00B132AC"/>
    <w:rsid w:val="00B13C72"/>
    <w:rsid w:val="00B13D18"/>
    <w:rsid w:val="00B14AF1"/>
    <w:rsid w:val="00B14D1B"/>
    <w:rsid w:val="00B14E2E"/>
    <w:rsid w:val="00B16DE7"/>
    <w:rsid w:val="00B20320"/>
    <w:rsid w:val="00B23C43"/>
    <w:rsid w:val="00B23C50"/>
    <w:rsid w:val="00B248A3"/>
    <w:rsid w:val="00B2550E"/>
    <w:rsid w:val="00B26554"/>
    <w:rsid w:val="00B26788"/>
    <w:rsid w:val="00B26B8E"/>
    <w:rsid w:val="00B272E5"/>
    <w:rsid w:val="00B30FE3"/>
    <w:rsid w:val="00B33B47"/>
    <w:rsid w:val="00B34BB3"/>
    <w:rsid w:val="00B36E92"/>
    <w:rsid w:val="00B41744"/>
    <w:rsid w:val="00B42E24"/>
    <w:rsid w:val="00B4346D"/>
    <w:rsid w:val="00B43BC3"/>
    <w:rsid w:val="00B44CE8"/>
    <w:rsid w:val="00B45084"/>
    <w:rsid w:val="00B45908"/>
    <w:rsid w:val="00B5120C"/>
    <w:rsid w:val="00B51DA4"/>
    <w:rsid w:val="00B51F74"/>
    <w:rsid w:val="00B524F5"/>
    <w:rsid w:val="00B52E66"/>
    <w:rsid w:val="00B53A66"/>
    <w:rsid w:val="00B5414F"/>
    <w:rsid w:val="00B54FD9"/>
    <w:rsid w:val="00B569A5"/>
    <w:rsid w:val="00B57B22"/>
    <w:rsid w:val="00B61426"/>
    <w:rsid w:val="00B6156B"/>
    <w:rsid w:val="00B616C8"/>
    <w:rsid w:val="00B62E29"/>
    <w:rsid w:val="00B639D5"/>
    <w:rsid w:val="00B65088"/>
    <w:rsid w:val="00B65B75"/>
    <w:rsid w:val="00B705E5"/>
    <w:rsid w:val="00B7086A"/>
    <w:rsid w:val="00B711E3"/>
    <w:rsid w:val="00B74491"/>
    <w:rsid w:val="00B74D0A"/>
    <w:rsid w:val="00B75884"/>
    <w:rsid w:val="00B77467"/>
    <w:rsid w:val="00B80017"/>
    <w:rsid w:val="00B8028B"/>
    <w:rsid w:val="00B81E77"/>
    <w:rsid w:val="00B84860"/>
    <w:rsid w:val="00B86133"/>
    <w:rsid w:val="00B870E3"/>
    <w:rsid w:val="00B877D1"/>
    <w:rsid w:val="00B87B3F"/>
    <w:rsid w:val="00B90577"/>
    <w:rsid w:val="00B90B60"/>
    <w:rsid w:val="00B90C93"/>
    <w:rsid w:val="00B91BD0"/>
    <w:rsid w:val="00B941D0"/>
    <w:rsid w:val="00B96937"/>
    <w:rsid w:val="00BA32E9"/>
    <w:rsid w:val="00BA4C0A"/>
    <w:rsid w:val="00BA53B3"/>
    <w:rsid w:val="00BA6977"/>
    <w:rsid w:val="00BB0F75"/>
    <w:rsid w:val="00BB1344"/>
    <w:rsid w:val="00BB1625"/>
    <w:rsid w:val="00BB1D26"/>
    <w:rsid w:val="00BB2477"/>
    <w:rsid w:val="00BB28BA"/>
    <w:rsid w:val="00BB76F9"/>
    <w:rsid w:val="00BB777B"/>
    <w:rsid w:val="00BC03D9"/>
    <w:rsid w:val="00BC0AF0"/>
    <w:rsid w:val="00BC2435"/>
    <w:rsid w:val="00BC2461"/>
    <w:rsid w:val="00BC290A"/>
    <w:rsid w:val="00BC42A6"/>
    <w:rsid w:val="00BC5474"/>
    <w:rsid w:val="00BD6C20"/>
    <w:rsid w:val="00BD6FAC"/>
    <w:rsid w:val="00BE08B1"/>
    <w:rsid w:val="00BE0A75"/>
    <w:rsid w:val="00BE2128"/>
    <w:rsid w:val="00BE2694"/>
    <w:rsid w:val="00BE4A92"/>
    <w:rsid w:val="00BE4B7E"/>
    <w:rsid w:val="00BE53CA"/>
    <w:rsid w:val="00BE5FD7"/>
    <w:rsid w:val="00BE6F41"/>
    <w:rsid w:val="00BF0D2E"/>
    <w:rsid w:val="00BF15EC"/>
    <w:rsid w:val="00BF1743"/>
    <w:rsid w:val="00BF1B66"/>
    <w:rsid w:val="00BF1B9D"/>
    <w:rsid w:val="00BF31E0"/>
    <w:rsid w:val="00BF3719"/>
    <w:rsid w:val="00BF6028"/>
    <w:rsid w:val="00BF74B5"/>
    <w:rsid w:val="00C002A8"/>
    <w:rsid w:val="00C0296A"/>
    <w:rsid w:val="00C04B39"/>
    <w:rsid w:val="00C10E37"/>
    <w:rsid w:val="00C115BD"/>
    <w:rsid w:val="00C12339"/>
    <w:rsid w:val="00C126D5"/>
    <w:rsid w:val="00C1296E"/>
    <w:rsid w:val="00C1327B"/>
    <w:rsid w:val="00C170AA"/>
    <w:rsid w:val="00C17F1F"/>
    <w:rsid w:val="00C2004B"/>
    <w:rsid w:val="00C214BE"/>
    <w:rsid w:val="00C22957"/>
    <w:rsid w:val="00C245DB"/>
    <w:rsid w:val="00C3060F"/>
    <w:rsid w:val="00C30947"/>
    <w:rsid w:val="00C31BA5"/>
    <w:rsid w:val="00C325C5"/>
    <w:rsid w:val="00C32BAA"/>
    <w:rsid w:val="00C333B0"/>
    <w:rsid w:val="00C34F53"/>
    <w:rsid w:val="00C35B9D"/>
    <w:rsid w:val="00C40417"/>
    <w:rsid w:val="00C40676"/>
    <w:rsid w:val="00C40CF4"/>
    <w:rsid w:val="00C41C09"/>
    <w:rsid w:val="00C42D04"/>
    <w:rsid w:val="00C43854"/>
    <w:rsid w:val="00C43C74"/>
    <w:rsid w:val="00C44955"/>
    <w:rsid w:val="00C450B1"/>
    <w:rsid w:val="00C45BE0"/>
    <w:rsid w:val="00C504EC"/>
    <w:rsid w:val="00C50BB9"/>
    <w:rsid w:val="00C50EDC"/>
    <w:rsid w:val="00C50F4F"/>
    <w:rsid w:val="00C51860"/>
    <w:rsid w:val="00C53736"/>
    <w:rsid w:val="00C53878"/>
    <w:rsid w:val="00C56453"/>
    <w:rsid w:val="00C57F4C"/>
    <w:rsid w:val="00C60363"/>
    <w:rsid w:val="00C61DA0"/>
    <w:rsid w:val="00C634AE"/>
    <w:rsid w:val="00C63F1D"/>
    <w:rsid w:val="00C64771"/>
    <w:rsid w:val="00C67D89"/>
    <w:rsid w:val="00C71878"/>
    <w:rsid w:val="00C71DAF"/>
    <w:rsid w:val="00C74A1F"/>
    <w:rsid w:val="00C74B84"/>
    <w:rsid w:val="00C7758E"/>
    <w:rsid w:val="00C8060A"/>
    <w:rsid w:val="00C841B6"/>
    <w:rsid w:val="00C86577"/>
    <w:rsid w:val="00C871D2"/>
    <w:rsid w:val="00C8758F"/>
    <w:rsid w:val="00C91110"/>
    <w:rsid w:val="00C911AC"/>
    <w:rsid w:val="00C912D2"/>
    <w:rsid w:val="00C91426"/>
    <w:rsid w:val="00C91FF7"/>
    <w:rsid w:val="00C93949"/>
    <w:rsid w:val="00C941EE"/>
    <w:rsid w:val="00C9722C"/>
    <w:rsid w:val="00CA02EF"/>
    <w:rsid w:val="00CA0886"/>
    <w:rsid w:val="00CA0B87"/>
    <w:rsid w:val="00CA1608"/>
    <w:rsid w:val="00CA2045"/>
    <w:rsid w:val="00CA382A"/>
    <w:rsid w:val="00CA7CDA"/>
    <w:rsid w:val="00CB0B1F"/>
    <w:rsid w:val="00CB0C79"/>
    <w:rsid w:val="00CB16B9"/>
    <w:rsid w:val="00CB3844"/>
    <w:rsid w:val="00CB3E8F"/>
    <w:rsid w:val="00CB41DB"/>
    <w:rsid w:val="00CB56C6"/>
    <w:rsid w:val="00CB64E2"/>
    <w:rsid w:val="00CB728B"/>
    <w:rsid w:val="00CB74C9"/>
    <w:rsid w:val="00CC3894"/>
    <w:rsid w:val="00CD26D2"/>
    <w:rsid w:val="00CD490F"/>
    <w:rsid w:val="00CD4FCD"/>
    <w:rsid w:val="00CD66ED"/>
    <w:rsid w:val="00CE072B"/>
    <w:rsid w:val="00CE203F"/>
    <w:rsid w:val="00CE211B"/>
    <w:rsid w:val="00CE5141"/>
    <w:rsid w:val="00CE703E"/>
    <w:rsid w:val="00CF05FA"/>
    <w:rsid w:val="00CF12AC"/>
    <w:rsid w:val="00CF12E1"/>
    <w:rsid w:val="00CF1540"/>
    <w:rsid w:val="00CF1E75"/>
    <w:rsid w:val="00CF1E9A"/>
    <w:rsid w:val="00CF1F74"/>
    <w:rsid w:val="00CF35EB"/>
    <w:rsid w:val="00CF41DA"/>
    <w:rsid w:val="00CF4B8A"/>
    <w:rsid w:val="00CF6992"/>
    <w:rsid w:val="00CF71CE"/>
    <w:rsid w:val="00D00C9E"/>
    <w:rsid w:val="00D016EE"/>
    <w:rsid w:val="00D02DB5"/>
    <w:rsid w:val="00D0339A"/>
    <w:rsid w:val="00D04D17"/>
    <w:rsid w:val="00D05A38"/>
    <w:rsid w:val="00D074ED"/>
    <w:rsid w:val="00D077B6"/>
    <w:rsid w:val="00D0794B"/>
    <w:rsid w:val="00D10B93"/>
    <w:rsid w:val="00D14F6B"/>
    <w:rsid w:val="00D157CC"/>
    <w:rsid w:val="00D1739C"/>
    <w:rsid w:val="00D2232E"/>
    <w:rsid w:val="00D22593"/>
    <w:rsid w:val="00D2269F"/>
    <w:rsid w:val="00D22A15"/>
    <w:rsid w:val="00D2721B"/>
    <w:rsid w:val="00D2726C"/>
    <w:rsid w:val="00D30271"/>
    <w:rsid w:val="00D314F8"/>
    <w:rsid w:val="00D31806"/>
    <w:rsid w:val="00D32135"/>
    <w:rsid w:val="00D32CDD"/>
    <w:rsid w:val="00D332AC"/>
    <w:rsid w:val="00D3412E"/>
    <w:rsid w:val="00D35DD7"/>
    <w:rsid w:val="00D35E28"/>
    <w:rsid w:val="00D37AE5"/>
    <w:rsid w:val="00D4068F"/>
    <w:rsid w:val="00D4106D"/>
    <w:rsid w:val="00D42E63"/>
    <w:rsid w:val="00D432FF"/>
    <w:rsid w:val="00D43B72"/>
    <w:rsid w:val="00D46609"/>
    <w:rsid w:val="00D46E90"/>
    <w:rsid w:val="00D4712A"/>
    <w:rsid w:val="00D50326"/>
    <w:rsid w:val="00D512D2"/>
    <w:rsid w:val="00D518A5"/>
    <w:rsid w:val="00D51D3C"/>
    <w:rsid w:val="00D52731"/>
    <w:rsid w:val="00D52D69"/>
    <w:rsid w:val="00D5340D"/>
    <w:rsid w:val="00D539E6"/>
    <w:rsid w:val="00D5464E"/>
    <w:rsid w:val="00D54E5E"/>
    <w:rsid w:val="00D5569C"/>
    <w:rsid w:val="00D56561"/>
    <w:rsid w:val="00D56934"/>
    <w:rsid w:val="00D56A5A"/>
    <w:rsid w:val="00D57F6C"/>
    <w:rsid w:val="00D57FB0"/>
    <w:rsid w:val="00D602A5"/>
    <w:rsid w:val="00D60967"/>
    <w:rsid w:val="00D62226"/>
    <w:rsid w:val="00D6273D"/>
    <w:rsid w:val="00D63B51"/>
    <w:rsid w:val="00D642A9"/>
    <w:rsid w:val="00D6468C"/>
    <w:rsid w:val="00D64AD2"/>
    <w:rsid w:val="00D65CD5"/>
    <w:rsid w:val="00D672B7"/>
    <w:rsid w:val="00D70DD3"/>
    <w:rsid w:val="00D72F84"/>
    <w:rsid w:val="00D74A9F"/>
    <w:rsid w:val="00D74AF0"/>
    <w:rsid w:val="00D75ADD"/>
    <w:rsid w:val="00D75D1A"/>
    <w:rsid w:val="00D7665B"/>
    <w:rsid w:val="00D76B78"/>
    <w:rsid w:val="00D76B86"/>
    <w:rsid w:val="00D76F46"/>
    <w:rsid w:val="00D77F04"/>
    <w:rsid w:val="00D811DF"/>
    <w:rsid w:val="00D817DA"/>
    <w:rsid w:val="00D81EC4"/>
    <w:rsid w:val="00D8602B"/>
    <w:rsid w:val="00D87173"/>
    <w:rsid w:val="00D9178C"/>
    <w:rsid w:val="00D91DE8"/>
    <w:rsid w:val="00D92306"/>
    <w:rsid w:val="00D942DC"/>
    <w:rsid w:val="00D95725"/>
    <w:rsid w:val="00DA072B"/>
    <w:rsid w:val="00DA0CB2"/>
    <w:rsid w:val="00DA1EBD"/>
    <w:rsid w:val="00DA31EE"/>
    <w:rsid w:val="00DA4801"/>
    <w:rsid w:val="00DA5AAB"/>
    <w:rsid w:val="00DA5BF1"/>
    <w:rsid w:val="00DA610C"/>
    <w:rsid w:val="00DB010F"/>
    <w:rsid w:val="00DB0359"/>
    <w:rsid w:val="00DB3223"/>
    <w:rsid w:val="00DB3F84"/>
    <w:rsid w:val="00DB547E"/>
    <w:rsid w:val="00DB54BA"/>
    <w:rsid w:val="00DB620B"/>
    <w:rsid w:val="00DB6508"/>
    <w:rsid w:val="00DB660A"/>
    <w:rsid w:val="00DB7917"/>
    <w:rsid w:val="00DC0DC7"/>
    <w:rsid w:val="00DC1394"/>
    <w:rsid w:val="00DC1462"/>
    <w:rsid w:val="00DC21D2"/>
    <w:rsid w:val="00DC347F"/>
    <w:rsid w:val="00DC5A45"/>
    <w:rsid w:val="00DC7F59"/>
    <w:rsid w:val="00DC7FB5"/>
    <w:rsid w:val="00DD242B"/>
    <w:rsid w:val="00DD28CA"/>
    <w:rsid w:val="00DD618F"/>
    <w:rsid w:val="00DD677A"/>
    <w:rsid w:val="00DD6994"/>
    <w:rsid w:val="00DD7D9A"/>
    <w:rsid w:val="00DD7E39"/>
    <w:rsid w:val="00DE000C"/>
    <w:rsid w:val="00DE0FAA"/>
    <w:rsid w:val="00DE1303"/>
    <w:rsid w:val="00DE1523"/>
    <w:rsid w:val="00DE17A1"/>
    <w:rsid w:val="00DE1D24"/>
    <w:rsid w:val="00DE2D0A"/>
    <w:rsid w:val="00DE5969"/>
    <w:rsid w:val="00DE748E"/>
    <w:rsid w:val="00DF0052"/>
    <w:rsid w:val="00DF01D6"/>
    <w:rsid w:val="00DF0A95"/>
    <w:rsid w:val="00DF1D0A"/>
    <w:rsid w:val="00DF2291"/>
    <w:rsid w:val="00DF2477"/>
    <w:rsid w:val="00DF3F71"/>
    <w:rsid w:val="00DF5E6B"/>
    <w:rsid w:val="00DF6F2D"/>
    <w:rsid w:val="00DF7858"/>
    <w:rsid w:val="00DF7B66"/>
    <w:rsid w:val="00E01946"/>
    <w:rsid w:val="00E021C2"/>
    <w:rsid w:val="00E02F2A"/>
    <w:rsid w:val="00E04446"/>
    <w:rsid w:val="00E05284"/>
    <w:rsid w:val="00E06E7E"/>
    <w:rsid w:val="00E07F14"/>
    <w:rsid w:val="00E107DF"/>
    <w:rsid w:val="00E10868"/>
    <w:rsid w:val="00E11F6C"/>
    <w:rsid w:val="00E120CA"/>
    <w:rsid w:val="00E13450"/>
    <w:rsid w:val="00E1551C"/>
    <w:rsid w:val="00E2075C"/>
    <w:rsid w:val="00E20C60"/>
    <w:rsid w:val="00E20CE5"/>
    <w:rsid w:val="00E210DA"/>
    <w:rsid w:val="00E214F1"/>
    <w:rsid w:val="00E21A3A"/>
    <w:rsid w:val="00E23235"/>
    <w:rsid w:val="00E23845"/>
    <w:rsid w:val="00E24268"/>
    <w:rsid w:val="00E24EFF"/>
    <w:rsid w:val="00E2515B"/>
    <w:rsid w:val="00E2678B"/>
    <w:rsid w:val="00E27223"/>
    <w:rsid w:val="00E30FCF"/>
    <w:rsid w:val="00E3159C"/>
    <w:rsid w:val="00E32294"/>
    <w:rsid w:val="00E32B8F"/>
    <w:rsid w:val="00E35513"/>
    <w:rsid w:val="00E35C19"/>
    <w:rsid w:val="00E401A0"/>
    <w:rsid w:val="00E40EE6"/>
    <w:rsid w:val="00E41A3C"/>
    <w:rsid w:val="00E42BBB"/>
    <w:rsid w:val="00E42E71"/>
    <w:rsid w:val="00E432C7"/>
    <w:rsid w:val="00E45348"/>
    <w:rsid w:val="00E46087"/>
    <w:rsid w:val="00E46DAF"/>
    <w:rsid w:val="00E476F2"/>
    <w:rsid w:val="00E503D8"/>
    <w:rsid w:val="00E53A73"/>
    <w:rsid w:val="00E54460"/>
    <w:rsid w:val="00E54ED5"/>
    <w:rsid w:val="00E55F9B"/>
    <w:rsid w:val="00E6016C"/>
    <w:rsid w:val="00E603BE"/>
    <w:rsid w:val="00E60CB1"/>
    <w:rsid w:val="00E620D0"/>
    <w:rsid w:val="00E638F7"/>
    <w:rsid w:val="00E647D5"/>
    <w:rsid w:val="00E65496"/>
    <w:rsid w:val="00E66CBE"/>
    <w:rsid w:val="00E67ADB"/>
    <w:rsid w:val="00E70502"/>
    <w:rsid w:val="00E71C1E"/>
    <w:rsid w:val="00E739DC"/>
    <w:rsid w:val="00E74519"/>
    <w:rsid w:val="00E74B1A"/>
    <w:rsid w:val="00E757A1"/>
    <w:rsid w:val="00E7703A"/>
    <w:rsid w:val="00E8059E"/>
    <w:rsid w:val="00E80688"/>
    <w:rsid w:val="00E815CD"/>
    <w:rsid w:val="00E825E0"/>
    <w:rsid w:val="00E82B44"/>
    <w:rsid w:val="00E8491A"/>
    <w:rsid w:val="00E84DDA"/>
    <w:rsid w:val="00E85FA2"/>
    <w:rsid w:val="00E86032"/>
    <w:rsid w:val="00E87879"/>
    <w:rsid w:val="00E94D32"/>
    <w:rsid w:val="00E96A6C"/>
    <w:rsid w:val="00EA0093"/>
    <w:rsid w:val="00EA7A2F"/>
    <w:rsid w:val="00EB0C15"/>
    <w:rsid w:val="00EB2458"/>
    <w:rsid w:val="00EB2F34"/>
    <w:rsid w:val="00EB3099"/>
    <w:rsid w:val="00EB6785"/>
    <w:rsid w:val="00EC036B"/>
    <w:rsid w:val="00EC13E2"/>
    <w:rsid w:val="00EC1BC1"/>
    <w:rsid w:val="00EC6C38"/>
    <w:rsid w:val="00EC6EE6"/>
    <w:rsid w:val="00EC7556"/>
    <w:rsid w:val="00ED0237"/>
    <w:rsid w:val="00ED0F16"/>
    <w:rsid w:val="00ED135B"/>
    <w:rsid w:val="00ED3BA9"/>
    <w:rsid w:val="00ED52AD"/>
    <w:rsid w:val="00ED69B0"/>
    <w:rsid w:val="00ED76DD"/>
    <w:rsid w:val="00EE035F"/>
    <w:rsid w:val="00EE0654"/>
    <w:rsid w:val="00EE131E"/>
    <w:rsid w:val="00EE1D6E"/>
    <w:rsid w:val="00EE1E56"/>
    <w:rsid w:val="00EE3CD3"/>
    <w:rsid w:val="00EE6E75"/>
    <w:rsid w:val="00EF07A3"/>
    <w:rsid w:val="00EF0BCD"/>
    <w:rsid w:val="00EF1DEE"/>
    <w:rsid w:val="00EF2414"/>
    <w:rsid w:val="00EF7312"/>
    <w:rsid w:val="00F00B6C"/>
    <w:rsid w:val="00F01839"/>
    <w:rsid w:val="00F03053"/>
    <w:rsid w:val="00F04539"/>
    <w:rsid w:val="00F04672"/>
    <w:rsid w:val="00F04C8F"/>
    <w:rsid w:val="00F0517F"/>
    <w:rsid w:val="00F059C6"/>
    <w:rsid w:val="00F05B0C"/>
    <w:rsid w:val="00F0789E"/>
    <w:rsid w:val="00F07DA6"/>
    <w:rsid w:val="00F11D0B"/>
    <w:rsid w:val="00F11DD1"/>
    <w:rsid w:val="00F1286F"/>
    <w:rsid w:val="00F13087"/>
    <w:rsid w:val="00F13235"/>
    <w:rsid w:val="00F1339A"/>
    <w:rsid w:val="00F1655F"/>
    <w:rsid w:val="00F16789"/>
    <w:rsid w:val="00F17F60"/>
    <w:rsid w:val="00F20FC8"/>
    <w:rsid w:val="00F21212"/>
    <w:rsid w:val="00F245B4"/>
    <w:rsid w:val="00F25D90"/>
    <w:rsid w:val="00F2626B"/>
    <w:rsid w:val="00F2666D"/>
    <w:rsid w:val="00F26E51"/>
    <w:rsid w:val="00F30422"/>
    <w:rsid w:val="00F3050E"/>
    <w:rsid w:val="00F32D82"/>
    <w:rsid w:val="00F33F58"/>
    <w:rsid w:val="00F34BA2"/>
    <w:rsid w:val="00F34C0A"/>
    <w:rsid w:val="00F354BA"/>
    <w:rsid w:val="00F37DC8"/>
    <w:rsid w:val="00F428E3"/>
    <w:rsid w:val="00F43352"/>
    <w:rsid w:val="00F43E9D"/>
    <w:rsid w:val="00F4630C"/>
    <w:rsid w:val="00F47485"/>
    <w:rsid w:val="00F47E17"/>
    <w:rsid w:val="00F50AD2"/>
    <w:rsid w:val="00F53000"/>
    <w:rsid w:val="00F53223"/>
    <w:rsid w:val="00F5379E"/>
    <w:rsid w:val="00F57846"/>
    <w:rsid w:val="00F57B2D"/>
    <w:rsid w:val="00F60632"/>
    <w:rsid w:val="00F61DC6"/>
    <w:rsid w:val="00F61E8C"/>
    <w:rsid w:val="00F630DD"/>
    <w:rsid w:val="00F63CA8"/>
    <w:rsid w:val="00F64313"/>
    <w:rsid w:val="00F644B0"/>
    <w:rsid w:val="00F6602C"/>
    <w:rsid w:val="00F66CE1"/>
    <w:rsid w:val="00F67186"/>
    <w:rsid w:val="00F6789F"/>
    <w:rsid w:val="00F67FB3"/>
    <w:rsid w:val="00F73CEB"/>
    <w:rsid w:val="00F75451"/>
    <w:rsid w:val="00F76EB9"/>
    <w:rsid w:val="00F77673"/>
    <w:rsid w:val="00F80065"/>
    <w:rsid w:val="00F8026B"/>
    <w:rsid w:val="00F8090E"/>
    <w:rsid w:val="00F81465"/>
    <w:rsid w:val="00F81477"/>
    <w:rsid w:val="00F81A4A"/>
    <w:rsid w:val="00F81AB8"/>
    <w:rsid w:val="00F81B82"/>
    <w:rsid w:val="00F82106"/>
    <w:rsid w:val="00F826FE"/>
    <w:rsid w:val="00F82DC5"/>
    <w:rsid w:val="00F83A1C"/>
    <w:rsid w:val="00F83B16"/>
    <w:rsid w:val="00F8413A"/>
    <w:rsid w:val="00F85BFD"/>
    <w:rsid w:val="00F86BE6"/>
    <w:rsid w:val="00F902FA"/>
    <w:rsid w:val="00F90A84"/>
    <w:rsid w:val="00F92432"/>
    <w:rsid w:val="00F927FF"/>
    <w:rsid w:val="00F93D29"/>
    <w:rsid w:val="00F950F1"/>
    <w:rsid w:val="00F95DD1"/>
    <w:rsid w:val="00F9655F"/>
    <w:rsid w:val="00F976AD"/>
    <w:rsid w:val="00F9789E"/>
    <w:rsid w:val="00FA0280"/>
    <w:rsid w:val="00FA0937"/>
    <w:rsid w:val="00FA1CAA"/>
    <w:rsid w:val="00FA2A06"/>
    <w:rsid w:val="00FA3F2C"/>
    <w:rsid w:val="00FA51E4"/>
    <w:rsid w:val="00FB0047"/>
    <w:rsid w:val="00FB01A3"/>
    <w:rsid w:val="00FB12DE"/>
    <w:rsid w:val="00FB3706"/>
    <w:rsid w:val="00FB424A"/>
    <w:rsid w:val="00FC0451"/>
    <w:rsid w:val="00FC1F58"/>
    <w:rsid w:val="00FC31A9"/>
    <w:rsid w:val="00FC3B1D"/>
    <w:rsid w:val="00FC4E3B"/>
    <w:rsid w:val="00FC7467"/>
    <w:rsid w:val="00FC76DD"/>
    <w:rsid w:val="00FD14CA"/>
    <w:rsid w:val="00FD1DD7"/>
    <w:rsid w:val="00FD1E17"/>
    <w:rsid w:val="00FD4DBE"/>
    <w:rsid w:val="00FD741E"/>
    <w:rsid w:val="00FE07D4"/>
    <w:rsid w:val="00FE14C5"/>
    <w:rsid w:val="00FE3179"/>
    <w:rsid w:val="00FE40B5"/>
    <w:rsid w:val="00FE4D2D"/>
    <w:rsid w:val="00FE683E"/>
    <w:rsid w:val="00FF1204"/>
    <w:rsid w:val="00FF226D"/>
    <w:rsid w:val="00FF38D1"/>
    <w:rsid w:val="00FF3E08"/>
    <w:rsid w:val="00FF3EB6"/>
    <w:rsid w:val="00FF41A1"/>
    <w:rsid w:val="00FF4C9B"/>
    <w:rsid w:val="00FF5828"/>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A797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table" w:customStyle="1" w:styleId="TableGrid1">
    <w:name w:val="Table Grid1"/>
    <w:basedOn w:val="TableNormal"/>
    <w:next w:val="TableGrid"/>
    <w:uiPriority w:val="59"/>
    <w:rsid w:val="00294CE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8A797A"/>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uiPriority w:val="59"/>
    <w:rsid w:val="008A79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A797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table" w:customStyle="1" w:styleId="TableGrid1">
    <w:name w:val="Table Grid1"/>
    <w:basedOn w:val="TableNormal"/>
    <w:next w:val="TableGrid"/>
    <w:uiPriority w:val="59"/>
    <w:rsid w:val="00294CE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8A797A"/>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uiPriority w:val="59"/>
    <w:rsid w:val="008A79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112">
      <w:bodyDiv w:val="1"/>
      <w:marLeft w:val="0"/>
      <w:marRight w:val="0"/>
      <w:marTop w:val="0"/>
      <w:marBottom w:val="0"/>
      <w:divBdr>
        <w:top w:val="none" w:sz="0" w:space="0" w:color="auto"/>
        <w:left w:val="none" w:sz="0" w:space="0" w:color="auto"/>
        <w:bottom w:val="none" w:sz="0" w:space="0" w:color="auto"/>
        <w:right w:val="none" w:sz="0" w:space="0" w:color="auto"/>
      </w:divBdr>
    </w:div>
    <w:div w:id="69236975">
      <w:bodyDiv w:val="1"/>
      <w:marLeft w:val="0"/>
      <w:marRight w:val="0"/>
      <w:marTop w:val="0"/>
      <w:marBottom w:val="0"/>
      <w:divBdr>
        <w:top w:val="none" w:sz="0" w:space="0" w:color="auto"/>
        <w:left w:val="none" w:sz="0" w:space="0" w:color="auto"/>
        <w:bottom w:val="none" w:sz="0" w:space="0" w:color="auto"/>
        <w:right w:val="none" w:sz="0" w:space="0" w:color="auto"/>
      </w:divBdr>
    </w:div>
    <w:div w:id="69738738">
      <w:marLeft w:val="0"/>
      <w:marRight w:val="0"/>
      <w:marTop w:val="0"/>
      <w:marBottom w:val="0"/>
      <w:divBdr>
        <w:top w:val="none" w:sz="0" w:space="0" w:color="auto"/>
        <w:left w:val="none" w:sz="0" w:space="0" w:color="auto"/>
        <w:bottom w:val="none" w:sz="0" w:space="0" w:color="auto"/>
        <w:right w:val="none" w:sz="0" w:space="0" w:color="auto"/>
      </w:divBdr>
    </w:div>
    <w:div w:id="78673320">
      <w:marLeft w:val="0"/>
      <w:marRight w:val="0"/>
      <w:marTop w:val="0"/>
      <w:marBottom w:val="0"/>
      <w:divBdr>
        <w:top w:val="none" w:sz="0" w:space="0" w:color="auto"/>
        <w:left w:val="none" w:sz="0" w:space="0" w:color="auto"/>
        <w:bottom w:val="none" w:sz="0" w:space="0" w:color="auto"/>
        <w:right w:val="none" w:sz="0" w:space="0" w:color="auto"/>
      </w:divBdr>
    </w:div>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4368">
      <w:marLeft w:val="0"/>
      <w:marRight w:val="0"/>
      <w:marTop w:val="0"/>
      <w:marBottom w:val="0"/>
      <w:divBdr>
        <w:top w:val="none" w:sz="0" w:space="0" w:color="auto"/>
        <w:left w:val="none" w:sz="0" w:space="0" w:color="auto"/>
        <w:bottom w:val="none" w:sz="0" w:space="0" w:color="auto"/>
        <w:right w:val="none" w:sz="0" w:space="0" w:color="auto"/>
      </w:divBdr>
    </w:div>
    <w:div w:id="143816296">
      <w:bodyDiv w:val="1"/>
      <w:marLeft w:val="0"/>
      <w:marRight w:val="0"/>
      <w:marTop w:val="0"/>
      <w:marBottom w:val="0"/>
      <w:divBdr>
        <w:top w:val="none" w:sz="0" w:space="0" w:color="auto"/>
        <w:left w:val="none" w:sz="0" w:space="0" w:color="auto"/>
        <w:bottom w:val="none" w:sz="0" w:space="0" w:color="auto"/>
        <w:right w:val="none" w:sz="0" w:space="0" w:color="auto"/>
      </w:divBdr>
    </w:div>
    <w:div w:id="164561671">
      <w:bodyDiv w:val="1"/>
      <w:marLeft w:val="0"/>
      <w:marRight w:val="0"/>
      <w:marTop w:val="0"/>
      <w:marBottom w:val="0"/>
      <w:divBdr>
        <w:top w:val="none" w:sz="0" w:space="0" w:color="auto"/>
        <w:left w:val="none" w:sz="0" w:space="0" w:color="auto"/>
        <w:bottom w:val="none" w:sz="0" w:space="0" w:color="auto"/>
        <w:right w:val="none" w:sz="0" w:space="0" w:color="auto"/>
      </w:divBdr>
    </w:div>
    <w:div w:id="195582236">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261688637">
      <w:bodyDiv w:val="1"/>
      <w:marLeft w:val="0"/>
      <w:marRight w:val="0"/>
      <w:marTop w:val="0"/>
      <w:marBottom w:val="0"/>
      <w:divBdr>
        <w:top w:val="none" w:sz="0" w:space="0" w:color="auto"/>
        <w:left w:val="none" w:sz="0" w:space="0" w:color="auto"/>
        <w:bottom w:val="none" w:sz="0" w:space="0" w:color="auto"/>
        <w:right w:val="none" w:sz="0" w:space="0" w:color="auto"/>
      </w:divBdr>
    </w:div>
    <w:div w:id="285965936">
      <w:bodyDiv w:val="1"/>
      <w:marLeft w:val="0"/>
      <w:marRight w:val="0"/>
      <w:marTop w:val="0"/>
      <w:marBottom w:val="0"/>
      <w:divBdr>
        <w:top w:val="none" w:sz="0" w:space="0" w:color="auto"/>
        <w:left w:val="none" w:sz="0" w:space="0" w:color="auto"/>
        <w:bottom w:val="none" w:sz="0" w:space="0" w:color="auto"/>
        <w:right w:val="none" w:sz="0" w:space="0" w:color="auto"/>
      </w:divBdr>
    </w:div>
    <w:div w:id="312687686">
      <w:bodyDiv w:val="1"/>
      <w:marLeft w:val="0"/>
      <w:marRight w:val="0"/>
      <w:marTop w:val="0"/>
      <w:marBottom w:val="0"/>
      <w:divBdr>
        <w:top w:val="none" w:sz="0" w:space="0" w:color="auto"/>
        <w:left w:val="none" w:sz="0" w:space="0" w:color="auto"/>
        <w:bottom w:val="none" w:sz="0" w:space="0" w:color="auto"/>
        <w:right w:val="none" w:sz="0" w:space="0" w:color="auto"/>
      </w:divBdr>
    </w:div>
    <w:div w:id="320278162">
      <w:marLeft w:val="0"/>
      <w:marRight w:val="0"/>
      <w:marTop w:val="0"/>
      <w:marBottom w:val="0"/>
      <w:divBdr>
        <w:top w:val="none" w:sz="0" w:space="0" w:color="auto"/>
        <w:left w:val="none" w:sz="0" w:space="0" w:color="auto"/>
        <w:bottom w:val="none" w:sz="0" w:space="0" w:color="auto"/>
        <w:right w:val="none" w:sz="0" w:space="0" w:color="auto"/>
      </w:divBdr>
    </w:div>
    <w:div w:id="335966038">
      <w:bodyDiv w:val="1"/>
      <w:marLeft w:val="0"/>
      <w:marRight w:val="0"/>
      <w:marTop w:val="0"/>
      <w:marBottom w:val="0"/>
      <w:divBdr>
        <w:top w:val="none" w:sz="0" w:space="0" w:color="auto"/>
        <w:left w:val="none" w:sz="0" w:space="0" w:color="auto"/>
        <w:bottom w:val="none" w:sz="0" w:space="0" w:color="auto"/>
        <w:right w:val="none" w:sz="0" w:space="0" w:color="auto"/>
      </w:divBdr>
    </w:div>
    <w:div w:id="343627666">
      <w:bodyDiv w:val="1"/>
      <w:marLeft w:val="0"/>
      <w:marRight w:val="0"/>
      <w:marTop w:val="0"/>
      <w:marBottom w:val="0"/>
      <w:divBdr>
        <w:top w:val="none" w:sz="0" w:space="0" w:color="auto"/>
        <w:left w:val="none" w:sz="0" w:space="0" w:color="auto"/>
        <w:bottom w:val="none" w:sz="0" w:space="0" w:color="auto"/>
        <w:right w:val="none" w:sz="0" w:space="0" w:color="auto"/>
      </w:divBdr>
    </w:div>
    <w:div w:id="358622630">
      <w:bodyDiv w:val="1"/>
      <w:marLeft w:val="0"/>
      <w:marRight w:val="0"/>
      <w:marTop w:val="0"/>
      <w:marBottom w:val="0"/>
      <w:divBdr>
        <w:top w:val="none" w:sz="0" w:space="0" w:color="auto"/>
        <w:left w:val="none" w:sz="0" w:space="0" w:color="auto"/>
        <w:bottom w:val="none" w:sz="0" w:space="0" w:color="auto"/>
        <w:right w:val="none" w:sz="0" w:space="0" w:color="auto"/>
      </w:divBdr>
    </w:div>
    <w:div w:id="359860900">
      <w:bodyDiv w:val="1"/>
      <w:marLeft w:val="0"/>
      <w:marRight w:val="0"/>
      <w:marTop w:val="0"/>
      <w:marBottom w:val="0"/>
      <w:divBdr>
        <w:top w:val="none" w:sz="0" w:space="0" w:color="auto"/>
        <w:left w:val="none" w:sz="0" w:space="0" w:color="auto"/>
        <w:bottom w:val="none" w:sz="0" w:space="0" w:color="auto"/>
        <w:right w:val="none" w:sz="0" w:space="0" w:color="auto"/>
      </w:divBdr>
    </w:div>
    <w:div w:id="411781357">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71023342">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25825965">
      <w:bodyDiv w:val="1"/>
      <w:marLeft w:val="0"/>
      <w:marRight w:val="0"/>
      <w:marTop w:val="0"/>
      <w:marBottom w:val="0"/>
      <w:divBdr>
        <w:top w:val="none" w:sz="0" w:space="0" w:color="auto"/>
        <w:left w:val="none" w:sz="0" w:space="0" w:color="auto"/>
        <w:bottom w:val="none" w:sz="0" w:space="0" w:color="auto"/>
        <w:right w:val="none" w:sz="0" w:space="0" w:color="auto"/>
      </w:divBdr>
    </w:div>
    <w:div w:id="526915367">
      <w:bodyDiv w:val="1"/>
      <w:marLeft w:val="0"/>
      <w:marRight w:val="0"/>
      <w:marTop w:val="0"/>
      <w:marBottom w:val="0"/>
      <w:divBdr>
        <w:top w:val="none" w:sz="0" w:space="0" w:color="auto"/>
        <w:left w:val="none" w:sz="0" w:space="0" w:color="auto"/>
        <w:bottom w:val="none" w:sz="0" w:space="0" w:color="auto"/>
        <w:right w:val="none" w:sz="0" w:space="0" w:color="auto"/>
      </w:divBdr>
    </w:div>
    <w:div w:id="547181541">
      <w:marLeft w:val="0"/>
      <w:marRight w:val="0"/>
      <w:marTop w:val="0"/>
      <w:marBottom w:val="0"/>
      <w:divBdr>
        <w:top w:val="none" w:sz="0" w:space="0" w:color="auto"/>
        <w:left w:val="none" w:sz="0" w:space="0" w:color="auto"/>
        <w:bottom w:val="none" w:sz="0" w:space="0" w:color="auto"/>
        <w:right w:val="none" w:sz="0" w:space="0" w:color="auto"/>
      </w:divBdr>
    </w:div>
    <w:div w:id="659700001">
      <w:marLeft w:val="0"/>
      <w:marRight w:val="0"/>
      <w:marTop w:val="0"/>
      <w:marBottom w:val="0"/>
      <w:divBdr>
        <w:top w:val="none" w:sz="0" w:space="0" w:color="auto"/>
        <w:left w:val="none" w:sz="0" w:space="0" w:color="auto"/>
        <w:bottom w:val="none" w:sz="0" w:space="0" w:color="auto"/>
        <w:right w:val="none" w:sz="0" w:space="0" w:color="auto"/>
      </w:divBdr>
    </w:div>
    <w:div w:id="675571276">
      <w:bodyDiv w:val="1"/>
      <w:marLeft w:val="0"/>
      <w:marRight w:val="0"/>
      <w:marTop w:val="0"/>
      <w:marBottom w:val="0"/>
      <w:divBdr>
        <w:top w:val="none" w:sz="0" w:space="0" w:color="auto"/>
        <w:left w:val="none" w:sz="0" w:space="0" w:color="auto"/>
        <w:bottom w:val="none" w:sz="0" w:space="0" w:color="auto"/>
        <w:right w:val="none" w:sz="0" w:space="0" w:color="auto"/>
      </w:divBdr>
    </w:div>
    <w:div w:id="711923622">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37630442">
      <w:bodyDiv w:val="1"/>
      <w:marLeft w:val="0"/>
      <w:marRight w:val="0"/>
      <w:marTop w:val="0"/>
      <w:marBottom w:val="0"/>
      <w:divBdr>
        <w:top w:val="none" w:sz="0" w:space="0" w:color="auto"/>
        <w:left w:val="none" w:sz="0" w:space="0" w:color="auto"/>
        <w:bottom w:val="none" w:sz="0" w:space="0" w:color="auto"/>
        <w:right w:val="none" w:sz="0" w:space="0" w:color="auto"/>
      </w:divBdr>
    </w:div>
    <w:div w:id="760419082">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04852759">
      <w:bodyDiv w:val="1"/>
      <w:marLeft w:val="0"/>
      <w:marRight w:val="0"/>
      <w:marTop w:val="0"/>
      <w:marBottom w:val="0"/>
      <w:divBdr>
        <w:top w:val="none" w:sz="0" w:space="0" w:color="auto"/>
        <w:left w:val="none" w:sz="0" w:space="0" w:color="auto"/>
        <w:bottom w:val="none" w:sz="0" w:space="0" w:color="auto"/>
        <w:right w:val="none" w:sz="0" w:space="0" w:color="auto"/>
      </w:divBdr>
      <w:divsChild>
        <w:div w:id="2055882398">
          <w:marLeft w:val="0"/>
          <w:marRight w:val="0"/>
          <w:marTop w:val="0"/>
          <w:marBottom w:val="0"/>
          <w:divBdr>
            <w:top w:val="none" w:sz="0" w:space="0" w:color="auto"/>
            <w:left w:val="none" w:sz="0" w:space="0" w:color="auto"/>
            <w:bottom w:val="none" w:sz="0" w:space="0" w:color="auto"/>
            <w:right w:val="none" w:sz="0" w:space="0" w:color="auto"/>
          </w:divBdr>
          <w:divsChild>
            <w:div w:id="198471314">
              <w:marLeft w:val="0"/>
              <w:marRight w:val="0"/>
              <w:marTop w:val="0"/>
              <w:marBottom w:val="0"/>
              <w:divBdr>
                <w:top w:val="none" w:sz="0" w:space="0" w:color="auto"/>
                <w:left w:val="none" w:sz="0" w:space="0" w:color="auto"/>
                <w:bottom w:val="none" w:sz="0" w:space="0" w:color="auto"/>
                <w:right w:val="none" w:sz="0" w:space="0" w:color="auto"/>
              </w:divBdr>
              <w:divsChild>
                <w:div w:id="1368139796">
                  <w:marLeft w:val="0"/>
                  <w:marRight w:val="0"/>
                  <w:marTop w:val="0"/>
                  <w:marBottom w:val="0"/>
                  <w:divBdr>
                    <w:top w:val="none" w:sz="0" w:space="0" w:color="auto"/>
                    <w:left w:val="none" w:sz="0" w:space="0" w:color="auto"/>
                    <w:bottom w:val="none" w:sz="0" w:space="0" w:color="auto"/>
                    <w:right w:val="none" w:sz="0" w:space="0" w:color="auto"/>
                  </w:divBdr>
                  <w:divsChild>
                    <w:div w:id="1937520683">
                      <w:marLeft w:val="0"/>
                      <w:marRight w:val="0"/>
                      <w:marTop w:val="0"/>
                      <w:marBottom w:val="0"/>
                      <w:divBdr>
                        <w:top w:val="none" w:sz="0" w:space="0" w:color="auto"/>
                        <w:left w:val="none" w:sz="0" w:space="0" w:color="auto"/>
                        <w:bottom w:val="none" w:sz="0" w:space="0" w:color="auto"/>
                        <w:right w:val="none" w:sz="0" w:space="0" w:color="auto"/>
                      </w:divBdr>
                      <w:divsChild>
                        <w:div w:id="2013096447">
                          <w:marLeft w:val="0"/>
                          <w:marRight w:val="0"/>
                          <w:marTop w:val="0"/>
                          <w:marBottom w:val="0"/>
                          <w:divBdr>
                            <w:top w:val="none" w:sz="0" w:space="0" w:color="auto"/>
                            <w:left w:val="none" w:sz="0" w:space="0" w:color="auto"/>
                            <w:bottom w:val="none" w:sz="0" w:space="0" w:color="auto"/>
                            <w:right w:val="none" w:sz="0" w:space="0" w:color="auto"/>
                          </w:divBdr>
                          <w:divsChild>
                            <w:div w:id="1970087918">
                              <w:marLeft w:val="0"/>
                              <w:marRight w:val="0"/>
                              <w:marTop w:val="0"/>
                              <w:marBottom w:val="0"/>
                              <w:divBdr>
                                <w:top w:val="none" w:sz="0" w:space="0" w:color="auto"/>
                                <w:left w:val="none" w:sz="0" w:space="0" w:color="auto"/>
                                <w:bottom w:val="none" w:sz="0" w:space="0" w:color="auto"/>
                                <w:right w:val="none" w:sz="0" w:space="0" w:color="auto"/>
                              </w:divBdr>
                              <w:divsChild>
                                <w:div w:id="1644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31528">
      <w:marLeft w:val="0"/>
      <w:marRight w:val="0"/>
      <w:marTop w:val="0"/>
      <w:marBottom w:val="0"/>
      <w:divBdr>
        <w:top w:val="none" w:sz="0" w:space="0" w:color="auto"/>
        <w:left w:val="none" w:sz="0" w:space="0" w:color="auto"/>
        <w:bottom w:val="none" w:sz="0" w:space="0" w:color="auto"/>
        <w:right w:val="none" w:sz="0" w:space="0" w:color="auto"/>
      </w:divBdr>
    </w:div>
    <w:div w:id="852189641">
      <w:bodyDiv w:val="1"/>
      <w:marLeft w:val="0"/>
      <w:marRight w:val="0"/>
      <w:marTop w:val="0"/>
      <w:marBottom w:val="0"/>
      <w:divBdr>
        <w:top w:val="none" w:sz="0" w:space="0" w:color="auto"/>
        <w:left w:val="none" w:sz="0" w:space="0" w:color="auto"/>
        <w:bottom w:val="none" w:sz="0" w:space="0" w:color="auto"/>
        <w:right w:val="none" w:sz="0" w:space="0" w:color="auto"/>
      </w:divBdr>
    </w:div>
    <w:div w:id="885607643">
      <w:bodyDiv w:val="1"/>
      <w:marLeft w:val="0"/>
      <w:marRight w:val="0"/>
      <w:marTop w:val="0"/>
      <w:marBottom w:val="0"/>
      <w:divBdr>
        <w:top w:val="none" w:sz="0" w:space="0" w:color="auto"/>
        <w:left w:val="none" w:sz="0" w:space="0" w:color="auto"/>
        <w:bottom w:val="none" w:sz="0" w:space="0" w:color="auto"/>
        <w:right w:val="none" w:sz="0" w:space="0" w:color="auto"/>
      </w:divBdr>
    </w:div>
    <w:div w:id="889997236">
      <w:bodyDiv w:val="1"/>
      <w:marLeft w:val="0"/>
      <w:marRight w:val="0"/>
      <w:marTop w:val="0"/>
      <w:marBottom w:val="0"/>
      <w:divBdr>
        <w:top w:val="none" w:sz="0" w:space="0" w:color="auto"/>
        <w:left w:val="none" w:sz="0" w:space="0" w:color="auto"/>
        <w:bottom w:val="none" w:sz="0" w:space="0" w:color="auto"/>
        <w:right w:val="none" w:sz="0" w:space="0" w:color="auto"/>
      </w:divBdr>
      <w:divsChild>
        <w:div w:id="1413234868">
          <w:marLeft w:val="0"/>
          <w:marRight w:val="0"/>
          <w:marTop w:val="0"/>
          <w:marBottom w:val="0"/>
          <w:divBdr>
            <w:top w:val="none" w:sz="0" w:space="0" w:color="auto"/>
            <w:left w:val="none" w:sz="0" w:space="0" w:color="auto"/>
            <w:bottom w:val="none" w:sz="0" w:space="0" w:color="auto"/>
            <w:right w:val="none" w:sz="0" w:space="0" w:color="auto"/>
          </w:divBdr>
        </w:div>
      </w:divsChild>
    </w:div>
    <w:div w:id="906838152">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061337">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807204">
      <w:bodyDiv w:val="1"/>
      <w:marLeft w:val="0"/>
      <w:marRight w:val="0"/>
      <w:marTop w:val="0"/>
      <w:marBottom w:val="0"/>
      <w:divBdr>
        <w:top w:val="none" w:sz="0" w:space="0" w:color="auto"/>
        <w:left w:val="none" w:sz="0" w:space="0" w:color="auto"/>
        <w:bottom w:val="none" w:sz="0" w:space="0" w:color="auto"/>
        <w:right w:val="none" w:sz="0" w:space="0" w:color="auto"/>
      </w:divBdr>
    </w:div>
    <w:div w:id="1059863737">
      <w:marLeft w:val="0"/>
      <w:marRight w:val="0"/>
      <w:marTop w:val="0"/>
      <w:marBottom w:val="0"/>
      <w:divBdr>
        <w:top w:val="none" w:sz="0" w:space="0" w:color="auto"/>
        <w:left w:val="none" w:sz="0" w:space="0" w:color="auto"/>
        <w:bottom w:val="none" w:sz="0" w:space="0" w:color="auto"/>
        <w:right w:val="none" w:sz="0" w:space="0" w:color="auto"/>
      </w:divBdr>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01292837">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9220">
      <w:bodyDiv w:val="1"/>
      <w:marLeft w:val="0"/>
      <w:marRight w:val="0"/>
      <w:marTop w:val="0"/>
      <w:marBottom w:val="0"/>
      <w:divBdr>
        <w:top w:val="none" w:sz="0" w:space="0" w:color="auto"/>
        <w:left w:val="none" w:sz="0" w:space="0" w:color="auto"/>
        <w:bottom w:val="none" w:sz="0" w:space="0" w:color="auto"/>
        <w:right w:val="none" w:sz="0" w:space="0" w:color="auto"/>
      </w:divBdr>
      <w:divsChild>
        <w:div w:id="1536649334">
          <w:marLeft w:val="0"/>
          <w:marRight w:val="0"/>
          <w:marTop w:val="0"/>
          <w:marBottom w:val="0"/>
          <w:divBdr>
            <w:top w:val="none" w:sz="0" w:space="0" w:color="auto"/>
            <w:left w:val="none" w:sz="0" w:space="0" w:color="auto"/>
            <w:bottom w:val="none" w:sz="0" w:space="0" w:color="auto"/>
            <w:right w:val="none" w:sz="0" w:space="0" w:color="auto"/>
          </w:divBdr>
        </w:div>
      </w:divsChild>
    </w:div>
    <w:div w:id="1210528313">
      <w:marLeft w:val="0"/>
      <w:marRight w:val="0"/>
      <w:marTop w:val="0"/>
      <w:marBottom w:val="0"/>
      <w:divBdr>
        <w:top w:val="none" w:sz="0" w:space="0" w:color="auto"/>
        <w:left w:val="none" w:sz="0" w:space="0" w:color="auto"/>
        <w:bottom w:val="none" w:sz="0" w:space="0" w:color="auto"/>
        <w:right w:val="none" w:sz="0" w:space="0" w:color="auto"/>
      </w:divBdr>
    </w:div>
    <w:div w:id="1212501496">
      <w:bodyDiv w:val="1"/>
      <w:marLeft w:val="0"/>
      <w:marRight w:val="0"/>
      <w:marTop w:val="0"/>
      <w:marBottom w:val="0"/>
      <w:divBdr>
        <w:top w:val="none" w:sz="0" w:space="0" w:color="auto"/>
        <w:left w:val="none" w:sz="0" w:space="0" w:color="auto"/>
        <w:bottom w:val="none" w:sz="0" w:space="0" w:color="auto"/>
        <w:right w:val="none" w:sz="0" w:space="0" w:color="auto"/>
      </w:divBdr>
    </w:div>
    <w:div w:id="1274442810">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335181379">
      <w:bodyDiv w:val="1"/>
      <w:marLeft w:val="0"/>
      <w:marRight w:val="0"/>
      <w:marTop w:val="0"/>
      <w:marBottom w:val="0"/>
      <w:divBdr>
        <w:top w:val="none" w:sz="0" w:space="0" w:color="auto"/>
        <w:left w:val="none" w:sz="0" w:space="0" w:color="auto"/>
        <w:bottom w:val="none" w:sz="0" w:space="0" w:color="auto"/>
        <w:right w:val="none" w:sz="0" w:space="0" w:color="auto"/>
      </w:divBdr>
    </w:div>
    <w:div w:id="1335568080">
      <w:bodyDiv w:val="1"/>
      <w:marLeft w:val="0"/>
      <w:marRight w:val="0"/>
      <w:marTop w:val="0"/>
      <w:marBottom w:val="0"/>
      <w:divBdr>
        <w:top w:val="none" w:sz="0" w:space="0" w:color="auto"/>
        <w:left w:val="none" w:sz="0" w:space="0" w:color="auto"/>
        <w:bottom w:val="none" w:sz="0" w:space="0" w:color="auto"/>
        <w:right w:val="none" w:sz="0" w:space="0" w:color="auto"/>
      </w:divBdr>
    </w:div>
    <w:div w:id="1351950359">
      <w:bodyDiv w:val="1"/>
      <w:marLeft w:val="0"/>
      <w:marRight w:val="0"/>
      <w:marTop w:val="0"/>
      <w:marBottom w:val="0"/>
      <w:divBdr>
        <w:top w:val="none" w:sz="0" w:space="0" w:color="auto"/>
        <w:left w:val="none" w:sz="0" w:space="0" w:color="auto"/>
        <w:bottom w:val="none" w:sz="0" w:space="0" w:color="auto"/>
        <w:right w:val="none" w:sz="0" w:space="0" w:color="auto"/>
      </w:divBdr>
    </w:div>
    <w:div w:id="1407845355">
      <w:bodyDiv w:val="1"/>
      <w:marLeft w:val="0"/>
      <w:marRight w:val="0"/>
      <w:marTop w:val="0"/>
      <w:marBottom w:val="0"/>
      <w:divBdr>
        <w:top w:val="none" w:sz="0" w:space="0" w:color="auto"/>
        <w:left w:val="none" w:sz="0" w:space="0" w:color="auto"/>
        <w:bottom w:val="none" w:sz="0" w:space="0" w:color="auto"/>
        <w:right w:val="none" w:sz="0" w:space="0" w:color="auto"/>
      </w:divBdr>
    </w:div>
    <w:div w:id="1470971882">
      <w:bodyDiv w:val="1"/>
      <w:marLeft w:val="0"/>
      <w:marRight w:val="0"/>
      <w:marTop w:val="0"/>
      <w:marBottom w:val="0"/>
      <w:divBdr>
        <w:top w:val="none" w:sz="0" w:space="0" w:color="auto"/>
        <w:left w:val="none" w:sz="0" w:space="0" w:color="auto"/>
        <w:bottom w:val="none" w:sz="0" w:space="0" w:color="auto"/>
        <w:right w:val="none" w:sz="0" w:space="0" w:color="auto"/>
      </w:divBdr>
    </w:div>
    <w:div w:id="1474180451">
      <w:bodyDiv w:val="1"/>
      <w:marLeft w:val="0"/>
      <w:marRight w:val="0"/>
      <w:marTop w:val="0"/>
      <w:marBottom w:val="0"/>
      <w:divBdr>
        <w:top w:val="none" w:sz="0" w:space="0" w:color="auto"/>
        <w:left w:val="none" w:sz="0" w:space="0" w:color="auto"/>
        <w:bottom w:val="none" w:sz="0" w:space="0" w:color="auto"/>
        <w:right w:val="none" w:sz="0" w:space="0" w:color="auto"/>
      </w:divBdr>
    </w:div>
    <w:div w:id="1478380790">
      <w:bodyDiv w:val="1"/>
      <w:marLeft w:val="0"/>
      <w:marRight w:val="0"/>
      <w:marTop w:val="0"/>
      <w:marBottom w:val="0"/>
      <w:divBdr>
        <w:top w:val="none" w:sz="0" w:space="0" w:color="auto"/>
        <w:left w:val="none" w:sz="0" w:space="0" w:color="auto"/>
        <w:bottom w:val="none" w:sz="0" w:space="0" w:color="auto"/>
        <w:right w:val="none" w:sz="0" w:space="0" w:color="auto"/>
      </w:divBdr>
    </w:div>
    <w:div w:id="1555891795">
      <w:bodyDiv w:val="1"/>
      <w:marLeft w:val="0"/>
      <w:marRight w:val="0"/>
      <w:marTop w:val="0"/>
      <w:marBottom w:val="0"/>
      <w:divBdr>
        <w:top w:val="none" w:sz="0" w:space="0" w:color="auto"/>
        <w:left w:val="none" w:sz="0" w:space="0" w:color="auto"/>
        <w:bottom w:val="none" w:sz="0" w:space="0" w:color="auto"/>
        <w:right w:val="none" w:sz="0" w:space="0" w:color="auto"/>
      </w:divBdr>
    </w:div>
    <w:div w:id="1560940285">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42685423">
      <w:marLeft w:val="0"/>
      <w:marRight w:val="0"/>
      <w:marTop w:val="0"/>
      <w:marBottom w:val="0"/>
      <w:divBdr>
        <w:top w:val="none" w:sz="0" w:space="0" w:color="auto"/>
        <w:left w:val="none" w:sz="0" w:space="0" w:color="auto"/>
        <w:bottom w:val="none" w:sz="0" w:space="0" w:color="auto"/>
        <w:right w:val="none" w:sz="0" w:space="0" w:color="auto"/>
      </w:divBdr>
    </w:div>
    <w:div w:id="1654215963">
      <w:marLeft w:val="0"/>
      <w:marRight w:val="0"/>
      <w:marTop w:val="0"/>
      <w:marBottom w:val="0"/>
      <w:divBdr>
        <w:top w:val="none" w:sz="0" w:space="0" w:color="auto"/>
        <w:left w:val="none" w:sz="0" w:space="0" w:color="auto"/>
        <w:bottom w:val="none" w:sz="0" w:space="0" w:color="auto"/>
        <w:right w:val="none" w:sz="0" w:space="0" w:color="auto"/>
      </w:divBdr>
    </w:div>
    <w:div w:id="1681155233">
      <w:marLeft w:val="0"/>
      <w:marRight w:val="0"/>
      <w:marTop w:val="0"/>
      <w:marBottom w:val="0"/>
      <w:divBdr>
        <w:top w:val="none" w:sz="0" w:space="0" w:color="auto"/>
        <w:left w:val="none" w:sz="0" w:space="0" w:color="auto"/>
        <w:bottom w:val="none" w:sz="0" w:space="0" w:color="auto"/>
        <w:right w:val="none" w:sz="0" w:space="0" w:color="auto"/>
      </w:divBdr>
    </w:div>
    <w:div w:id="1684628587">
      <w:bodyDiv w:val="1"/>
      <w:marLeft w:val="0"/>
      <w:marRight w:val="0"/>
      <w:marTop w:val="0"/>
      <w:marBottom w:val="0"/>
      <w:divBdr>
        <w:top w:val="none" w:sz="0" w:space="0" w:color="auto"/>
        <w:left w:val="none" w:sz="0" w:space="0" w:color="auto"/>
        <w:bottom w:val="none" w:sz="0" w:space="0" w:color="auto"/>
        <w:right w:val="none" w:sz="0" w:space="0" w:color="auto"/>
      </w:divBdr>
    </w:div>
    <w:div w:id="1762988447">
      <w:bodyDiv w:val="1"/>
      <w:marLeft w:val="0"/>
      <w:marRight w:val="0"/>
      <w:marTop w:val="0"/>
      <w:marBottom w:val="0"/>
      <w:divBdr>
        <w:top w:val="none" w:sz="0" w:space="0" w:color="auto"/>
        <w:left w:val="none" w:sz="0" w:space="0" w:color="auto"/>
        <w:bottom w:val="none" w:sz="0" w:space="0" w:color="auto"/>
        <w:right w:val="none" w:sz="0" w:space="0" w:color="auto"/>
      </w:divBdr>
    </w:div>
    <w:div w:id="1766530535">
      <w:bodyDiv w:val="1"/>
      <w:marLeft w:val="0"/>
      <w:marRight w:val="0"/>
      <w:marTop w:val="0"/>
      <w:marBottom w:val="0"/>
      <w:divBdr>
        <w:top w:val="none" w:sz="0" w:space="0" w:color="auto"/>
        <w:left w:val="none" w:sz="0" w:space="0" w:color="auto"/>
        <w:bottom w:val="none" w:sz="0" w:space="0" w:color="auto"/>
        <w:right w:val="none" w:sz="0" w:space="0" w:color="auto"/>
      </w:divBdr>
      <w:divsChild>
        <w:div w:id="855120397">
          <w:marLeft w:val="0"/>
          <w:marRight w:val="0"/>
          <w:marTop w:val="0"/>
          <w:marBottom w:val="0"/>
          <w:divBdr>
            <w:top w:val="none" w:sz="0" w:space="0" w:color="auto"/>
            <w:left w:val="none" w:sz="0" w:space="0" w:color="auto"/>
            <w:bottom w:val="none" w:sz="0" w:space="0" w:color="auto"/>
            <w:right w:val="none" w:sz="0" w:space="0" w:color="auto"/>
          </w:divBdr>
        </w:div>
        <w:div w:id="1641492940">
          <w:marLeft w:val="0"/>
          <w:marRight w:val="0"/>
          <w:marTop w:val="0"/>
          <w:marBottom w:val="0"/>
          <w:divBdr>
            <w:top w:val="none" w:sz="0" w:space="0" w:color="auto"/>
            <w:left w:val="none" w:sz="0" w:space="0" w:color="auto"/>
            <w:bottom w:val="none" w:sz="0" w:space="0" w:color="auto"/>
            <w:right w:val="none" w:sz="0" w:space="0" w:color="auto"/>
          </w:divBdr>
        </w:div>
        <w:div w:id="79915274">
          <w:marLeft w:val="0"/>
          <w:marRight w:val="0"/>
          <w:marTop w:val="0"/>
          <w:marBottom w:val="0"/>
          <w:divBdr>
            <w:top w:val="none" w:sz="0" w:space="0" w:color="auto"/>
            <w:left w:val="none" w:sz="0" w:space="0" w:color="auto"/>
            <w:bottom w:val="none" w:sz="0" w:space="0" w:color="auto"/>
            <w:right w:val="none" w:sz="0" w:space="0" w:color="auto"/>
          </w:divBdr>
        </w:div>
        <w:div w:id="1322732312">
          <w:marLeft w:val="0"/>
          <w:marRight w:val="0"/>
          <w:marTop w:val="0"/>
          <w:marBottom w:val="0"/>
          <w:divBdr>
            <w:top w:val="none" w:sz="0" w:space="0" w:color="auto"/>
            <w:left w:val="none" w:sz="0" w:space="0" w:color="auto"/>
            <w:bottom w:val="none" w:sz="0" w:space="0" w:color="auto"/>
            <w:right w:val="none" w:sz="0" w:space="0" w:color="auto"/>
          </w:divBdr>
        </w:div>
        <w:div w:id="1667514995">
          <w:marLeft w:val="0"/>
          <w:marRight w:val="0"/>
          <w:marTop w:val="0"/>
          <w:marBottom w:val="0"/>
          <w:divBdr>
            <w:top w:val="none" w:sz="0" w:space="0" w:color="auto"/>
            <w:left w:val="none" w:sz="0" w:space="0" w:color="auto"/>
            <w:bottom w:val="none" w:sz="0" w:space="0" w:color="auto"/>
            <w:right w:val="none" w:sz="0" w:space="0" w:color="auto"/>
          </w:divBdr>
        </w:div>
        <w:div w:id="1123574862">
          <w:marLeft w:val="0"/>
          <w:marRight w:val="0"/>
          <w:marTop w:val="0"/>
          <w:marBottom w:val="0"/>
          <w:divBdr>
            <w:top w:val="none" w:sz="0" w:space="0" w:color="auto"/>
            <w:left w:val="none" w:sz="0" w:space="0" w:color="auto"/>
            <w:bottom w:val="none" w:sz="0" w:space="0" w:color="auto"/>
            <w:right w:val="none" w:sz="0" w:space="0" w:color="auto"/>
          </w:divBdr>
        </w:div>
        <w:div w:id="94315195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31509600">
          <w:marLeft w:val="0"/>
          <w:marRight w:val="0"/>
          <w:marTop w:val="0"/>
          <w:marBottom w:val="0"/>
          <w:divBdr>
            <w:top w:val="none" w:sz="0" w:space="0" w:color="auto"/>
            <w:left w:val="none" w:sz="0" w:space="0" w:color="auto"/>
            <w:bottom w:val="none" w:sz="0" w:space="0" w:color="auto"/>
            <w:right w:val="none" w:sz="0" w:space="0" w:color="auto"/>
          </w:divBdr>
        </w:div>
        <w:div w:id="1700006862">
          <w:marLeft w:val="0"/>
          <w:marRight w:val="0"/>
          <w:marTop w:val="0"/>
          <w:marBottom w:val="0"/>
          <w:divBdr>
            <w:top w:val="none" w:sz="0" w:space="0" w:color="auto"/>
            <w:left w:val="none" w:sz="0" w:space="0" w:color="auto"/>
            <w:bottom w:val="none" w:sz="0" w:space="0" w:color="auto"/>
            <w:right w:val="none" w:sz="0" w:space="0" w:color="auto"/>
          </w:divBdr>
        </w:div>
        <w:div w:id="1550460275">
          <w:marLeft w:val="0"/>
          <w:marRight w:val="0"/>
          <w:marTop w:val="0"/>
          <w:marBottom w:val="0"/>
          <w:divBdr>
            <w:top w:val="none" w:sz="0" w:space="0" w:color="auto"/>
            <w:left w:val="none" w:sz="0" w:space="0" w:color="auto"/>
            <w:bottom w:val="none" w:sz="0" w:space="0" w:color="auto"/>
            <w:right w:val="none" w:sz="0" w:space="0" w:color="auto"/>
          </w:divBdr>
        </w:div>
        <w:div w:id="769543831">
          <w:marLeft w:val="0"/>
          <w:marRight w:val="0"/>
          <w:marTop w:val="0"/>
          <w:marBottom w:val="0"/>
          <w:divBdr>
            <w:top w:val="none" w:sz="0" w:space="0" w:color="auto"/>
            <w:left w:val="none" w:sz="0" w:space="0" w:color="auto"/>
            <w:bottom w:val="none" w:sz="0" w:space="0" w:color="auto"/>
            <w:right w:val="none" w:sz="0" w:space="0" w:color="auto"/>
          </w:divBdr>
        </w:div>
        <w:div w:id="279727111">
          <w:marLeft w:val="0"/>
          <w:marRight w:val="0"/>
          <w:marTop w:val="0"/>
          <w:marBottom w:val="0"/>
          <w:divBdr>
            <w:top w:val="none" w:sz="0" w:space="0" w:color="auto"/>
            <w:left w:val="none" w:sz="0" w:space="0" w:color="auto"/>
            <w:bottom w:val="none" w:sz="0" w:space="0" w:color="auto"/>
            <w:right w:val="none" w:sz="0" w:space="0" w:color="auto"/>
          </w:divBdr>
        </w:div>
        <w:div w:id="1108548908">
          <w:marLeft w:val="0"/>
          <w:marRight w:val="0"/>
          <w:marTop w:val="0"/>
          <w:marBottom w:val="0"/>
          <w:divBdr>
            <w:top w:val="none" w:sz="0" w:space="0" w:color="auto"/>
            <w:left w:val="none" w:sz="0" w:space="0" w:color="auto"/>
            <w:bottom w:val="none" w:sz="0" w:space="0" w:color="auto"/>
            <w:right w:val="none" w:sz="0" w:space="0" w:color="auto"/>
          </w:divBdr>
        </w:div>
        <w:div w:id="862790780">
          <w:marLeft w:val="0"/>
          <w:marRight w:val="0"/>
          <w:marTop w:val="0"/>
          <w:marBottom w:val="0"/>
          <w:divBdr>
            <w:top w:val="none" w:sz="0" w:space="0" w:color="auto"/>
            <w:left w:val="none" w:sz="0" w:space="0" w:color="auto"/>
            <w:bottom w:val="none" w:sz="0" w:space="0" w:color="auto"/>
            <w:right w:val="none" w:sz="0" w:space="0" w:color="auto"/>
          </w:divBdr>
        </w:div>
        <w:div w:id="701245465">
          <w:marLeft w:val="0"/>
          <w:marRight w:val="0"/>
          <w:marTop w:val="0"/>
          <w:marBottom w:val="0"/>
          <w:divBdr>
            <w:top w:val="none" w:sz="0" w:space="0" w:color="auto"/>
            <w:left w:val="none" w:sz="0" w:space="0" w:color="auto"/>
            <w:bottom w:val="none" w:sz="0" w:space="0" w:color="auto"/>
            <w:right w:val="none" w:sz="0" w:space="0" w:color="auto"/>
          </w:divBdr>
        </w:div>
        <w:div w:id="1728264829">
          <w:marLeft w:val="0"/>
          <w:marRight w:val="0"/>
          <w:marTop w:val="0"/>
          <w:marBottom w:val="0"/>
          <w:divBdr>
            <w:top w:val="none" w:sz="0" w:space="0" w:color="auto"/>
            <w:left w:val="none" w:sz="0" w:space="0" w:color="auto"/>
            <w:bottom w:val="none" w:sz="0" w:space="0" w:color="auto"/>
            <w:right w:val="none" w:sz="0" w:space="0" w:color="auto"/>
          </w:divBdr>
        </w:div>
        <w:div w:id="1771587080">
          <w:marLeft w:val="0"/>
          <w:marRight w:val="0"/>
          <w:marTop w:val="0"/>
          <w:marBottom w:val="0"/>
          <w:divBdr>
            <w:top w:val="none" w:sz="0" w:space="0" w:color="auto"/>
            <w:left w:val="none" w:sz="0" w:space="0" w:color="auto"/>
            <w:bottom w:val="none" w:sz="0" w:space="0" w:color="auto"/>
            <w:right w:val="none" w:sz="0" w:space="0" w:color="auto"/>
          </w:divBdr>
        </w:div>
        <w:div w:id="1086652529">
          <w:marLeft w:val="0"/>
          <w:marRight w:val="0"/>
          <w:marTop w:val="0"/>
          <w:marBottom w:val="0"/>
          <w:divBdr>
            <w:top w:val="none" w:sz="0" w:space="0" w:color="auto"/>
            <w:left w:val="none" w:sz="0" w:space="0" w:color="auto"/>
            <w:bottom w:val="none" w:sz="0" w:space="0" w:color="auto"/>
            <w:right w:val="none" w:sz="0" w:space="0" w:color="auto"/>
          </w:divBdr>
        </w:div>
        <w:div w:id="1917787867">
          <w:marLeft w:val="0"/>
          <w:marRight w:val="0"/>
          <w:marTop w:val="0"/>
          <w:marBottom w:val="0"/>
          <w:divBdr>
            <w:top w:val="none" w:sz="0" w:space="0" w:color="auto"/>
            <w:left w:val="none" w:sz="0" w:space="0" w:color="auto"/>
            <w:bottom w:val="none" w:sz="0" w:space="0" w:color="auto"/>
            <w:right w:val="none" w:sz="0" w:space="0" w:color="auto"/>
          </w:divBdr>
        </w:div>
        <w:div w:id="1389917284">
          <w:marLeft w:val="0"/>
          <w:marRight w:val="0"/>
          <w:marTop w:val="0"/>
          <w:marBottom w:val="0"/>
          <w:divBdr>
            <w:top w:val="none" w:sz="0" w:space="0" w:color="auto"/>
            <w:left w:val="none" w:sz="0" w:space="0" w:color="auto"/>
            <w:bottom w:val="none" w:sz="0" w:space="0" w:color="auto"/>
            <w:right w:val="none" w:sz="0" w:space="0" w:color="auto"/>
          </w:divBdr>
        </w:div>
        <w:div w:id="1385134600">
          <w:marLeft w:val="0"/>
          <w:marRight w:val="0"/>
          <w:marTop w:val="0"/>
          <w:marBottom w:val="0"/>
          <w:divBdr>
            <w:top w:val="none" w:sz="0" w:space="0" w:color="auto"/>
            <w:left w:val="none" w:sz="0" w:space="0" w:color="auto"/>
            <w:bottom w:val="none" w:sz="0" w:space="0" w:color="auto"/>
            <w:right w:val="none" w:sz="0" w:space="0" w:color="auto"/>
          </w:divBdr>
        </w:div>
        <w:div w:id="729769618">
          <w:marLeft w:val="0"/>
          <w:marRight w:val="0"/>
          <w:marTop w:val="0"/>
          <w:marBottom w:val="0"/>
          <w:divBdr>
            <w:top w:val="none" w:sz="0" w:space="0" w:color="auto"/>
            <w:left w:val="none" w:sz="0" w:space="0" w:color="auto"/>
            <w:bottom w:val="none" w:sz="0" w:space="0" w:color="auto"/>
            <w:right w:val="none" w:sz="0" w:space="0" w:color="auto"/>
          </w:divBdr>
        </w:div>
      </w:divsChild>
    </w:div>
    <w:div w:id="1774206562">
      <w:bodyDiv w:val="1"/>
      <w:marLeft w:val="0"/>
      <w:marRight w:val="0"/>
      <w:marTop w:val="0"/>
      <w:marBottom w:val="0"/>
      <w:divBdr>
        <w:top w:val="none" w:sz="0" w:space="0" w:color="auto"/>
        <w:left w:val="none" w:sz="0" w:space="0" w:color="auto"/>
        <w:bottom w:val="none" w:sz="0" w:space="0" w:color="auto"/>
        <w:right w:val="none" w:sz="0" w:space="0" w:color="auto"/>
      </w:divBdr>
    </w:div>
    <w:div w:id="1776441999">
      <w:marLeft w:val="0"/>
      <w:marRight w:val="0"/>
      <w:marTop w:val="0"/>
      <w:marBottom w:val="0"/>
      <w:divBdr>
        <w:top w:val="none" w:sz="0" w:space="0" w:color="auto"/>
        <w:left w:val="none" w:sz="0" w:space="0" w:color="auto"/>
        <w:bottom w:val="none" w:sz="0" w:space="0" w:color="auto"/>
        <w:right w:val="none" w:sz="0" w:space="0" w:color="auto"/>
      </w:divBdr>
    </w:div>
    <w:div w:id="1816988671">
      <w:bodyDiv w:val="1"/>
      <w:marLeft w:val="0"/>
      <w:marRight w:val="0"/>
      <w:marTop w:val="0"/>
      <w:marBottom w:val="0"/>
      <w:divBdr>
        <w:top w:val="none" w:sz="0" w:space="0" w:color="auto"/>
        <w:left w:val="none" w:sz="0" w:space="0" w:color="auto"/>
        <w:bottom w:val="none" w:sz="0" w:space="0" w:color="auto"/>
        <w:right w:val="none" w:sz="0" w:space="0" w:color="auto"/>
      </w:divBdr>
    </w:div>
    <w:div w:id="1833258292">
      <w:marLeft w:val="0"/>
      <w:marRight w:val="0"/>
      <w:marTop w:val="0"/>
      <w:marBottom w:val="0"/>
      <w:divBdr>
        <w:top w:val="none" w:sz="0" w:space="0" w:color="auto"/>
        <w:left w:val="none" w:sz="0" w:space="0" w:color="auto"/>
        <w:bottom w:val="none" w:sz="0" w:space="0" w:color="auto"/>
        <w:right w:val="none" w:sz="0" w:space="0" w:color="auto"/>
      </w:divBdr>
    </w:div>
    <w:div w:id="1856922748">
      <w:bodyDiv w:val="1"/>
      <w:marLeft w:val="0"/>
      <w:marRight w:val="0"/>
      <w:marTop w:val="0"/>
      <w:marBottom w:val="0"/>
      <w:divBdr>
        <w:top w:val="none" w:sz="0" w:space="0" w:color="auto"/>
        <w:left w:val="none" w:sz="0" w:space="0" w:color="auto"/>
        <w:bottom w:val="none" w:sz="0" w:space="0" w:color="auto"/>
        <w:right w:val="none" w:sz="0" w:space="0" w:color="auto"/>
      </w:divBdr>
      <w:divsChild>
        <w:div w:id="1137527679">
          <w:marLeft w:val="0"/>
          <w:marRight w:val="0"/>
          <w:marTop w:val="100"/>
          <w:marBottom w:val="0"/>
          <w:divBdr>
            <w:top w:val="none" w:sz="0" w:space="0" w:color="auto"/>
            <w:left w:val="none" w:sz="0" w:space="0" w:color="auto"/>
            <w:bottom w:val="none" w:sz="0" w:space="0" w:color="auto"/>
            <w:right w:val="none" w:sz="0" w:space="0" w:color="auto"/>
          </w:divBdr>
          <w:divsChild>
            <w:div w:id="1682733466">
              <w:marLeft w:val="0"/>
              <w:marRight w:val="0"/>
              <w:marTop w:val="45"/>
              <w:marBottom w:val="0"/>
              <w:divBdr>
                <w:top w:val="none" w:sz="0" w:space="0" w:color="auto"/>
                <w:left w:val="none" w:sz="0" w:space="0" w:color="auto"/>
                <w:bottom w:val="none" w:sz="0" w:space="0" w:color="auto"/>
                <w:right w:val="none" w:sz="0" w:space="0" w:color="auto"/>
              </w:divBdr>
              <w:divsChild>
                <w:div w:id="1838300380">
                  <w:marLeft w:val="0"/>
                  <w:marRight w:val="0"/>
                  <w:marTop w:val="0"/>
                  <w:marBottom w:val="0"/>
                  <w:divBdr>
                    <w:top w:val="none" w:sz="0" w:space="0" w:color="auto"/>
                    <w:left w:val="none" w:sz="0" w:space="0" w:color="auto"/>
                    <w:bottom w:val="none" w:sz="0" w:space="0" w:color="auto"/>
                    <w:right w:val="none" w:sz="0" w:space="0" w:color="auto"/>
                  </w:divBdr>
                  <w:divsChild>
                    <w:div w:id="84881050">
                      <w:marLeft w:val="0"/>
                      <w:marRight w:val="0"/>
                      <w:marTop w:val="0"/>
                      <w:marBottom w:val="0"/>
                      <w:divBdr>
                        <w:top w:val="none" w:sz="0" w:space="0" w:color="auto"/>
                        <w:left w:val="none" w:sz="0" w:space="0" w:color="auto"/>
                        <w:bottom w:val="none" w:sz="0" w:space="0" w:color="auto"/>
                        <w:right w:val="none" w:sz="0" w:space="0" w:color="auto"/>
                      </w:divBdr>
                      <w:divsChild>
                        <w:div w:id="1272542787">
                          <w:marLeft w:val="0"/>
                          <w:marRight w:val="0"/>
                          <w:marTop w:val="0"/>
                          <w:marBottom w:val="0"/>
                          <w:divBdr>
                            <w:top w:val="none" w:sz="0" w:space="0" w:color="auto"/>
                            <w:left w:val="none" w:sz="0" w:space="0" w:color="auto"/>
                            <w:bottom w:val="none" w:sz="0" w:space="0" w:color="auto"/>
                            <w:right w:val="none" w:sz="0" w:space="0" w:color="auto"/>
                          </w:divBdr>
                          <w:divsChild>
                            <w:div w:id="2021735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9943">
      <w:marLeft w:val="0"/>
      <w:marRight w:val="0"/>
      <w:marTop w:val="0"/>
      <w:marBottom w:val="0"/>
      <w:divBdr>
        <w:top w:val="none" w:sz="0" w:space="0" w:color="auto"/>
        <w:left w:val="none" w:sz="0" w:space="0" w:color="auto"/>
        <w:bottom w:val="none" w:sz="0" w:space="0" w:color="auto"/>
        <w:right w:val="none" w:sz="0" w:space="0" w:color="auto"/>
      </w:divBdr>
    </w:div>
    <w:div w:id="1880581998">
      <w:marLeft w:val="0"/>
      <w:marRight w:val="0"/>
      <w:marTop w:val="0"/>
      <w:marBottom w:val="0"/>
      <w:divBdr>
        <w:top w:val="none" w:sz="0" w:space="0" w:color="auto"/>
        <w:left w:val="none" w:sz="0" w:space="0" w:color="auto"/>
        <w:bottom w:val="none" w:sz="0" w:space="0" w:color="auto"/>
        <w:right w:val="none" w:sz="0" w:space="0" w:color="auto"/>
      </w:divBdr>
    </w:div>
    <w:div w:id="1915581804">
      <w:bodyDiv w:val="1"/>
      <w:marLeft w:val="0"/>
      <w:marRight w:val="0"/>
      <w:marTop w:val="0"/>
      <w:marBottom w:val="0"/>
      <w:divBdr>
        <w:top w:val="none" w:sz="0" w:space="0" w:color="auto"/>
        <w:left w:val="none" w:sz="0" w:space="0" w:color="auto"/>
        <w:bottom w:val="none" w:sz="0" w:space="0" w:color="auto"/>
        <w:right w:val="none" w:sz="0" w:space="0" w:color="auto"/>
      </w:divBdr>
    </w:div>
    <w:div w:id="1967471177">
      <w:bodyDiv w:val="1"/>
      <w:marLeft w:val="0"/>
      <w:marRight w:val="0"/>
      <w:marTop w:val="0"/>
      <w:marBottom w:val="0"/>
      <w:divBdr>
        <w:top w:val="none" w:sz="0" w:space="0" w:color="auto"/>
        <w:left w:val="none" w:sz="0" w:space="0" w:color="auto"/>
        <w:bottom w:val="none" w:sz="0" w:space="0" w:color="auto"/>
        <w:right w:val="none" w:sz="0" w:space="0" w:color="auto"/>
      </w:divBdr>
      <w:divsChild>
        <w:div w:id="1745762504">
          <w:marLeft w:val="0"/>
          <w:marRight w:val="0"/>
          <w:marTop w:val="100"/>
          <w:marBottom w:val="0"/>
          <w:divBdr>
            <w:top w:val="none" w:sz="0" w:space="0" w:color="auto"/>
            <w:left w:val="none" w:sz="0" w:space="0" w:color="auto"/>
            <w:bottom w:val="none" w:sz="0" w:space="0" w:color="auto"/>
            <w:right w:val="none" w:sz="0" w:space="0" w:color="auto"/>
          </w:divBdr>
          <w:divsChild>
            <w:div w:id="1333608959">
              <w:marLeft w:val="0"/>
              <w:marRight w:val="0"/>
              <w:marTop w:val="45"/>
              <w:marBottom w:val="0"/>
              <w:divBdr>
                <w:top w:val="none" w:sz="0" w:space="0" w:color="auto"/>
                <w:left w:val="none" w:sz="0" w:space="0" w:color="auto"/>
                <w:bottom w:val="none" w:sz="0" w:space="0" w:color="auto"/>
                <w:right w:val="none" w:sz="0" w:space="0" w:color="auto"/>
              </w:divBdr>
              <w:divsChild>
                <w:div w:id="110132825">
                  <w:marLeft w:val="0"/>
                  <w:marRight w:val="0"/>
                  <w:marTop w:val="0"/>
                  <w:marBottom w:val="0"/>
                  <w:divBdr>
                    <w:top w:val="none" w:sz="0" w:space="0" w:color="auto"/>
                    <w:left w:val="none" w:sz="0" w:space="0" w:color="auto"/>
                    <w:bottom w:val="none" w:sz="0" w:space="0" w:color="auto"/>
                    <w:right w:val="none" w:sz="0" w:space="0" w:color="auto"/>
                  </w:divBdr>
                  <w:divsChild>
                    <w:div w:id="1391611156">
                      <w:marLeft w:val="0"/>
                      <w:marRight w:val="0"/>
                      <w:marTop w:val="0"/>
                      <w:marBottom w:val="0"/>
                      <w:divBdr>
                        <w:top w:val="none" w:sz="0" w:space="0" w:color="auto"/>
                        <w:left w:val="none" w:sz="0" w:space="0" w:color="auto"/>
                        <w:bottom w:val="none" w:sz="0" w:space="0" w:color="auto"/>
                        <w:right w:val="none" w:sz="0" w:space="0" w:color="auto"/>
                      </w:divBdr>
                      <w:divsChild>
                        <w:div w:id="1553350963">
                          <w:marLeft w:val="0"/>
                          <w:marRight w:val="0"/>
                          <w:marTop w:val="0"/>
                          <w:marBottom w:val="0"/>
                          <w:divBdr>
                            <w:top w:val="none" w:sz="0" w:space="0" w:color="auto"/>
                            <w:left w:val="none" w:sz="0" w:space="0" w:color="auto"/>
                            <w:bottom w:val="none" w:sz="0" w:space="0" w:color="auto"/>
                            <w:right w:val="none" w:sz="0" w:space="0" w:color="auto"/>
                          </w:divBdr>
                          <w:divsChild>
                            <w:div w:id="2129855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566">
      <w:bodyDiv w:val="1"/>
      <w:marLeft w:val="0"/>
      <w:marRight w:val="0"/>
      <w:marTop w:val="0"/>
      <w:marBottom w:val="0"/>
      <w:divBdr>
        <w:top w:val="none" w:sz="0" w:space="0" w:color="auto"/>
        <w:left w:val="none" w:sz="0" w:space="0" w:color="auto"/>
        <w:bottom w:val="none" w:sz="0" w:space="0" w:color="auto"/>
        <w:right w:val="none" w:sz="0" w:space="0" w:color="auto"/>
      </w:divBdr>
    </w:div>
    <w:div w:id="2088526400">
      <w:bodyDiv w:val="1"/>
      <w:marLeft w:val="0"/>
      <w:marRight w:val="0"/>
      <w:marTop w:val="0"/>
      <w:marBottom w:val="0"/>
      <w:divBdr>
        <w:top w:val="none" w:sz="0" w:space="0" w:color="auto"/>
        <w:left w:val="none" w:sz="0" w:space="0" w:color="auto"/>
        <w:bottom w:val="none" w:sz="0" w:space="0" w:color="auto"/>
        <w:right w:val="none" w:sz="0" w:space="0" w:color="auto"/>
      </w:divBdr>
    </w:div>
    <w:div w:id="2094547442">
      <w:marLeft w:val="0"/>
      <w:marRight w:val="0"/>
      <w:marTop w:val="0"/>
      <w:marBottom w:val="0"/>
      <w:divBdr>
        <w:top w:val="none" w:sz="0" w:space="0" w:color="auto"/>
        <w:left w:val="none" w:sz="0" w:space="0" w:color="auto"/>
        <w:bottom w:val="none" w:sz="0" w:space="0" w:color="auto"/>
        <w:right w:val="none" w:sz="0" w:space="0" w:color="auto"/>
      </w:divBdr>
    </w:div>
    <w:div w:id="2102136273">
      <w:bodyDiv w:val="1"/>
      <w:marLeft w:val="0"/>
      <w:marRight w:val="0"/>
      <w:marTop w:val="0"/>
      <w:marBottom w:val="0"/>
      <w:divBdr>
        <w:top w:val="none" w:sz="0" w:space="0" w:color="auto"/>
        <w:left w:val="none" w:sz="0" w:space="0" w:color="auto"/>
        <w:bottom w:val="none" w:sz="0" w:space="0" w:color="auto"/>
        <w:right w:val="none" w:sz="0" w:space="0" w:color="auto"/>
      </w:divBdr>
    </w:div>
    <w:div w:id="2115443721">
      <w:marLeft w:val="0"/>
      <w:marRight w:val="0"/>
      <w:marTop w:val="0"/>
      <w:marBottom w:val="0"/>
      <w:divBdr>
        <w:top w:val="none" w:sz="0" w:space="0" w:color="auto"/>
        <w:left w:val="none" w:sz="0" w:space="0" w:color="auto"/>
        <w:bottom w:val="none" w:sz="0" w:space="0" w:color="auto"/>
        <w:right w:val="none" w:sz="0" w:space="0" w:color="auto"/>
      </w:divBdr>
    </w:div>
    <w:div w:id="21211483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800">
          <w:marLeft w:val="0"/>
          <w:marRight w:val="0"/>
          <w:marTop w:val="100"/>
          <w:marBottom w:val="0"/>
          <w:divBdr>
            <w:top w:val="none" w:sz="0" w:space="0" w:color="auto"/>
            <w:left w:val="none" w:sz="0" w:space="0" w:color="auto"/>
            <w:bottom w:val="none" w:sz="0" w:space="0" w:color="auto"/>
            <w:right w:val="none" w:sz="0" w:space="0" w:color="auto"/>
          </w:divBdr>
          <w:divsChild>
            <w:div w:id="1925339859">
              <w:marLeft w:val="0"/>
              <w:marRight w:val="0"/>
              <w:marTop w:val="45"/>
              <w:marBottom w:val="0"/>
              <w:divBdr>
                <w:top w:val="none" w:sz="0" w:space="0" w:color="auto"/>
                <w:left w:val="none" w:sz="0" w:space="0" w:color="auto"/>
                <w:bottom w:val="none" w:sz="0" w:space="0" w:color="auto"/>
                <w:right w:val="none" w:sz="0" w:space="0" w:color="auto"/>
              </w:divBdr>
              <w:divsChild>
                <w:div w:id="1076707993">
                  <w:marLeft w:val="0"/>
                  <w:marRight w:val="0"/>
                  <w:marTop w:val="0"/>
                  <w:marBottom w:val="0"/>
                  <w:divBdr>
                    <w:top w:val="none" w:sz="0" w:space="0" w:color="auto"/>
                    <w:left w:val="none" w:sz="0" w:space="0" w:color="auto"/>
                    <w:bottom w:val="none" w:sz="0" w:space="0" w:color="auto"/>
                    <w:right w:val="none" w:sz="0" w:space="0" w:color="auto"/>
                  </w:divBdr>
                  <w:divsChild>
                    <w:div w:id="1070956381">
                      <w:marLeft w:val="0"/>
                      <w:marRight w:val="0"/>
                      <w:marTop w:val="0"/>
                      <w:marBottom w:val="0"/>
                      <w:divBdr>
                        <w:top w:val="none" w:sz="0" w:space="0" w:color="auto"/>
                        <w:left w:val="none" w:sz="0" w:space="0" w:color="auto"/>
                        <w:bottom w:val="none" w:sz="0" w:space="0" w:color="auto"/>
                        <w:right w:val="none" w:sz="0" w:space="0" w:color="auto"/>
                      </w:divBdr>
                      <w:divsChild>
                        <w:div w:id="455562935">
                          <w:marLeft w:val="0"/>
                          <w:marRight w:val="0"/>
                          <w:marTop w:val="0"/>
                          <w:marBottom w:val="0"/>
                          <w:divBdr>
                            <w:top w:val="none" w:sz="0" w:space="0" w:color="auto"/>
                            <w:left w:val="none" w:sz="0" w:space="0" w:color="auto"/>
                            <w:bottom w:val="none" w:sz="0" w:space="0" w:color="auto"/>
                            <w:right w:val="none" w:sz="0" w:space="0" w:color="auto"/>
                          </w:divBdr>
                          <w:divsChild>
                            <w:div w:id="13923832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4633">
      <w:bodyDiv w:val="1"/>
      <w:marLeft w:val="0"/>
      <w:marRight w:val="0"/>
      <w:marTop w:val="0"/>
      <w:marBottom w:val="0"/>
      <w:divBdr>
        <w:top w:val="none" w:sz="0" w:space="0" w:color="auto"/>
        <w:left w:val="none" w:sz="0" w:space="0" w:color="auto"/>
        <w:bottom w:val="none" w:sz="0" w:space="0" w:color="auto"/>
        <w:right w:val="none" w:sz="0" w:space="0" w:color="auto"/>
      </w:divBdr>
    </w:div>
    <w:div w:id="2130931714">
      <w:bodyDiv w:val="1"/>
      <w:marLeft w:val="0"/>
      <w:marRight w:val="0"/>
      <w:marTop w:val="0"/>
      <w:marBottom w:val="0"/>
      <w:divBdr>
        <w:top w:val="none" w:sz="0" w:space="0" w:color="auto"/>
        <w:left w:val="none" w:sz="0" w:space="0" w:color="auto"/>
        <w:bottom w:val="none" w:sz="0" w:space="0" w:color="auto"/>
        <w:right w:val="none" w:sz="0" w:space="0" w:color="auto"/>
      </w:divBdr>
    </w:div>
    <w:div w:id="21458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hronic_kidney_disease"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en.wikipedia.org/wiki/Medicare_(United_States)"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Chronic_kidney_disease" TargetMode="External"/><Relationship Id="rId22" Type="http://schemas.openxmlformats.org/officeDocument/2006/relationships/header" Target="header1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FA1C-7B0A-4FCF-96D1-4A794A0D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5381</Words>
  <Characters>31093</Characters>
  <Application>Microsoft Office Word</Application>
  <DocSecurity>4</DocSecurity>
  <Lines>797</Lines>
  <Paragraphs>439</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36035</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cp:lastModifiedBy>michael.morin</cp:lastModifiedBy>
  <cp:revision>2</cp:revision>
  <cp:lastPrinted>2013-10-16T19:19:00Z</cp:lastPrinted>
  <dcterms:created xsi:type="dcterms:W3CDTF">2013-10-24T15:22:00Z</dcterms:created>
  <dcterms:modified xsi:type="dcterms:W3CDTF">2013-10-24T15:22:00Z</dcterms:modified>
</cp:coreProperties>
</file>