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B8" w:rsidRPr="00A0020B" w:rsidRDefault="00F46DB8" w:rsidP="00F46DB8">
      <w:pPr>
        <w:rPr>
          <w:szCs w:val="24"/>
        </w:rPr>
      </w:pPr>
      <w:bookmarkStart w:id="0" w:name="_GoBack"/>
      <w:bookmarkEnd w:id="0"/>
      <w:r w:rsidRPr="0096374E">
        <w:rPr>
          <w:b/>
          <w:szCs w:val="24"/>
        </w:rPr>
        <w:t>DATE:</w:t>
      </w:r>
      <w:r w:rsidRPr="0096374E">
        <w:rPr>
          <w:b/>
          <w:szCs w:val="24"/>
        </w:rPr>
        <w:tab/>
      </w:r>
      <w:r w:rsidR="00A0020B" w:rsidRPr="00A0020B">
        <w:rPr>
          <w:szCs w:val="24"/>
        </w:rPr>
        <w:t>August 1, 2014</w:t>
      </w:r>
    </w:p>
    <w:p w:rsidR="00F46DB8" w:rsidRPr="0096374E" w:rsidRDefault="00F46DB8" w:rsidP="00A0020B"/>
    <w:p w:rsidR="00F46DB8" w:rsidRPr="0096374E" w:rsidRDefault="00F46DB8" w:rsidP="00F46DB8">
      <w:pPr>
        <w:rPr>
          <w:szCs w:val="24"/>
        </w:rPr>
      </w:pPr>
      <w:r w:rsidRPr="0096374E">
        <w:rPr>
          <w:b/>
          <w:szCs w:val="24"/>
        </w:rPr>
        <w:t>TO:</w:t>
      </w:r>
      <w:r w:rsidRPr="0096374E">
        <w:rPr>
          <w:b/>
          <w:szCs w:val="24"/>
        </w:rPr>
        <w:tab/>
      </w:r>
      <w:r w:rsidRPr="0096374E">
        <w:rPr>
          <w:b/>
          <w:szCs w:val="24"/>
        </w:rPr>
        <w:tab/>
      </w:r>
      <w:r w:rsidRPr="0096374E">
        <w:rPr>
          <w:szCs w:val="24"/>
        </w:rPr>
        <w:t xml:space="preserve">Mary C. Mayhew, Commissioner, </w:t>
      </w:r>
      <w:proofErr w:type="gramStart"/>
      <w:r w:rsidRPr="0096374E">
        <w:rPr>
          <w:szCs w:val="24"/>
        </w:rPr>
        <w:t>DHHS</w:t>
      </w:r>
      <w:proofErr w:type="gramEnd"/>
    </w:p>
    <w:p w:rsidR="00F46DB8" w:rsidRPr="0096374E" w:rsidRDefault="00F46DB8" w:rsidP="00F46DB8">
      <w:pPr>
        <w:rPr>
          <w:szCs w:val="24"/>
        </w:rPr>
      </w:pPr>
    </w:p>
    <w:p w:rsidR="00F46DB8" w:rsidRPr="0096374E" w:rsidRDefault="00F46DB8" w:rsidP="00F46DB8">
      <w:pPr>
        <w:rPr>
          <w:szCs w:val="24"/>
        </w:rPr>
      </w:pPr>
      <w:r w:rsidRPr="0096374E">
        <w:rPr>
          <w:b/>
          <w:szCs w:val="24"/>
        </w:rPr>
        <w:t>THROUGH:</w:t>
      </w:r>
      <w:r w:rsidRPr="0096374E">
        <w:rPr>
          <w:b/>
          <w:szCs w:val="24"/>
        </w:rPr>
        <w:tab/>
      </w:r>
      <w:r w:rsidRPr="0096374E">
        <w:rPr>
          <w:szCs w:val="24"/>
        </w:rPr>
        <w:t>Kenneth Albert, R.N., Esq., Director, DLRS</w:t>
      </w:r>
    </w:p>
    <w:p w:rsidR="00F46DB8" w:rsidRPr="0096374E" w:rsidRDefault="00F46DB8" w:rsidP="00F46DB8">
      <w:pPr>
        <w:pStyle w:val="Cover"/>
        <w:tabs>
          <w:tab w:val="clear" w:pos="720"/>
          <w:tab w:val="clear" w:pos="1440"/>
          <w:tab w:val="clear" w:pos="2160"/>
          <w:tab w:val="clear" w:pos="4464"/>
          <w:tab w:val="clear" w:pos="8496"/>
        </w:tabs>
        <w:spacing w:line="240" w:lineRule="auto"/>
        <w:ind w:left="0" w:firstLine="0"/>
        <w:rPr>
          <w:szCs w:val="24"/>
        </w:rPr>
      </w:pPr>
    </w:p>
    <w:p w:rsidR="00F46DB8" w:rsidRPr="0096374E" w:rsidRDefault="00F46DB8" w:rsidP="00F46DB8">
      <w:pPr>
        <w:pStyle w:val="Cover"/>
        <w:tabs>
          <w:tab w:val="clear" w:pos="720"/>
          <w:tab w:val="clear" w:pos="1440"/>
          <w:tab w:val="clear" w:pos="2160"/>
          <w:tab w:val="clear" w:pos="4464"/>
          <w:tab w:val="clear" w:pos="8496"/>
        </w:tabs>
        <w:spacing w:line="240" w:lineRule="auto"/>
        <w:ind w:left="0" w:firstLine="0"/>
        <w:rPr>
          <w:szCs w:val="24"/>
        </w:rPr>
      </w:pPr>
      <w:r w:rsidRPr="0096374E">
        <w:rPr>
          <w:b/>
          <w:szCs w:val="24"/>
        </w:rPr>
        <w:t>FROM:</w:t>
      </w:r>
      <w:r w:rsidRPr="0096374E">
        <w:rPr>
          <w:szCs w:val="24"/>
        </w:rPr>
        <w:tab/>
        <w:t>Larry D. Carbonneau, Manager, Health Care Oversight, DLRS</w:t>
      </w:r>
    </w:p>
    <w:p w:rsidR="00F46DB8" w:rsidRPr="0096374E" w:rsidRDefault="00F46DB8" w:rsidP="00F46DB8">
      <w:pPr>
        <w:rPr>
          <w:szCs w:val="24"/>
        </w:rPr>
      </w:pPr>
      <w:r w:rsidRPr="0096374E">
        <w:rPr>
          <w:szCs w:val="24"/>
        </w:rPr>
        <w:tab/>
      </w:r>
      <w:r w:rsidRPr="0096374E">
        <w:rPr>
          <w:szCs w:val="24"/>
        </w:rPr>
        <w:tab/>
        <w:t>Richard S. Lawrence, Senior Health Care Financial Analyst, DLRS</w:t>
      </w:r>
    </w:p>
    <w:p w:rsidR="00F46DB8" w:rsidRPr="0096374E" w:rsidRDefault="00F46DB8" w:rsidP="00F46DB8">
      <w:pPr>
        <w:rPr>
          <w:szCs w:val="24"/>
        </w:rPr>
      </w:pPr>
    </w:p>
    <w:p w:rsidR="00F46DB8" w:rsidRPr="0096374E" w:rsidRDefault="00F46DB8" w:rsidP="00F46DB8">
      <w:pPr>
        <w:ind w:left="1440" w:hanging="1440"/>
        <w:rPr>
          <w:szCs w:val="24"/>
        </w:rPr>
      </w:pPr>
      <w:r w:rsidRPr="0096374E">
        <w:rPr>
          <w:b/>
          <w:szCs w:val="24"/>
        </w:rPr>
        <w:t>SUBJECT:</w:t>
      </w:r>
      <w:r w:rsidRPr="0096374E">
        <w:rPr>
          <w:szCs w:val="24"/>
        </w:rPr>
        <w:tab/>
      </w:r>
      <w:r>
        <w:rPr>
          <w:szCs w:val="24"/>
        </w:rPr>
        <w:t>Acquisition of Control of Franklin Community Health Network</w:t>
      </w:r>
    </w:p>
    <w:p w:rsidR="00F46DB8" w:rsidRPr="0096374E" w:rsidRDefault="00F46DB8" w:rsidP="00F46DB8">
      <w:pPr>
        <w:pStyle w:val="Cover"/>
        <w:pBdr>
          <w:bottom w:val="single" w:sz="12" w:space="1" w:color="auto"/>
        </w:pBdr>
        <w:tabs>
          <w:tab w:val="clear" w:pos="720"/>
          <w:tab w:val="clear" w:pos="1440"/>
          <w:tab w:val="clear" w:pos="2160"/>
          <w:tab w:val="clear" w:pos="4464"/>
          <w:tab w:val="clear" w:pos="8496"/>
          <w:tab w:val="left" w:pos="1620"/>
        </w:tabs>
        <w:spacing w:line="240" w:lineRule="auto"/>
        <w:ind w:left="1620" w:hanging="1620"/>
        <w:rPr>
          <w:szCs w:val="24"/>
        </w:rPr>
      </w:pPr>
    </w:p>
    <w:p w:rsidR="00F46DB8" w:rsidRPr="0096374E" w:rsidRDefault="00F46DB8" w:rsidP="00F46DB8">
      <w:pPr>
        <w:pStyle w:val="Intro"/>
        <w:spacing w:before="0" w:line="240" w:lineRule="auto"/>
        <w:ind w:left="0" w:firstLine="0"/>
        <w:jc w:val="both"/>
        <w:rPr>
          <w:szCs w:val="24"/>
        </w:rPr>
      </w:pPr>
    </w:p>
    <w:p w:rsidR="00F46DB8" w:rsidRPr="006C32DB" w:rsidRDefault="00F46DB8" w:rsidP="00E53A5B">
      <w:pPr>
        <w:pStyle w:val="NoSpacing"/>
        <w:jc w:val="both"/>
      </w:pPr>
      <w:r w:rsidRPr="006C32DB">
        <w:rPr>
          <w:b/>
        </w:rPr>
        <w:t>ISSUE ACTIVATED BY:</w:t>
      </w:r>
      <w:r w:rsidRPr="006C32DB">
        <w:t xml:space="preserve"> The referenced proposal requires Certificate of Nee</w:t>
      </w:r>
      <w:r w:rsidR="00963566">
        <w:t xml:space="preserve">d (CON) approval as defined in </w:t>
      </w:r>
      <w:r w:rsidR="00A011F8">
        <w:t>“</w:t>
      </w:r>
      <w:r w:rsidRPr="006C32DB">
        <w:t>The Maine C</w:t>
      </w:r>
      <w:r w:rsidR="00A011F8">
        <w:t>ertificate of Need Act of 2002,”</w:t>
      </w:r>
      <w:r w:rsidRPr="006C32DB">
        <w:t xml:space="preserve"> 22 MRSA § 326 et seq., as amended.</w:t>
      </w:r>
    </w:p>
    <w:p w:rsidR="00F46DB8" w:rsidRPr="006C32DB" w:rsidRDefault="00F46DB8" w:rsidP="00F46DB8">
      <w:pPr>
        <w:pStyle w:val="Intro"/>
        <w:spacing w:before="0" w:line="240" w:lineRule="auto"/>
        <w:ind w:left="0" w:firstLine="0"/>
        <w:jc w:val="both"/>
        <w:rPr>
          <w:szCs w:val="24"/>
        </w:rPr>
      </w:pPr>
    </w:p>
    <w:p w:rsidR="00F46DB8" w:rsidRPr="006C32DB" w:rsidRDefault="00F46DB8" w:rsidP="00F46DB8">
      <w:pPr>
        <w:pStyle w:val="Intro"/>
        <w:tabs>
          <w:tab w:val="left" w:pos="90"/>
        </w:tabs>
        <w:spacing w:before="0" w:line="240" w:lineRule="auto"/>
        <w:ind w:left="0" w:firstLine="0"/>
        <w:rPr>
          <w:szCs w:val="24"/>
        </w:rPr>
      </w:pPr>
      <w:r w:rsidRPr="006C32DB">
        <w:rPr>
          <w:b/>
          <w:szCs w:val="24"/>
        </w:rPr>
        <w:t xml:space="preserve">REGISTERED AFFECTED PARTIES: </w:t>
      </w:r>
      <w:r w:rsidR="00667ABF">
        <w:rPr>
          <w:szCs w:val="24"/>
        </w:rPr>
        <w:t>Central Maine Medical Center and Central Maine Health Care</w:t>
      </w:r>
    </w:p>
    <w:p w:rsidR="00F46DB8" w:rsidRPr="006C32DB" w:rsidRDefault="00F46DB8" w:rsidP="00F46DB8">
      <w:pPr>
        <w:pStyle w:val="Intro"/>
        <w:tabs>
          <w:tab w:val="left" w:pos="90"/>
        </w:tabs>
        <w:spacing w:before="0" w:line="240" w:lineRule="auto"/>
        <w:ind w:left="0" w:firstLine="0"/>
        <w:rPr>
          <w:szCs w:val="24"/>
        </w:rPr>
      </w:pPr>
    </w:p>
    <w:p w:rsidR="00F46DB8" w:rsidRPr="006C32DB" w:rsidRDefault="00F46DB8" w:rsidP="00F46DB8">
      <w:pPr>
        <w:pStyle w:val="Intro"/>
        <w:spacing w:before="0" w:line="240" w:lineRule="auto"/>
        <w:ind w:left="0" w:firstLine="0"/>
        <w:rPr>
          <w:szCs w:val="24"/>
        </w:rPr>
      </w:pPr>
      <w:r w:rsidRPr="006C32DB">
        <w:rPr>
          <w:b/>
          <w:szCs w:val="24"/>
        </w:rPr>
        <w:t>I. BACKGROUND:</w:t>
      </w:r>
    </w:p>
    <w:p w:rsidR="00F46DB8" w:rsidRPr="006C32DB" w:rsidRDefault="00F46DB8" w:rsidP="00E53A5B">
      <w:pPr>
        <w:pStyle w:val="NoSpacing"/>
        <w:jc w:val="both"/>
      </w:pPr>
    </w:p>
    <w:p w:rsidR="00F46DB8" w:rsidRPr="006C32DB" w:rsidRDefault="00F46DB8" w:rsidP="00E53A5B">
      <w:pPr>
        <w:pStyle w:val="NoSpacing"/>
        <w:jc w:val="both"/>
        <w:rPr>
          <w:iCs/>
          <w:color w:val="000000"/>
          <w:position w:val="6"/>
        </w:rPr>
      </w:pPr>
      <w:r w:rsidRPr="006C32DB">
        <w:rPr>
          <w:iCs/>
          <w:color w:val="000000"/>
          <w:position w:val="6"/>
        </w:rPr>
        <w:t>Franklin Community Health Network (FCHN) is organized and operated as a nonprofit health care corporation under §501(c</w:t>
      </w:r>
      <w:proofErr w:type="gramStart"/>
      <w:r w:rsidRPr="006C32DB">
        <w:rPr>
          <w:iCs/>
          <w:color w:val="000000"/>
          <w:position w:val="6"/>
        </w:rPr>
        <w:t>)(</w:t>
      </w:r>
      <w:proofErr w:type="gramEnd"/>
      <w:r w:rsidRPr="006C32DB">
        <w:rPr>
          <w:iCs/>
          <w:color w:val="000000"/>
          <w:position w:val="6"/>
        </w:rPr>
        <w:t>3)</w:t>
      </w:r>
      <w:r>
        <w:rPr>
          <w:iCs/>
          <w:color w:val="000000"/>
          <w:position w:val="6"/>
        </w:rPr>
        <w:t xml:space="preserve"> of the Internal Revenue Code.</w:t>
      </w:r>
      <w:r w:rsidRPr="006C32DB">
        <w:rPr>
          <w:iCs/>
          <w:color w:val="000000"/>
          <w:position w:val="6"/>
        </w:rPr>
        <w:t xml:space="preserve"> It is the sole corporate member </w:t>
      </w:r>
      <w:proofErr w:type="gramStart"/>
      <w:r w:rsidRPr="006C32DB">
        <w:rPr>
          <w:iCs/>
          <w:color w:val="000000"/>
          <w:position w:val="6"/>
        </w:rPr>
        <w:t>of</w:t>
      </w:r>
      <w:proofErr w:type="gramEnd"/>
      <w:r w:rsidRPr="006C32DB">
        <w:rPr>
          <w:iCs/>
          <w:color w:val="000000"/>
          <w:position w:val="6"/>
        </w:rPr>
        <w:t xml:space="preserve"> Fran</w:t>
      </w:r>
      <w:r>
        <w:rPr>
          <w:iCs/>
          <w:color w:val="000000"/>
          <w:position w:val="6"/>
        </w:rPr>
        <w:t>klin Memorial Hospital (FMH).</w:t>
      </w:r>
      <w:r w:rsidRPr="006C32DB">
        <w:rPr>
          <w:iCs/>
          <w:color w:val="000000"/>
          <w:position w:val="6"/>
        </w:rPr>
        <w:t xml:space="preserve"> FMH is a non</w:t>
      </w:r>
      <w:r w:rsidR="003E3B51">
        <w:rPr>
          <w:iCs/>
          <w:color w:val="000000"/>
          <w:position w:val="6"/>
        </w:rPr>
        <w:t>-</w:t>
      </w:r>
      <w:r w:rsidRPr="006C32DB">
        <w:rPr>
          <w:iCs/>
          <w:color w:val="000000"/>
          <w:position w:val="6"/>
        </w:rPr>
        <w:t>profit, §501(c</w:t>
      </w:r>
      <w:proofErr w:type="gramStart"/>
      <w:r w:rsidRPr="006C32DB">
        <w:rPr>
          <w:iCs/>
          <w:color w:val="000000"/>
          <w:position w:val="6"/>
        </w:rPr>
        <w:t>)(</w:t>
      </w:r>
      <w:proofErr w:type="gramEnd"/>
      <w:r w:rsidRPr="006C32DB">
        <w:rPr>
          <w:iCs/>
          <w:color w:val="000000"/>
          <w:position w:val="6"/>
        </w:rPr>
        <w:t>3</w:t>
      </w:r>
      <w:r>
        <w:rPr>
          <w:iCs/>
          <w:color w:val="000000"/>
          <w:position w:val="6"/>
        </w:rPr>
        <w:t>) tax</w:t>
      </w:r>
      <w:r w:rsidR="003E3B51">
        <w:rPr>
          <w:iCs/>
          <w:color w:val="000000"/>
          <w:position w:val="6"/>
        </w:rPr>
        <w:t>-</w:t>
      </w:r>
      <w:r>
        <w:rPr>
          <w:iCs/>
          <w:color w:val="000000"/>
          <w:position w:val="6"/>
        </w:rPr>
        <w:t>exempt Maine corporation.</w:t>
      </w:r>
      <w:r w:rsidRPr="006C32DB">
        <w:rPr>
          <w:iCs/>
          <w:color w:val="000000"/>
          <w:position w:val="6"/>
        </w:rPr>
        <w:t xml:space="preserve"> Its primary purpose is to promote the provision of needed health care services in the communities in and around Franklin County, Maine, and outlying area</w:t>
      </w:r>
      <w:r w:rsidR="00963566">
        <w:rPr>
          <w:iCs/>
          <w:color w:val="000000"/>
          <w:position w:val="6"/>
        </w:rPr>
        <w:t>s.</w:t>
      </w:r>
    </w:p>
    <w:p w:rsidR="00064209" w:rsidRDefault="00064209" w:rsidP="00E53A5B">
      <w:pPr>
        <w:pStyle w:val="NoSpacing"/>
        <w:jc w:val="both"/>
        <w:rPr>
          <w:iCs/>
          <w:color w:val="000000"/>
          <w:position w:val="6"/>
        </w:rPr>
      </w:pPr>
    </w:p>
    <w:p w:rsidR="00F46DB8" w:rsidRPr="006C32DB" w:rsidRDefault="00F46DB8" w:rsidP="00E53A5B">
      <w:pPr>
        <w:pStyle w:val="NoSpacing"/>
        <w:jc w:val="both"/>
        <w:rPr>
          <w:iCs/>
          <w:color w:val="000000"/>
          <w:position w:val="6"/>
        </w:rPr>
      </w:pPr>
      <w:r w:rsidRPr="006C32DB">
        <w:rPr>
          <w:iCs/>
          <w:color w:val="000000"/>
          <w:position w:val="6"/>
        </w:rPr>
        <w:t>MaineHealth is a nonprofit integrated healthcare delivery system that is the parent of eight regional health delivery systems and their hospitals</w:t>
      </w:r>
      <w:r w:rsidR="003E3B51">
        <w:rPr>
          <w:iCs/>
          <w:color w:val="000000"/>
          <w:position w:val="6"/>
        </w:rPr>
        <w:t>;</w:t>
      </w:r>
      <w:r w:rsidRPr="006C32DB">
        <w:rPr>
          <w:iCs/>
          <w:color w:val="000000"/>
          <w:position w:val="6"/>
        </w:rPr>
        <w:t xml:space="preserve"> employed physician practices and subsidiary healthcare organizations; a regional home health care organization; and other health care related entities located throughou</w:t>
      </w:r>
      <w:r w:rsidR="00064209">
        <w:rPr>
          <w:iCs/>
          <w:color w:val="000000"/>
          <w:position w:val="6"/>
        </w:rPr>
        <w:t>t southern, western,</w:t>
      </w:r>
      <w:r w:rsidRPr="006C32DB">
        <w:rPr>
          <w:iCs/>
          <w:color w:val="000000"/>
          <w:position w:val="6"/>
        </w:rPr>
        <w:t xml:space="preserve"> </w:t>
      </w:r>
      <w:r w:rsidR="003E3B51">
        <w:rPr>
          <w:iCs/>
          <w:color w:val="000000"/>
          <w:position w:val="6"/>
        </w:rPr>
        <w:t xml:space="preserve">and </w:t>
      </w:r>
      <w:r w:rsidRPr="006C32DB">
        <w:rPr>
          <w:iCs/>
          <w:color w:val="000000"/>
          <w:position w:val="6"/>
        </w:rPr>
        <w:t>central Maine and eastern</w:t>
      </w:r>
      <w:r>
        <w:rPr>
          <w:iCs/>
          <w:color w:val="000000"/>
          <w:position w:val="6"/>
        </w:rPr>
        <w:t xml:space="preserve"> New Hampshire. </w:t>
      </w:r>
      <w:r w:rsidRPr="006C32DB">
        <w:rPr>
          <w:iCs/>
          <w:color w:val="000000"/>
          <w:position w:val="6"/>
        </w:rPr>
        <w:t>MaineHealth also has strategic affiliation agreements with other local healt</w:t>
      </w:r>
      <w:r>
        <w:rPr>
          <w:iCs/>
          <w:color w:val="000000"/>
          <w:position w:val="6"/>
        </w:rPr>
        <w:t>h systems within the same area.</w:t>
      </w:r>
      <w:r w:rsidRPr="006C32DB">
        <w:rPr>
          <w:iCs/>
          <w:color w:val="000000"/>
          <w:position w:val="6"/>
        </w:rPr>
        <w:t xml:space="preserve"> </w:t>
      </w:r>
      <w:proofErr w:type="spellStart"/>
      <w:r w:rsidRPr="006C32DB">
        <w:rPr>
          <w:iCs/>
          <w:color w:val="000000"/>
          <w:position w:val="6"/>
        </w:rPr>
        <w:t>MaineHealth’s</w:t>
      </w:r>
      <w:proofErr w:type="spellEnd"/>
      <w:r w:rsidRPr="006C32DB">
        <w:rPr>
          <w:iCs/>
          <w:color w:val="000000"/>
          <w:position w:val="6"/>
        </w:rPr>
        <w:t xml:space="preserve"> administrative offices are located in Portland, Maine. MaineHealth is organized and operated as a non-profit, tax-exempt healthcare corporation under §501(c</w:t>
      </w:r>
      <w:proofErr w:type="gramStart"/>
      <w:r w:rsidRPr="006C32DB">
        <w:rPr>
          <w:iCs/>
          <w:color w:val="000000"/>
          <w:position w:val="6"/>
        </w:rPr>
        <w:t>)(</w:t>
      </w:r>
      <w:proofErr w:type="gramEnd"/>
      <w:r w:rsidRPr="006C32DB">
        <w:rPr>
          <w:iCs/>
          <w:color w:val="000000"/>
          <w:position w:val="6"/>
        </w:rPr>
        <w:t>3) of the Internal Revenue Code.</w:t>
      </w:r>
    </w:p>
    <w:p w:rsidR="00F46DB8" w:rsidRDefault="00F46DB8">
      <w:pPr>
        <w:sectPr w:rsidR="00F46DB8">
          <w:headerReference w:type="default" r:id="rId9"/>
          <w:footerReference w:type="default" r:id="rId10"/>
          <w:pgSz w:w="12240" w:h="15840"/>
          <w:pgMar w:top="1440" w:right="1440" w:bottom="1440" w:left="1440" w:header="720" w:footer="720" w:gutter="0"/>
          <w:cols w:space="720"/>
          <w:docGrid w:linePitch="360"/>
        </w:sectPr>
      </w:pPr>
    </w:p>
    <w:p w:rsidR="00F46DB8" w:rsidRPr="006C32DB" w:rsidRDefault="00F46DB8" w:rsidP="00F46DB8">
      <w:pPr>
        <w:pStyle w:val="Intro"/>
        <w:spacing w:before="0" w:line="240" w:lineRule="auto"/>
        <w:ind w:left="0" w:firstLine="0"/>
        <w:rPr>
          <w:b/>
          <w:szCs w:val="24"/>
        </w:rPr>
      </w:pPr>
      <w:r w:rsidRPr="006C32DB">
        <w:rPr>
          <w:b/>
          <w:szCs w:val="24"/>
        </w:rPr>
        <w:lastRenderedPageBreak/>
        <w:t>II. PROJECT DESCRIPTION:</w:t>
      </w:r>
    </w:p>
    <w:p w:rsidR="000B7727" w:rsidRDefault="000B7727" w:rsidP="00E53A5B">
      <w:pPr>
        <w:pStyle w:val="NoSpacing"/>
        <w:jc w:val="both"/>
      </w:pPr>
    </w:p>
    <w:p w:rsidR="00F46DB8" w:rsidRDefault="00F46DB8" w:rsidP="00E53A5B">
      <w:pPr>
        <w:pStyle w:val="NoSpacing"/>
        <w:jc w:val="both"/>
      </w:pPr>
      <w:r w:rsidRPr="006C32DB">
        <w:t xml:space="preserve">The FCHN Board of Trustees proposes to amend the FCHN Articles of Incorporation and Bylaws so that </w:t>
      </w:r>
      <w:r w:rsidRPr="006C32DB">
        <w:rPr>
          <w:bCs/>
        </w:rPr>
        <w:t xml:space="preserve">MaineHealth </w:t>
      </w:r>
      <w:r w:rsidRPr="006C32DB">
        <w:t>shall become its sole corporate member</w:t>
      </w:r>
      <w:r w:rsidR="003E3B51">
        <w:t>,</w:t>
      </w:r>
      <w:r w:rsidRPr="006C32DB">
        <w:t xml:space="preserve"> thereby making FCHN a su</w:t>
      </w:r>
      <w:r w:rsidR="000B7727">
        <w:t>bsidiary member of MaineHealth.</w:t>
      </w:r>
      <w:r w:rsidRPr="006C32DB">
        <w:t xml:space="preserve"> The scheduled effective mem</w:t>
      </w:r>
      <w:r w:rsidR="00064209">
        <w:t xml:space="preserve">bership date is October 1, 2014, </w:t>
      </w:r>
      <w:r w:rsidRPr="006C32DB">
        <w:t>subject to obtaining all required consents and regulatory approvals.</w:t>
      </w:r>
    </w:p>
    <w:p w:rsidR="00E53A5B" w:rsidRPr="006C32DB" w:rsidRDefault="00E53A5B" w:rsidP="00E53A5B">
      <w:pPr>
        <w:pStyle w:val="NoSpacing"/>
        <w:jc w:val="both"/>
      </w:pPr>
    </w:p>
    <w:p w:rsidR="00F46DB8" w:rsidRPr="006C32DB" w:rsidRDefault="00F46DB8" w:rsidP="00E53A5B">
      <w:pPr>
        <w:pStyle w:val="NoSpacing"/>
        <w:jc w:val="both"/>
      </w:pPr>
      <w:r w:rsidRPr="006C32DB">
        <w:rPr>
          <w:color w:val="000000"/>
        </w:rPr>
        <w:t xml:space="preserve">FCHN and its subsidiaries will be maintained as healthcare organizations in their current form. FMH will retain its </w:t>
      </w:r>
      <w:r w:rsidR="003E3B51">
        <w:rPr>
          <w:color w:val="000000"/>
        </w:rPr>
        <w:t xml:space="preserve">non-profit, </w:t>
      </w:r>
      <w:r w:rsidRPr="006C32DB">
        <w:t>§501(c</w:t>
      </w:r>
      <w:proofErr w:type="gramStart"/>
      <w:r w:rsidRPr="006C32DB">
        <w:t>)(</w:t>
      </w:r>
      <w:proofErr w:type="gramEnd"/>
      <w:r w:rsidRPr="006C32DB">
        <w:t xml:space="preserve">3) </w:t>
      </w:r>
      <w:r w:rsidRPr="006C32DB">
        <w:rPr>
          <w:color w:val="000000"/>
        </w:rPr>
        <w:t>tax-exempt, charitable status, hospital license, Medicare/Medicaid provider numbers and contractual rel</w:t>
      </w:r>
      <w:r>
        <w:rPr>
          <w:color w:val="000000"/>
        </w:rPr>
        <w:t xml:space="preserve">ationships. </w:t>
      </w:r>
      <w:r w:rsidRPr="006C32DB">
        <w:rPr>
          <w:color w:val="000000"/>
        </w:rPr>
        <w:t>Responsibility for the d</w:t>
      </w:r>
      <w:r w:rsidRPr="006C32DB">
        <w:t>ay-to-day operational control of FCHN and its subsidiaries</w:t>
      </w:r>
      <w:r w:rsidR="003E3B51">
        <w:t>,</w:t>
      </w:r>
      <w:r w:rsidRPr="006C32DB">
        <w:t xml:space="preserve"> including FMH</w:t>
      </w:r>
      <w:r w:rsidR="003E3B51">
        <w:t>,</w:t>
      </w:r>
      <w:r w:rsidRPr="006C32DB">
        <w:t xml:space="preserve"> will </w:t>
      </w:r>
      <w:r w:rsidR="00667ABF">
        <w:t xml:space="preserve">remain the </w:t>
      </w:r>
      <w:r w:rsidR="00E94F16">
        <w:t>auspices</w:t>
      </w:r>
      <w:r w:rsidR="00667ABF">
        <w:t xml:space="preserve"> of</w:t>
      </w:r>
      <w:r w:rsidRPr="006C32DB">
        <w:t xml:space="preserve"> FCHN, subject </w:t>
      </w:r>
      <w:r w:rsidRPr="006C32DB">
        <w:rPr>
          <w:bCs/>
        </w:rPr>
        <w:t>to ultimate oversight by MaineHealth.</w:t>
      </w:r>
    </w:p>
    <w:p w:rsidR="00F46DB8" w:rsidRPr="006C32DB" w:rsidRDefault="00F46DB8" w:rsidP="00F46DB8">
      <w:pPr>
        <w:rPr>
          <w:rFonts w:eastAsia="Calibri"/>
          <w:szCs w:val="24"/>
        </w:rPr>
      </w:pPr>
    </w:p>
    <w:p w:rsidR="00F46DB8" w:rsidRPr="006C32DB" w:rsidRDefault="00F46DB8" w:rsidP="00F46DB8">
      <w:pPr>
        <w:pStyle w:val="Intro"/>
        <w:spacing w:before="0" w:line="240" w:lineRule="auto"/>
        <w:ind w:left="0" w:firstLine="0"/>
        <w:rPr>
          <w:szCs w:val="24"/>
        </w:rPr>
      </w:pPr>
      <w:r w:rsidRPr="006C32DB">
        <w:rPr>
          <w:b/>
          <w:szCs w:val="24"/>
        </w:rPr>
        <w:t>III. HIGHLIGHTS:</w:t>
      </w:r>
    </w:p>
    <w:p w:rsidR="00F46DB8" w:rsidRPr="006C32DB" w:rsidRDefault="00F46DB8" w:rsidP="00F46DB8">
      <w:pPr>
        <w:rPr>
          <w:szCs w:val="24"/>
        </w:rPr>
      </w:pPr>
    </w:p>
    <w:p w:rsidR="00F46DB8" w:rsidRPr="006C32DB" w:rsidRDefault="00F46DB8" w:rsidP="00E53A5B">
      <w:pPr>
        <w:pStyle w:val="NoSpacing"/>
      </w:pPr>
      <w:r w:rsidRPr="006C32DB">
        <w:t>Letter of Intent dated:</w:t>
      </w:r>
      <w:r w:rsidRPr="006C32DB">
        <w:tab/>
      </w:r>
      <w:r w:rsidRPr="006C32DB">
        <w:tab/>
      </w:r>
      <w:r w:rsidRPr="006C32DB">
        <w:tab/>
      </w:r>
      <w:r>
        <w:tab/>
      </w:r>
      <w:r w:rsidRPr="006C32DB">
        <w:t>January 15, 2014</w:t>
      </w:r>
    </w:p>
    <w:p w:rsidR="00F46DB8" w:rsidRPr="006C32DB" w:rsidRDefault="00F46DB8" w:rsidP="00E53A5B">
      <w:pPr>
        <w:pStyle w:val="NoSpacing"/>
      </w:pPr>
      <w:r w:rsidRPr="006C32DB">
        <w:t>Technical Assistance meeting held:</w:t>
      </w:r>
      <w:r w:rsidRPr="006C32DB">
        <w:tab/>
      </w:r>
      <w:r>
        <w:tab/>
      </w:r>
      <w:r w:rsidRPr="006C32DB">
        <w:t>February 10, 2014</w:t>
      </w:r>
    </w:p>
    <w:p w:rsidR="00F46DB8" w:rsidRPr="006C32DB" w:rsidRDefault="00F46DB8" w:rsidP="00E53A5B">
      <w:pPr>
        <w:pStyle w:val="NoSpacing"/>
      </w:pPr>
      <w:r w:rsidRPr="006C32DB">
        <w:t>CON application filed:</w:t>
      </w:r>
      <w:r w:rsidRPr="006C32DB">
        <w:tab/>
      </w:r>
      <w:r w:rsidRPr="006C32DB">
        <w:tab/>
      </w:r>
      <w:r w:rsidRPr="006C32DB">
        <w:tab/>
        <w:t>February 28, 2014</w:t>
      </w:r>
    </w:p>
    <w:p w:rsidR="00F46DB8" w:rsidRPr="006C32DB" w:rsidRDefault="00F46DB8" w:rsidP="00E53A5B">
      <w:pPr>
        <w:pStyle w:val="NoSpacing"/>
      </w:pPr>
      <w:r w:rsidRPr="006C32DB">
        <w:t>CON certified as complete:</w:t>
      </w:r>
      <w:r w:rsidRPr="006C32DB">
        <w:tab/>
      </w:r>
      <w:r w:rsidRPr="006C32DB">
        <w:tab/>
      </w:r>
      <w:r>
        <w:tab/>
      </w:r>
      <w:r w:rsidRPr="006C32DB">
        <w:t>February 28, 2014</w:t>
      </w:r>
    </w:p>
    <w:p w:rsidR="00F46DB8" w:rsidRPr="006C32DB" w:rsidRDefault="00F46DB8" w:rsidP="00E53A5B">
      <w:pPr>
        <w:pStyle w:val="NoSpacing"/>
      </w:pPr>
      <w:r w:rsidRPr="006C32DB">
        <w:t>Public Hearing held:</w:t>
      </w:r>
      <w:r w:rsidRPr="006C32DB">
        <w:tab/>
      </w:r>
      <w:r w:rsidRPr="006C32DB">
        <w:tab/>
      </w:r>
      <w:r w:rsidRPr="006C32DB">
        <w:tab/>
      </w:r>
      <w:r>
        <w:tab/>
      </w:r>
      <w:r w:rsidRPr="006C32DB">
        <w:t>April 3, 2014</w:t>
      </w:r>
    </w:p>
    <w:p w:rsidR="00F46DB8" w:rsidRPr="006C32DB" w:rsidRDefault="00F46DB8" w:rsidP="00E53A5B">
      <w:pPr>
        <w:pStyle w:val="NoSpacing"/>
      </w:pPr>
      <w:r w:rsidRPr="006C32DB">
        <w:t>Comment Period Ended:</w:t>
      </w:r>
      <w:r w:rsidRPr="006C32DB">
        <w:tab/>
      </w:r>
      <w:r w:rsidRPr="006C32DB">
        <w:tab/>
      </w:r>
      <w:r w:rsidRPr="006C32DB">
        <w:tab/>
        <w:t>May 5, 2014</w:t>
      </w:r>
    </w:p>
    <w:p w:rsidR="00F46DB8" w:rsidRPr="006C32DB" w:rsidRDefault="00F46DB8" w:rsidP="00E53A5B">
      <w:pPr>
        <w:pStyle w:val="NoSpacing"/>
      </w:pPr>
      <w:r w:rsidRPr="006C32DB">
        <w:t>Preliminary Analysis released:</w:t>
      </w:r>
      <w:r w:rsidRPr="006C32DB">
        <w:tab/>
      </w:r>
      <w:r w:rsidRPr="006C32DB">
        <w:tab/>
        <w:t>May 16, 2014</w:t>
      </w:r>
    </w:p>
    <w:p w:rsidR="00F46DB8" w:rsidRPr="006C32DB" w:rsidRDefault="00F46DB8" w:rsidP="00E53A5B">
      <w:pPr>
        <w:pStyle w:val="NoSpacing"/>
      </w:pPr>
      <w:r w:rsidRPr="006C32DB">
        <w:t>Record Closed:</w:t>
      </w:r>
      <w:r w:rsidRPr="006C32DB">
        <w:tab/>
      </w:r>
      <w:r w:rsidRPr="006C32DB">
        <w:tab/>
      </w:r>
      <w:r w:rsidRPr="006C32DB">
        <w:tab/>
      </w:r>
      <w:r w:rsidRPr="006C32DB">
        <w:tab/>
        <w:t>June 6, 2014</w:t>
      </w:r>
    </w:p>
    <w:p w:rsidR="00F46DB8" w:rsidRPr="006C32DB" w:rsidRDefault="00F46DB8" w:rsidP="00F46DB8">
      <w:pPr>
        <w:ind w:left="360"/>
        <w:rPr>
          <w:szCs w:val="24"/>
        </w:rPr>
      </w:pPr>
    </w:p>
    <w:p w:rsidR="00F46DB8" w:rsidRPr="006C32DB" w:rsidRDefault="00F46DB8" w:rsidP="00F46DB8">
      <w:pPr>
        <w:pStyle w:val="Intro"/>
        <w:spacing w:before="0" w:line="240" w:lineRule="auto"/>
        <w:ind w:left="450" w:hanging="450"/>
        <w:rPr>
          <w:b/>
          <w:szCs w:val="24"/>
        </w:rPr>
      </w:pPr>
      <w:r w:rsidRPr="006C32DB">
        <w:rPr>
          <w:b/>
          <w:szCs w:val="24"/>
        </w:rPr>
        <w:t>IV. PUBLIC COMMENTS RECEIVED IN RESPONSE TO THE PRELIMINARY ANALYSIS:</w:t>
      </w:r>
    </w:p>
    <w:p w:rsidR="00F46DB8" w:rsidRPr="006C32DB" w:rsidRDefault="00F46DB8" w:rsidP="00F46DB8">
      <w:pPr>
        <w:rPr>
          <w:szCs w:val="24"/>
        </w:rPr>
      </w:pPr>
    </w:p>
    <w:p w:rsidR="00106774" w:rsidRDefault="00F46DB8" w:rsidP="00E53A5B">
      <w:pPr>
        <w:pStyle w:val="NoSpacing"/>
        <w:jc w:val="both"/>
      </w:pPr>
      <w:r w:rsidRPr="006C32DB">
        <w:t>Following release of the Preliminary Analysis</w:t>
      </w:r>
      <w:r w:rsidR="00667ABF">
        <w:t>,</w:t>
      </w:r>
      <w:r w:rsidRPr="006C32DB">
        <w:t xml:space="preserve"> one public comment was received from </w:t>
      </w:r>
      <w:r w:rsidR="00667ABF">
        <w:t xml:space="preserve">a representative of </w:t>
      </w:r>
      <w:r w:rsidRPr="006C32DB">
        <w:t xml:space="preserve">Central Maine Healthcare (CMHC). CMHC expressed concerns about the accuracy </w:t>
      </w:r>
      <w:r w:rsidR="00667ABF">
        <w:t xml:space="preserve">and completeness </w:t>
      </w:r>
      <w:r w:rsidRPr="006C32DB">
        <w:t xml:space="preserve">of </w:t>
      </w:r>
      <w:r w:rsidR="00667ABF">
        <w:t xml:space="preserve">the data contained in the financial module </w:t>
      </w:r>
      <w:r w:rsidRPr="006C32DB">
        <w:t>Franklin Community Health Network (FCHN) submitted with their C</w:t>
      </w:r>
      <w:r w:rsidR="00064209">
        <w:t xml:space="preserve">ertificate of </w:t>
      </w:r>
      <w:r w:rsidRPr="006C32DB">
        <w:t>N</w:t>
      </w:r>
      <w:r w:rsidR="00064209">
        <w:t>eed (CON)</w:t>
      </w:r>
      <w:r w:rsidRPr="006C32DB">
        <w:t xml:space="preserve"> application. MaineHealth provided a response to these concerns. CMHC questioned projections showing reductions in operating expenses, salaries and benefits, and depreciation and interest. </w:t>
      </w:r>
      <w:r w:rsidR="00667ABF">
        <w:t>In addition, CMHC noted that s</w:t>
      </w:r>
      <w:r w:rsidRPr="006C32DB">
        <w:t xml:space="preserve">upply expenses are projected to remain </w:t>
      </w:r>
      <w:r w:rsidR="00667ABF">
        <w:t xml:space="preserve">at current levels even though FMH expects an increase in patient service revenue and patients. </w:t>
      </w:r>
      <w:r w:rsidR="00064209">
        <w:t>Maine</w:t>
      </w:r>
      <w:r w:rsidRPr="006C32DB">
        <w:t xml:space="preserve">Health responded to these questions by </w:t>
      </w:r>
      <w:r w:rsidR="00667ABF">
        <w:t>noting</w:t>
      </w:r>
      <w:r w:rsidRPr="006C32DB">
        <w:t xml:space="preserve"> that full time staff has been reduced from 655 to 602 and the use of </w:t>
      </w:r>
      <w:r w:rsidR="00667ABF">
        <w:t xml:space="preserve">more expensive </w:t>
      </w:r>
      <w:r w:rsidRPr="006C32DB">
        <w:t xml:space="preserve">contract labor and purchased services has declined. MaineHealth has also stated that supply expenses should remain flat due to economies of scale achieved through MaineHealth supply chain management. CMHC also expressed concern about the projected growth in revenue without an explanation about the </w:t>
      </w:r>
      <w:r w:rsidR="00106774">
        <w:t xml:space="preserve">specific </w:t>
      </w:r>
      <w:r w:rsidRPr="006C32DB">
        <w:t>source of growth</w:t>
      </w:r>
      <w:r w:rsidR="003E3B51">
        <w:t>,</w:t>
      </w:r>
      <w:r w:rsidR="00106774">
        <w:t xml:space="preserve"> whether </w:t>
      </w:r>
      <w:r w:rsidR="00E94F16">
        <w:t xml:space="preserve">from </w:t>
      </w:r>
      <w:r w:rsidR="00E94F16" w:rsidRPr="006C32DB">
        <w:t>providing</w:t>
      </w:r>
      <w:r w:rsidR="00106774">
        <w:t xml:space="preserve"> </w:t>
      </w:r>
      <w:r w:rsidR="00E94F16" w:rsidRPr="006C32DB">
        <w:t>outpatient</w:t>
      </w:r>
      <w:r w:rsidR="00E94F16">
        <w:t xml:space="preserve"> or</w:t>
      </w:r>
      <w:r w:rsidR="00106774">
        <w:t xml:space="preserve"> </w:t>
      </w:r>
      <w:r w:rsidR="00E94F16" w:rsidRPr="006C32DB">
        <w:t>inpatient</w:t>
      </w:r>
      <w:r w:rsidR="00E94F16">
        <w:t xml:space="preserve"> services</w:t>
      </w:r>
      <w:r w:rsidR="00106774">
        <w:t xml:space="preserve"> or</w:t>
      </w:r>
      <w:r w:rsidRPr="006C32DB">
        <w:t xml:space="preserve"> increas</w:t>
      </w:r>
      <w:r w:rsidR="00106774">
        <w:t>ing</w:t>
      </w:r>
      <w:r w:rsidRPr="006C32DB">
        <w:t xml:space="preserve"> market share</w:t>
      </w:r>
      <w:r w:rsidR="003E3B51">
        <w:t>,</w:t>
      </w:r>
      <w:r w:rsidR="00106774">
        <w:t xml:space="preserve"> for example.</w:t>
      </w:r>
      <w:r w:rsidRPr="006C32DB">
        <w:t xml:space="preserve"> MaineHealth states that this increased revenue projection is the result of a detailed analysis by FCHN of its hospital and physician practice operation</w:t>
      </w:r>
      <w:r w:rsidR="003E3B51">
        <w:t>,</w:t>
      </w:r>
      <w:r w:rsidRPr="006C32DB">
        <w:t xml:space="preserve"> and a commitment to stronger clinical partnerships which will provide more comprehensive services at FCHN. </w:t>
      </w:r>
      <w:r w:rsidR="00C210C2">
        <w:t>MaineHealth has sufficient financial resources to utilize in the event that the expected results of operations contained in the Financial Module do not materialize.</w:t>
      </w:r>
    </w:p>
    <w:p w:rsidR="00F46DB8" w:rsidRDefault="00106774" w:rsidP="00E53A5B">
      <w:pPr>
        <w:pStyle w:val="NoSpacing"/>
        <w:jc w:val="both"/>
      </w:pPr>
      <w:r>
        <w:lastRenderedPageBreak/>
        <w:t xml:space="preserve">In the review of the standard relating to outcomes and community impact, the </w:t>
      </w:r>
      <w:r w:rsidR="003E3B51">
        <w:t>Certificate of Need Unit (</w:t>
      </w:r>
      <w:r>
        <w:t>CONU</w:t>
      </w:r>
      <w:r w:rsidR="003E3B51">
        <w:t>)</w:t>
      </w:r>
      <w:r>
        <w:t xml:space="preserve"> concluded that with a condition related to reporting on referral patterns, MaineHealth had met its burden to provide sufficient evidence that </w:t>
      </w:r>
      <w:r w:rsidR="00C210C2">
        <w:t>the acquisition of FCHN e</w:t>
      </w:r>
      <w:r w:rsidR="00C210C2" w:rsidRPr="00C210C2">
        <w:t>nsures high-quality outcomes and does not negatively affect the quality of care delivered by existing service providers</w:t>
      </w:r>
      <w:r w:rsidR="00C210C2">
        <w:t>.</w:t>
      </w:r>
      <w:r w:rsidR="00C210C2" w:rsidRPr="006C32DB">
        <w:t xml:space="preserve"> </w:t>
      </w:r>
      <w:r w:rsidR="00E94F16" w:rsidRPr="006C32DB">
        <w:t>CMHC asserts</w:t>
      </w:r>
      <w:r w:rsidR="00F46DB8" w:rsidRPr="006C32DB">
        <w:t xml:space="preserve"> that the CONU condition requiring the applicant to provide data on referral patterns should be strengthened to include a prohibition on changing referral patterns. MaineHealth states that this is unnecessary because referrals are based on patient/physician preference, accessibility of services and changing insurance benefits. </w:t>
      </w:r>
      <w:r w:rsidR="00064209">
        <w:t>CONU</w:t>
      </w:r>
      <w:r w:rsidR="00C210C2">
        <w:t xml:space="preserve"> has determined that within the context of the original condition </w:t>
      </w:r>
      <w:r w:rsidR="00064209">
        <w:t xml:space="preserve">the applicant </w:t>
      </w:r>
      <w:r w:rsidR="00C210C2">
        <w:t>can demonstrate compliance with the standard. Changing referral patterns may occur for reasons beyond the scope an</w:t>
      </w:r>
      <w:r w:rsidR="00042108">
        <w:t xml:space="preserve">d control of the applicants. </w:t>
      </w:r>
      <w:r w:rsidR="00F46DB8" w:rsidRPr="006C32DB">
        <w:t xml:space="preserve">A full text of CHMC comments and </w:t>
      </w:r>
      <w:r w:rsidR="003D36EB">
        <w:t xml:space="preserve">the </w:t>
      </w:r>
      <w:r w:rsidR="00E94F16">
        <w:t>applicant’s</w:t>
      </w:r>
      <w:r w:rsidR="00F46DB8" w:rsidRPr="006C32DB">
        <w:t xml:space="preserve"> response is included in the record.</w:t>
      </w:r>
    </w:p>
    <w:p w:rsidR="00C210C2" w:rsidRPr="006C32DB" w:rsidRDefault="00C210C2" w:rsidP="00E53A5B">
      <w:pPr>
        <w:pStyle w:val="NoSpacing"/>
        <w:jc w:val="both"/>
      </w:pPr>
    </w:p>
    <w:p w:rsidR="00F46DB8" w:rsidRPr="006C32DB" w:rsidRDefault="00F46DB8" w:rsidP="00F46DB8">
      <w:pPr>
        <w:tabs>
          <w:tab w:val="left" w:pos="90"/>
          <w:tab w:val="left" w:pos="180"/>
        </w:tabs>
        <w:rPr>
          <w:b/>
          <w:szCs w:val="24"/>
        </w:rPr>
      </w:pPr>
      <w:r w:rsidRPr="006C32DB">
        <w:rPr>
          <w:b/>
          <w:szCs w:val="24"/>
        </w:rPr>
        <w:t>V. CONU ANALYSIS:</w:t>
      </w:r>
    </w:p>
    <w:p w:rsidR="00F46DB8" w:rsidRPr="006C32DB" w:rsidRDefault="00F46DB8" w:rsidP="00E53A5B">
      <w:pPr>
        <w:pStyle w:val="NoSpacing"/>
      </w:pPr>
    </w:p>
    <w:p w:rsidR="00F46DB8" w:rsidRPr="00BD5A3A" w:rsidRDefault="00F46DB8" w:rsidP="00BD5A3A">
      <w:pPr>
        <w:pStyle w:val="NoSpacing"/>
        <w:numPr>
          <w:ilvl w:val="0"/>
          <w:numId w:val="11"/>
        </w:numPr>
        <w:ind w:hanging="720"/>
        <w:rPr>
          <w:b/>
        </w:rPr>
      </w:pPr>
      <w:r w:rsidRPr="00BD5A3A">
        <w:rPr>
          <w:b/>
        </w:rPr>
        <w:t>Fit, Willing and Able:</w:t>
      </w:r>
    </w:p>
    <w:p w:rsidR="00F46DB8" w:rsidRPr="006C32DB" w:rsidRDefault="00F46DB8" w:rsidP="00E53A5B">
      <w:pPr>
        <w:pStyle w:val="NoSpacing"/>
      </w:pPr>
    </w:p>
    <w:p w:rsidR="00F46DB8" w:rsidRPr="006C32DB" w:rsidRDefault="00F46DB8" w:rsidP="000B7727">
      <w:pPr>
        <w:pStyle w:val="NoSpacing"/>
        <w:jc w:val="both"/>
      </w:pPr>
      <w:r w:rsidRPr="006C32DB">
        <w:t>In order to determine if the applicant is fit, willing and able CONU evaluated three measures of quality for Maine Medical Center</w:t>
      </w:r>
      <w:r w:rsidR="003E3B51">
        <w:t xml:space="preserve"> (MMC)</w:t>
      </w:r>
      <w:proofErr w:type="gramStart"/>
      <w:r w:rsidR="003E3B51">
        <w:t>,</w:t>
      </w:r>
      <w:r w:rsidRPr="006C32DB">
        <w:t>the</w:t>
      </w:r>
      <w:proofErr w:type="gramEnd"/>
      <w:r w:rsidRPr="006C32DB">
        <w:t xml:space="preserve"> largest hospital in the MaineHealth healthcare system</w:t>
      </w:r>
      <w:r w:rsidR="0068165C">
        <w:t>,</w:t>
      </w:r>
      <w:r w:rsidRPr="006C32DB">
        <w:t xml:space="preserve"> and for </w:t>
      </w:r>
      <w:r w:rsidR="003E3B51">
        <w:t>FMH</w:t>
      </w:r>
      <w:r w:rsidRPr="006C32DB">
        <w:t>. These three measures of quality were:</w:t>
      </w:r>
    </w:p>
    <w:p w:rsidR="00F46DB8" w:rsidRPr="006C32DB" w:rsidRDefault="00F46DB8" w:rsidP="00E53A5B">
      <w:pPr>
        <w:pStyle w:val="NoSpacing"/>
      </w:pPr>
    </w:p>
    <w:p w:rsidR="00F46DB8" w:rsidRPr="00906A10" w:rsidRDefault="00F46DB8" w:rsidP="00BD5A3A">
      <w:pPr>
        <w:pStyle w:val="NoSpacing"/>
        <w:numPr>
          <w:ilvl w:val="0"/>
          <w:numId w:val="7"/>
        </w:numPr>
        <w:jc w:val="both"/>
      </w:pPr>
      <w:r w:rsidRPr="00AE26CD">
        <w:rPr>
          <w:bCs/>
        </w:rPr>
        <w:t>Survey of patients’ experiences:</w:t>
      </w:r>
      <w:r w:rsidRPr="00906A10">
        <w:t xml:space="preserve"> How recently discharged patients responded to a national survey about their hospital experience. For example, how well a hospital’s doctors and nurses communicate with patients</w:t>
      </w:r>
      <w:r w:rsidR="003E3B51">
        <w:t>,</w:t>
      </w:r>
      <w:r w:rsidRPr="00906A10">
        <w:t xml:space="preserve"> and how well they manage their patients’ </w:t>
      </w:r>
      <w:r w:rsidR="00AD2E1D" w:rsidRPr="00906A10">
        <w:t>pain. Patient</w:t>
      </w:r>
      <w:r w:rsidRPr="00906A10">
        <w:t xml:space="preserve"> </w:t>
      </w:r>
      <w:r w:rsidR="003E3B51">
        <w:t>s</w:t>
      </w:r>
      <w:r w:rsidR="003E3B51" w:rsidRPr="00906A10">
        <w:t xml:space="preserve">urvey </w:t>
      </w:r>
      <w:r w:rsidR="003E3B51">
        <w:t>r</w:t>
      </w:r>
      <w:r w:rsidR="003E3B51" w:rsidRPr="00906A10">
        <w:t xml:space="preserve">esults </w:t>
      </w:r>
      <w:r w:rsidRPr="00906A10">
        <w:t xml:space="preserve">indicate that </w:t>
      </w:r>
      <w:r w:rsidR="003E3B51">
        <w:t>FMH</w:t>
      </w:r>
      <w:r w:rsidRPr="00906A10">
        <w:t xml:space="preserve"> scores below National averages in 7 out of 10 categories and below State averages in 10 out of 10 categories. </w:t>
      </w:r>
      <w:r w:rsidR="0068165C">
        <w:t>MMC</w:t>
      </w:r>
      <w:r w:rsidRPr="00906A10">
        <w:t xml:space="preserve"> scores above national averages in 7 out of 10 categories and below State averages in 9 out of 10 categories.</w:t>
      </w:r>
    </w:p>
    <w:p w:rsidR="00F46DB8" w:rsidRPr="006C32DB" w:rsidRDefault="00F46DB8" w:rsidP="00E53A5B">
      <w:pPr>
        <w:pStyle w:val="NoSpacing"/>
      </w:pPr>
    </w:p>
    <w:p w:rsidR="00F46DB8" w:rsidRPr="006C32DB" w:rsidRDefault="00F46DB8" w:rsidP="00BD5A3A">
      <w:pPr>
        <w:pStyle w:val="NoSpacing"/>
        <w:numPr>
          <w:ilvl w:val="0"/>
          <w:numId w:val="8"/>
        </w:numPr>
        <w:jc w:val="both"/>
      </w:pPr>
      <w:r w:rsidRPr="00AE26CD">
        <w:rPr>
          <w:bCs/>
        </w:rPr>
        <w:t>Timely and effective care:</w:t>
      </w:r>
      <w:r w:rsidRPr="006C32DB">
        <w:t xml:space="preserve"> How often and how quickly each hospital gives recommended treatments fo</w:t>
      </w:r>
      <w:r w:rsidR="00847CDC">
        <w:t xml:space="preserve">r certain conditions like heart </w:t>
      </w:r>
      <w:r w:rsidRPr="006C32DB">
        <w:t>attack, heart failure, pneumonia, children’s asthma, and for surgical patients.</w:t>
      </w:r>
    </w:p>
    <w:p w:rsidR="00F46DB8" w:rsidRPr="006C32DB" w:rsidRDefault="00F46DB8" w:rsidP="00E53A5B">
      <w:pPr>
        <w:pStyle w:val="NoSpacing"/>
      </w:pPr>
    </w:p>
    <w:p w:rsidR="00F46DB8" w:rsidRPr="006C32DB" w:rsidRDefault="00F46DB8" w:rsidP="00963566">
      <w:pPr>
        <w:pStyle w:val="NoSpacing"/>
        <w:numPr>
          <w:ilvl w:val="0"/>
          <w:numId w:val="8"/>
        </w:numPr>
      </w:pPr>
      <w:r w:rsidRPr="006C32DB">
        <w:t xml:space="preserve">Readmissions, complications and deaths: </w:t>
      </w:r>
    </w:p>
    <w:p w:rsidR="00F46DB8" w:rsidRPr="006C32DB" w:rsidRDefault="00F46DB8" w:rsidP="00BD5A3A">
      <w:pPr>
        <w:pStyle w:val="NoSpacing"/>
        <w:numPr>
          <w:ilvl w:val="0"/>
          <w:numId w:val="10"/>
        </w:numPr>
        <w:ind w:left="1440"/>
        <w:jc w:val="both"/>
      </w:pPr>
      <w:r w:rsidRPr="006C32DB">
        <w:t>How each hospital’s rates of readmission and 30-day mortality (death) rates for certain conditions compare with the national rate.</w:t>
      </w:r>
    </w:p>
    <w:p w:rsidR="0068165C" w:rsidRDefault="00F46DB8" w:rsidP="003D36EB">
      <w:pPr>
        <w:pStyle w:val="NoSpacing"/>
        <w:numPr>
          <w:ilvl w:val="0"/>
          <w:numId w:val="10"/>
        </w:numPr>
        <w:ind w:left="1440"/>
        <w:jc w:val="both"/>
      </w:pPr>
      <w:r w:rsidRPr="006C32DB">
        <w:t>How likely it is that patients will suffer from complications while in the hospital.</w:t>
      </w:r>
      <w:r w:rsidR="00847CDC">
        <w:t xml:space="preserve"> </w:t>
      </w:r>
    </w:p>
    <w:p w:rsidR="00E341E0" w:rsidRDefault="00F46DB8" w:rsidP="003D36EB">
      <w:pPr>
        <w:pStyle w:val="NoSpacing"/>
        <w:numPr>
          <w:ilvl w:val="0"/>
          <w:numId w:val="10"/>
        </w:numPr>
        <w:ind w:left="1440"/>
        <w:jc w:val="both"/>
      </w:pPr>
      <w:r w:rsidRPr="006C32DB">
        <w:t>How often patients in the hospital get certain serious conditions, that might have been prevented if the hospital followed procedures based on best practices and scientific evidence.</w:t>
      </w:r>
    </w:p>
    <w:p w:rsidR="00847CDC" w:rsidRDefault="00847CDC" w:rsidP="00847CDC">
      <w:pPr>
        <w:pStyle w:val="NoSpacing"/>
        <w:ind w:left="1440"/>
        <w:jc w:val="both"/>
      </w:pPr>
    </w:p>
    <w:p w:rsidR="00847CDC" w:rsidRDefault="00847CDC" w:rsidP="003D36EB">
      <w:pPr>
        <w:pStyle w:val="NoSpacing"/>
        <w:jc w:val="both"/>
        <w:sectPr w:rsidR="00847CDC">
          <w:headerReference w:type="default" r:id="rId11"/>
          <w:footerReference w:type="default" r:id="rId12"/>
          <w:pgSz w:w="12240" w:h="15840"/>
          <w:pgMar w:top="1440" w:right="1440" w:bottom="1440" w:left="1440" w:header="720" w:footer="720" w:gutter="0"/>
          <w:cols w:space="720"/>
          <w:docGrid w:linePitch="360"/>
        </w:sectPr>
      </w:pPr>
    </w:p>
    <w:p w:rsidR="00E341E0" w:rsidRDefault="00E341E0" w:rsidP="003D36EB">
      <w:pPr>
        <w:pStyle w:val="NoSpacing"/>
        <w:jc w:val="both"/>
      </w:pPr>
      <w:r w:rsidRPr="006C32DB">
        <w:lastRenderedPageBreak/>
        <w:t xml:space="preserve">In most instances both </w:t>
      </w:r>
      <w:r w:rsidR="0068165C">
        <w:t>FMH</w:t>
      </w:r>
      <w:r w:rsidRPr="006C32DB">
        <w:t xml:space="preserve"> and </w:t>
      </w:r>
      <w:r w:rsidR="0068165C">
        <w:t>MMC</w:t>
      </w:r>
      <w:r w:rsidR="00847CDC">
        <w:t xml:space="preserve"> </w:t>
      </w:r>
      <w:r w:rsidRPr="006C32DB">
        <w:t>meet and or exceed State and National averages in effective heart attack and heart failure care, pneumonia care and timely and effective surgical car</w:t>
      </w:r>
      <w:r w:rsidR="00847CDC">
        <w:t>e</w:t>
      </w:r>
      <w:r w:rsidRPr="006C32DB">
        <w:t xml:space="preserve">. An area of weakness for </w:t>
      </w:r>
      <w:r w:rsidR="0068165C">
        <w:t>MMC</w:t>
      </w:r>
      <w:r w:rsidRPr="006C32DB">
        <w:t xml:space="preserve"> is timely emergency department care. This may be in part because </w:t>
      </w:r>
      <w:r w:rsidR="0068165C">
        <w:t>MMC</w:t>
      </w:r>
      <w:r w:rsidRPr="006C32DB">
        <w:t xml:space="preserve"> is located in an urban area with a significant population density. It was also noted that </w:t>
      </w:r>
      <w:r w:rsidR="0068165C">
        <w:t>MMC</w:t>
      </w:r>
      <w:r w:rsidR="00847CDC">
        <w:t xml:space="preserve"> </w:t>
      </w:r>
      <w:r w:rsidRPr="006C32DB">
        <w:t>scored lower than State and national averages in preventive care.</w:t>
      </w:r>
    </w:p>
    <w:p w:rsidR="00BD5A3A" w:rsidRPr="006C32DB" w:rsidRDefault="00BD5A3A" w:rsidP="00BD5A3A">
      <w:pPr>
        <w:pStyle w:val="NoSpacing"/>
        <w:jc w:val="both"/>
      </w:pPr>
    </w:p>
    <w:p w:rsidR="00F46DB8" w:rsidRDefault="0068165C" w:rsidP="00BD5A3A">
      <w:pPr>
        <w:pStyle w:val="NoSpacing"/>
        <w:jc w:val="both"/>
        <w:rPr>
          <w:szCs w:val="24"/>
        </w:rPr>
      </w:pPr>
      <w:r>
        <w:rPr>
          <w:szCs w:val="24"/>
        </w:rPr>
        <w:t>FMH</w:t>
      </w:r>
      <w:r w:rsidR="00847CDC">
        <w:rPr>
          <w:szCs w:val="24"/>
        </w:rPr>
        <w:t xml:space="preserve"> </w:t>
      </w:r>
      <w:r w:rsidR="00F46DB8" w:rsidRPr="006C32DB">
        <w:rPr>
          <w:szCs w:val="24"/>
        </w:rPr>
        <w:t xml:space="preserve">performed no better or worse than the national rate for readmissions, complications or death. </w:t>
      </w:r>
    </w:p>
    <w:p w:rsidR="00F46DB8" w:rsidRDefault="00F46DB8" w:rsidP="00BD5A3A">
      <w:pPr>
        <w:pStyle w:val="NoSpacing"/>
      </w:pPr>
    </w:p>
    <w:p w:rsidR="00F46DB8" w:rsidRDefault="00A0020B" w:rsidP="00BD5A3A">
      <w:pPr>
        <w:pStyle w:val="NoSpacing"/>
        <w:jc w:val="both"/>
      </w:pPr>
      <w:r>
        <w:t>Both MMC and FMH are in compliance with the State of Maine Rules for the Licensing of Hospitals.</w:t>
      </w:r>
    </w:p>
    <w:p w:rsidR="00F46DB8" w:rsidRPr="00F46DB8" w:rsidRDefault="00F46DB8" w:rsidP="00E53A5B">
      <w:pPr>
        <w:pStyle w:val="NoSpacing"/>
      </w:pPr>
    </w:p>
    <w:p w:rsidR="00F46DB8" w:rsidRPr="00300B2B" w:rsidRDefault="00F46DB8" w:rsidP="003B2AE5">
      <w:pPr>
        <w:pStyle w:val="NoSpacing"/>
        <w:numPr>
          <w:ilvl w:val="0"/>
          <w:numId w:val="11"/>
        </w:numPr>
        <w:ind w:hanging="720"/>
        <w:rPr>
          <w:szCs w:val="24"/>
        </w:rPr>
      </w:pPr>
      <w:r w:rsidRPr="00300B2B">
        <w:rPr>
          <w:b/>
          <w:szCs w:val="24"/>
        </w:rPr>
        <w:t>Economic Feasibility</w:t>
      </w:r>
      <w:r w:rsidRPr="00300B2B">
        <w:rPr>
          <w:szCs w:val="24"/>
        </w:rPr>
        <w:t>:</w:t>
      </w:r>
    </w:p>
    <w:p w:rsidR="00F46DB8" w:rsidRPr="00F46DB8" w:rsidRDefault="00F46DB8" w:rsidP="00E53A5B">
      <w:pPr>
        <w:pStyle w:val="NoSpacing"/>
      </w:pPr>
    </w:p>
    <w:p w:rsidR="00F46DB8" w:rsidRPr="00F46DB8" w:rsidRDefault="00F46DB8" w:rsidP="00BD5A3A">
      <w:pPr>
        <w:pStyle w:val="NoSpacing"/>
        <w:jc w:val="both"/>
        <w:rPr>
          <w:u w:val="single"/>
        </w:rPr>
      </w:pPr>
      <w:r w:rsidRPr="00F46DB8">
        <w:t xml:space="preserve">In order to assess the financial stability of </w:t>
      </w:r>
      <w:r w:rsidR="0068165C">
        <w:t>MMC</w:t>
      </w:r>
      <w:r w:rsidRPr="00F46DB8">
        <w:t xml:space="preserve"> and </w:t>
      </w:r>
      <w:r w:rsidR="0068165C">
        <w:t>FMH</w:t>
      </w:r>
      <w:r w:rsidRPr="00F46DB8">
        <w:t xml:space="preserve">, the CONU used financial ratios to measure profitability, liquidity, </w:t>
      </w:r>
      <w:proofErr w:type="gramStart"/>
      <w:r w:rsidRPr="00F46DB8">
        <w:t>capital</w:t>
      </w:r>
      <w:proofErr w:type="gramEnd"/>
      <w:r w:rsidRPr="00F46DB8">
        <w:t xml:space="preserve"> structure and asset efficiency. Financial ratios were obtained from the Maine Health Data </w:t>
      </w:r>
      <w:r w:rsidR="0068165C">
        <w:t>O</w:t>
      </w:r>
      <w:r w:rsidR="0068165C" w:rsidRPr="00F46DB8">
        <w:t xml:space="preserve">rganization </w:t>
      </w:r>
      <w:r w:rsidR="0068165C">
        <w:t>(MHDO</w:t>
      </w:r>
      <w:proofErr w:type="gramStart"/>
      <w:r w:rsidR="0068165C">
        <w:t>)</w:t>
      </w:r>
      <w:r w:rsidRPr="00F46DB8">
        <w:t>Hospital</w:t>
      </w:r>
      <w:proofErr w:type="gramEnd"/>
      <w:r w:rsidRPr="00F46DB8">
        <w:t xml:space="preserve"> Financial Information Part II and </w:t>
      </w:r>
      <w:r w:rsidR="0068165C">
        <w:t>MHDO</w:t>
      </w:r>
      <w:r w:rsidRPr="00F46DB8">
        <w:t xml:space="preserve"> Hospital Financial Data Definitions available on MHDO’s website </w:t>
      </w:r>
      <w:hyperlink r:id="rId13" w:history="1">
        <w:r w:rsidRPr="00F46DB8">
          <w:rPr>
            <w:rFonts w:eastAsiaTheme="majorEastAsia"/>
            <w:color w:val="0000FF"/>
            <w:u w:val="single"/>
          </w:rPr>
          <w:t>http://mhdo.maine.gov/imhdo/</w:t>
        </w:r>
      </w:hyperlink>
      <w:r w:rsidRPr="00F46DB8">
        <w:t xml:space="preserve">. National trend and forecast information through 2010 was obtained from the </w:t>
      </w:r>
      <w:r w:rsidR="00847CDC">
        <w:rPr>
          <w:u w:val="single"/>
        </w:rPr>
        <w:t>2012 Almanac of Hospital.</w:t>
      </w:r>
    </w:p>
    <w:p w:rsidR="00F46DB8" w:rsidRPr="00F46DB8" w:rsidRDefault="00F46DB8" w:rsidP="00BD5A3A">
      <w:pPr>
        <w:pStyle w:val="NoSpacing"/>
        <w:jc w:val="both"/>
      </w:pPr>
    </w:p>
    <w:p w:rsidR="00F46DB8" w:rsidRDefault="00E52B34" w:rsidP="00BD5A3A">
      <w:pPr>
        <w:pStyle w:val="NoSpacing"/>
        <w:jc w:val="both"/>
      </w:pPr>
      <w:r>
        <w:t>FMH</w:t>
      </w:r>
      <w:r w:rsidR="00F46DB8" w:rsidRPr="00F46DB8">
        <w:t xml:space="preserve"> meets or exceeds Maine median measurements of profitability an average of 80% of the time</w:t>
      </w:r>
      <w:r>
        <w:t>,</w:t>
      </w:r>
      <w:r w:rsidR="00F46DB8" w:rsidRPr="00F46DB8">
        <w:t xml:space="preserve"> and National medians (where available) 100% of the time. </w:t>
      </w:r>
      <w:r>
        <w:t>FMH</w:t>
      </w:r>
      <w:r w:rsidR="00847CDC">
        <w:t xml:space="preserve"> </w:t>
      </w:r>
      <w:r w:rsidR="00F46DB8" w:rsidRPr="00F46DB8">
        <w:t>meets or exceeds Maine median measurements of liquidity an average of 100% of the time</w:t>
      </w:r>
      <w:r>
        <w:t>,</w:t>
      </w:r>
      <w:r w:rsidR="00F46DB8" w:rsidRPr="00F46DB8">
        <w:t xml:space="preserve"> and National medians 93.3% of the time. </w:t>
      </w:r>
      <w:r>
        <w:t>FMH</w:t>
      </w:r>
      <w:r w:rsidR="00F46DB8" w:rsidRPr="00F46DB8">
        <w:t xml:space="preserve"> meets or exceeds Maine and National median measurements of capital structure an average of 60% of the time</w:t>
      </w:r>
      <w:r w:rsidR="00D46987">
        <w:t>.</w:t>
      </w:r>
    </w:p>
    <w:p w:rsidR="003B2AE5" w:rsidRPr="00F46DB8" w:rsidRDefault="003B2AE5" w:rsidP="00BD5A3A">
      <w:pPr>
        <w:pStyle w:val="NoSpacing"/>
        <w:jc w:val="both"/>
      </w:pPr>
    </w:p>
    <w:p w:rsidR="00E341E0" w:rsidRDefault="00E52B34" w:rsidP="00BD5A3A">
      <w:pPr>
        <w:pStyle w:val="NoSpacing"/>
        <w:jc w:val="both"/>
      </w:pPr>
      <w:r>
        <w:t>MMC</w:t>
      </w:r>
      <w:r w:rsidR="00F46DB8" w:rsidRPr="00F46DB8">
        <w:t xml:space="preserve"> meets or exceeds Maine median measurements of profitability an average of 100% of the time</w:t>
      </w:r>
      <w:r>
        <w:t>,</w:t>
      </w:r>
      <w:r w:rsidR="00F46DB8" w:rsidRPr="00F46DB8">
        <w:t xml:space="preserve"> and National medians (where available) 100% of the time. </w:t>
      </w:r>
      <w:r>
        <w:t>MMC</w:t>
      </w:r>
      <w:r w:rsidR="00F46DB8" w:rsidRPr="00F46DB8">
        <w:t xml:space="preserve"> meets or exceeds Maine and National median measurements of liquidity an average of 66% of the time. </w:t>
      </w:r>
      <w:r>
        <w:t>MMC</w:t>
      </w:r>
      <w:r w:rsidR="00F46DB8" w:rsidRPr="00F46DB8">
        <w:t xml:space="preserve"> meets or exceeds Maine and National median measurements of capital structure </w:t>
      </w:r>
      <w:r w:rsidR="00963566">
        <w:t>an average of 100% of the time.</w:t>
      </w:r>
    </w:p>
    <w:p w:rsidR="00D46987" w:rsidRDefault="00D46987" w:rsidP="00BD5A3A">
      <w:pPr>
        <w:pStyle w:val="NoSpacing"/>
        <w:jc w:val="both"/>
      </w:pPr>
    </w:p>
    <w:p w:rsidR="00E341E0" w:rsidRPr="00F46DB8" w:rsidRDefault="00E341E0" w:rsidP="00BD5A3A">
      <w:pPr>
        <w:pStyle w:val="NoSpacing"/>
        <w:jc w:val="both"/>
      </w:pPr>
      <w:r>
        <w:t>Neither of the two hospitals score</w:t>
      </w:r>
      <w:r w:rsidR="00847CDC">
        <w:t>d</w:t>
      </w:r>
      <w:r>
        <w:t xml:space="preserve"> well when comparing the hospitals asset efficiency t</w:t>
      </w:r>
      <w:r w:rsidR="003B2AE5">
        <w:t>o</w:t>
      </w:r>
      <w:r>
        <w:t xml:space="preserve"> </w:t>
      </w:r>
      <w:r w:rsidR="00E52B34">
        <w:t xml:space="preserve">State </w:t>
      </w:r>
      <w:r>
        <w:t xml:space="preserve">and </w:t>
      </w:r>
      <w:r w:rsidR="00E52B34">
        <w:t xml:space="preserve">National </w:t>
      </w:r>
      <w:r w:rsidR="003B2AE5">
        <w:t>averages</w:t>
      </w:r>
      <w:r>
        <w:t xml:space="preserve">. </w:t>
      </w:r>
      <w:r w:rsidR="00E52B34">
        <w:t>MMC</w:t>
      </w:r>
      <w:r>
        <w:t xml:space="preserve"> has made significant investments in the past 8 years to its facilities. While </w:t>
      </w:r>
      <w:r w:rsidR="00E52B34">
        <w:t xml:space="preserve">FMH </w:t>
      </w:r>
      <w:r>
        <w:t xml:space="preserve">has not had any CON projects since </w:t>
      </w:r>
      <w:r w:rsidR="00E94F16">
        <w:t>before</w:t>
      </w:r>
      <w:r>
        <w:t xml:space="preserve"> 2007</w:t>
      </w:r>
      <w:r w:rsidR="00E94F16">
        <w:t>,</w:t>
      </w:r>
      <w:r>
        <w:t xml:space="preserve"> </w:t>
      </w:r>
      <w:r w:rsidR="00D46987">
        <w:t xml:space="preserve">they do provide many services to an extended </w:t>
      </w:r>
      <w:r w:rsidR="00E52B34">
        <w:t xml:space="preserve">geographical </w:t>
      </w:r>
      <w:r w:rsidR="00D46987">
        <w:t>area.</w:t>
      </w:r>
    </w:p>
    <w:p w:rsidR="00F46DB8" w:rsidRPr="00F46DB8" w:rsidRDefault="00F46DB8" w:rsidP="00E53A5B">
      <w:pPr>
        <w:pStyle w:val="NoSpacing"/>
      </w:pPr>
    </w:p>
    <w:p w:rsidR="00F46DB8" w:rsidRDefault="00F46DB8" w:rsidP="00BD5A3A">
      <w:pPr>
        <w:pStyle w:val="NoSpacing"/>
        <w:jc w:val="both"/>
      </w:pPr>
      <w:r w:rsidRPr="00F46DB8">
        <w:t xml:space="preserve">FCHN’s audited June 30, 2013 financial statements indicate an operating loss of $7,583,498 for the fiscal year ended June 30, 2013. </w:t>
      </w:r>
      <w:r w:rsidR="00D46987">
        <w:t>MaineCare and Medicare</w:t>
      </w:r>
      <w:r w:rsidRPr="00F46DB8">
        <w:t xml:space="preserve"> account for approximately 63% of </w:t>
      </w:r>
      <w:r w:rsidR="00E52B34">
        <w:t>FCHN’s</w:t>
      </w:r>
      <w:r w:rsidR="00E52B34" w:rsidRPr="00F46DB8">
        <w:t xml:space="preserve"> </w:t>
      </w:r>
      <w:r w:rsidRPr="00F46DB8">
        <w:t>gross patient service revenues. In order to capture economies of scale, avoid duplication of services and gain access to capital at favorable rates</w:t>
      </w:r>
      <w:r w:rsidR="00E52B34">
        <w:t>,</w:t>
      </w:r>
      <w:r w:rsidRPr="00F46DB8">
        <w:t xml:space="preserve"> the FCHN Board believes that affiliating with a larger organization such as MaineHealth is of vital importance in improving the financial position of </w:t>
      </w:r>
      <w:r w:rsidR="00E52B34">
        <w:t>FMH</w:t>
      </w:r>
      <w:r w:rsidRPr="00F46DB8">
        <w:t>.</w:t>
      </w:r>
    </w:p>
    <w:p w:rsidR="00BD5A3A" w:rsidRDefault="00BD5A3A" w:rsidP="00BD5A3A">
      <w:pPr>
        <w:pStyle w:val="NoSpacing"/>
        <w:jc w:val="both"/>
      </w:pPr>
    </w:p>
    <w:p w:rsidR="00D46987" w:rsidRDefault="00D46987" w:rsidP="003D36EB">
      <w:pPr>
        <w:pStyle w:val="NoSpacing"/>
      </w:pPr>
      <w:r>
        <w:lastRenderedPageBreak/>
        <w:t xml:space="preserve">By becoming a member of MaineHealth, </w:t>
      </w:r>
      <w:r w:rsidR="00E52B34">
        <w:t xml:space="preserve">FCHN </w:t>
      </w:r>
      <w:r>
        <w:t>projects to save enough money in order to improve their financial position.</w:t>
      </w:r>
    </w:p>
    <w:p w:rsidR="003D36EB" w:rsidRDefault="003D36EB" w:rsidP="003D36EB">
      <w:pPr>
        <w:pStyle w:val="NoSpacing"/>
      </w:pPr>
    </w:p>
    <w:p w:rsidR="003D36EB" w:rsidRPr="00F46DB8" w:rsidRDefault="00E94F16" w:rsidP="003D36EB">
      <w:pPr>
        <w:pStyle w:val="NoSpacing"/>
        <w:jc w:val="both"/>
      </w:pPr>
      <w:r>
        <w:t xml:space="preserve">MaineHealth </w:t>
      </w:r>
      <w:r w:rsidRPr="00F46DB8">
        <w:t>has</w:t>
      </w:r>
      <w:r w:rsidR="003D36EB" w:rsidRPr="00F46DB8">
        <w:t xml:space="preserve"> sufficient resources to utilize in the event that the expected results of operations do not </w:t>
      </w:r>
      <w:r w:rsidR="003D36EB">
        <w:t xml:space="preserve">fully </w:t>
      </w:r>
      <w:r w:rsidR="003D36EB" w:rsidRPr="00F46DB8">
        <w:t>materialize.</w:t>
      </w:r>
    </w:p>
    <w:p w:rsidR="003D36EB" w:rsidRPr="00F46DB8" w:rsidRDefault="003D36EB" w:rsidP="003D36EB">
      <w:pPr>
        <w:pStyle w:val="NoSpacing"/>
      </w:pPr>
    </w:p>
    <w:p w:rsidR="003D36EB" w:rsidRPr="00300B2B" w:rsidRDefault="003D36EB" w:rsidP="003B2AE5">
      <w:pPr>
        <w:pStyle w:val="NoSpacing"/>
        <w:numPr>
          <w:ilvl w:val="0"/>
          <w:numId w:val="11"/>
        </w:numPr>
        <w:ind w:hanging="720"/>
        <w:rPr>
          <w:b/>
          <w:szCs w:val="24"/>
        </w:rPr>
      </w:pPr>
      <w:r w:rsidRPr="00300B2B">
        <w:rPr>
          <w:b/>
          <w:szCs w:val="24"/>
        </w:rPr>
        <w:t>Public Need:</w:t>
      </w:r>
    </w:p>
    <w:p w:rsidR="003D36EB" w:rsidRPr="00F46DB8" w:rsidRDefault="003D36EB" w:rsidP="003D36EB">
      <w:pPr>
        <w:pStyle w:val="NoSpacing"/>
      </w:pPr>
    </w:p>
    <w:p w:rsidR="003D36EB" w:rsidRPr="00F46DB8" w:rsidRDefault="003D36EB" w:rsidP="003D36EB">
      <w:pPr>
        <w:pStyle w:val="NoSpacing"/>
        <w:jc w:val="both"/>
      </w:pPr>
      <w:r w:rsidRPr="00F46DB8">
        <w:t xml:space="preserve">The </w:t>
      </w:r>
      <w:r w:rsidR="003B2AE5">
        <w:t xml:space="preserve">stated </w:t>
      </w:r>
      <w:r w:rsidRPr="00F46DB8">
        <w:t xml:space="preserve">goal of </w:t>
      </w:r>
      <w:r w:rsidR="00E52B34">
        <w:t>FCHN</w:t>
      </w:r>
      <w:r w:rsidRPr="00F46DB8">
        <w:t xml:space="preserve"> Board of Directors is to “develop a long-term strategy for success that would assure access to health for the next generation in the greater Franklin County region.” </w:t>
      </w:r>
    </w:p>
    <w:p w:rsidR="003D36EB" w:rsidRPr="00F46DB8" w:rsidRDefault="003D36EB" w:rsidP="003D36EB">
      <w:pPr>
        <w:pStyle w:val="NoSpacing"/>
      </w:pPr>
    </w:p>
    <w:p w:rsidR="003D36EB" w:rsidRDefault="003D36EB" w:rsidP="003D36EB">
      <w:pPr>
        <w:pStyle w:val="NoSpacing"/>
        <w:jc w:val="both"/>
      </w:pPr>
      <w:r w:rsidRPr="00F46DB8">
        <w:t xml:space="preserve">The applicant identified their service area as greater Franklin County, Maine and the adjoining towns of Livermore and Livermore Falls. Franklin County is a rural county with a population of 30,495 </w:t>
      </w:r>
      <w:r>
        <w:t>(2013 census estimate</w:t>
      </w:r>
      <w:r w:rsidR="00E94F16">
        <w:t xml:space="preserve">). </w:t>
      </w:r>
      <w:r>
        <w:t xml:space="preserve">According to the applicant, </w:t>
      </w:r>
      <w:r w:rsidR="00E52B34">
        <w:t>FMH</w:t>
      </w:r>
      <w:r w:rsidRPr="00F46DB8">
        <w:t xml:space="preserve"> provides approximately 60% of the region</w:t>
      </w:r>
      <w:r w:rsidR="00E52B34">
        <w:t>’</w:t>
      </w:r>
      <w:r w:rsidRPr="00F46DB8">
        <w:t>s need for inpatient hospital care and approximately 80% of the region</w:t>
      </w:r>
      <w:r w:rsidR="00E52B34">
        <w:t>’</w:t>
      </w:r>
      <w:r w:rsidRPr="00F46DB8">
        <w:t>s need for the community hospital level of service fo</w:t>
      </w:r>
      <w:r w:rsidR="00E94F16">
        <w:t>r usual and customary services.</w:t>
      </w:r>
      <w:r w:rsidRPr="00F46DB8">
        <w:t xml:space="preserve"> </w:t>
      </w:r>
      <w:r>
        <w:t>I</w:t>
      </w:r>
      <w:r w:rsidRPr="00F46DB8">
        <w:t>n 2011</w:t>
      </w:r>
      <w:r>
        <w:t>,</w:t>
      </w:r>
      <w:r w:rsidRPr="00F46DB8">
        <w:t xml:space="preserve"> FMH had 1,216, or 78.7% of the discharges for usual and customary services out of a total of 1,546 discharges for the Farmington service area</w:t>
      </w:r>
    </w:p>
    <w:p w:rsidR="000941E4" w:rsidRPr="00F46DB8" w:rsidRDefault="000941E4" w:rsidP="003D36EB">
      <w:pPr>
        <w:pStyle w:val="NoSpacing"/>
        <w:jc w:val="both"/>
      </w:pPr>
    </w:p>
    <w:p w:rsidR="003D36EB" w:rsidRPr="00F46DB8" w:rsidRDefault="003D36EB" w:rsidP="003D36EB">
      <w:pPr>
        <w:pStyle w:val="NoSpacing"/>
        <w:jc w:val="both"/>
      </w:pPr>
      <w:r w:rsidRPr="00F46DB8">
        <w:t>CONU expanded the analysis of inpatient</w:t>
      </w:r>
      <w:r w:rsidR="000941E4">
        <w:t xml:space="preserve"> utilization by utilizing </w:t>
      </w:r>
      <w:r w:rsidR="00E52B34">
        <w:t>MHDO</w:t>
      </w:r>
      <w:r w:rsidRPr="00F46DB8">
        <w:t xml:space="preserve"> hospital inpatient data from 2009 through 2011 for all services. CONU used data from the 29 towns the applicant identified as having the majority of the population in the service area</w:t>
      </w:r>
      <w:r w:rsidR="00E52B34">
        <w:t>,</w:t>
      </w:r>
      <w:r w:rsidRPr="00F46DB8">
        <w:t xml:space="preserve"> in order to provide a clear picture of where patients in this area receive services. </w:t>
      </w:r>
    </w:p>
    <w:p w:rsidR="003D36EB" w:rsidRDefault="003D36EB" w:rsidP="003D36EB">
      <w:pPr>
        <w:pStyle w:val="NoSpacing"/>
      </w:pPr>
    </w:p>
    <w:p w:rsidR="003D36EB" w:rsidRDefault="003D36EB" w:rsidP="003D36EB">
      <w:pPr>
        <w:pStyle w:val="NoSpacing"/>
        <w:jc w:val="both"/>
      </w:pPr>
      <w:r w:rsidRPr="00F46DB8">
        <w:t xml:space="preserve">This </w:t>
      </w:r>
      <w:r>
        <w:t xml:space="preserve">analysis </w:t>
      </w:r>
      <w:r w:rsidRPr="00F46DB8">
        <w:t xml:space="preserve">reveals that an average of 40% of service area residents receive services at </w:t>
      </w:r>
      <w:r w:rsidR="00E52B34">
        <w:t xml:space="preserve">FMH </w:t>
      </w:r>
      <w:r w:rsidRPr="00F46DB8">
        <w:t>while 30% receive services at Central Maine Medical</w:t>
      </w:r>
      <w:r w:rsidR="000941E4">
        <w:t xml:space="preserve"> Center</w:t>
      </w:r>
      <w:r w:rsidR="00E52B34">
        <w:t xml:space="preserve"> (CMMC)</w:t>
      </w:r>
      <w:r w:rsidRPr="00F46DB8">
        <w:t xml:space="preserve"> and related facilities (Rumford). 9% receive services at </w:t>
      </w:r>
      <w:r w:rsidR="00E52B34">
        <w:t>MMC</w:t>
      </w:r>
      <w:r w:rsidRPr="00F46DB8">
        <w:t xml:space="preserve"> in Portland.</w:t>
      </w:r>
      <w:r>
        <w:t xml:space="preserve"> A possible</w:t>
      </w:r>
      <w:r w:rsidRPr="00F46DB8">
        <w:t xml:space="preserve"> effect of a change in</w:t>
      </w:r>
      <w:r>
        <w:t xml:space="preserve"> </w:t>
      </w:r>
      <w:r w:rsidRPr="00F46DB8">
        <w:t xml:space="preserve">ownership on current referral patterns will be discussed in the Outcomes and Community Impact section of this analysis. </w:t>
      </w:r>
    </w:p>
    <w:p w:rsidR="003D36EB" w:rsidRPr="00F46DB8" w:rsidRDefault="003D36EB" w:rsidP="003D36EB">
      <w:pPr>
        <w:pStyle w:val="NoSpacing"/>
        <w:jc w:val="both"/>
      </w:pPr>
    </w:p>
    <w:p w:rsidR="003D36EB" w:rsidRPr="00F46DB8" w:rsidRDefault="003D36EB" w:rsidP="003D36EB">
      <w:pPr>
        <w:pStyle w:val="NoSpacing"/>
        <w:jc w:val="both"/>
      </w:pPr>
      <w:r>
        <w:t>T</w:t>
      </w:r>
      <w:r w:rsidRPr="00F46DB8">
        <w:t xml:space="preserve">here </w:t>
      </w:r>
      <w:r>
        <w:t>appears to be a</w:t>
      </w:r>
      <w:r w:rsidR="003B2AE5">
        <w:t xml:space="preserve"> </w:t>
      </w:r>
      <w:r w:rsidRPr="00F46DB8">
        <w:t xml:space="preserve">shift in services from rural to urban areas. This is consistent with national trends. </w:t>
      </w:r>
    </w:p>
    <w:p w:rsidR="00AE26CD" w:rsidRDefault="00AE26CD" w:rsidP="003D36EB">
      <w:pPr>
        <w:pStyle w:val="NoSpacing"/>
        <w:jc w:val="both"/>
      </w:pPr>
    </w:p>
    <w:p w:rsidR="003D36EB" w:rsidRPr="00F46DB8" w:rsidRDefault="003D36EB" w:rsidP="003D36EB">
      <w:pPr>
        <w:pStyle w:val="NoSpacing"/>
        <w:jc w:val="both"/>
      </w:pPr>
      <w:r w:rsidRPr="00F46DB8">
        <w:t>This project will substantially address specific health problems as measured by health needs in the area to be served by the project. The applicant provided a copy of FCHN’s Community Health Needs Assessment which identifies three priority concerns in their service area:</w:t>
      </w:r>
    </w:p>
    <w:p w:rsidR="003D36EB" w:rsidRPr="00F46DB8" w:rsidRDefault="003D36EB" w:rsidP="003D36EB">
      <w:pPr>
        <w:pStyle w:val="NoSpacing"/>
      </w:pPr>
    </w:p>
    <w:p w:rsidR="003D36EB" w:rsidRPr="00F46DB8" w:rsidRDefault="003D36EB" w:rsidP="003D36EB">
      <w:pPr>
        <w:pStyle w:val="NoSpacing"/>
        <w:ind w:left="900" w:hanging="450"/>
      </w:pPr>
      <w:r w:rsidRPr="00F46DB8">
        <w:t>1.</w:t>
      </w:r>
      <w:r w:rsidRPr="00F46DB8">
        <w:tab/>
        <w:t>Chronic Disease Management</w:t>
      </w:r>
    </w:p>
    <w:p w:rsidR="003D36EB" w:rsidRPr="00F46DB8" w:rsidRDefault="003D36EB" w:rsidP="003D36EB">
      <w:pPr>
        <w:pStyle w:val="NoSpacing"/>
        <w:ind w:left="900" w:hanging="450"/>
      </w:pPr>
      <w:r w:rsidRPr="00F46DB8">
        <w:t>2.</w:t>
      </w:r>
      <w:r w:rsidRPr="00F46DB8">
        <w:tab/>
        <w:t>Obesity</w:t>
      </w:r>
    </w:p>
    <w:p w:rsidR="003D36EB" w:rsidRPr="00F46DB8" w:rsidRDefault="003D36EB" w:rsidP="003D36EB">
      <w:pPr>
        <w:pStyle w:val="NoSpacing"/>
        <w:ind w:left="900" w:hanging="450"/>
      </w:pPr>
      <w:r w:rsidRPr="00F46DB8">
        <w:t>3.</w:t>
      </w:r>
      <w:r w:rsidRPr="00F46DB8">
        <w:tab/>
        <w:t>Colorectal Cancer</w:t>
      </w:r>
    </w:p>
    <w:p w:rsidR="003D36EB" w:rsidRDefault="003D36EB" w:rsidP="003D36EB">
      <w:pPr>
        <w:pStyle w:val="NoSpacing"/>
      </w:pPr>
    </w:p>
    <w:p w:rsidR="00AE26CD" w:rsidRDefault="00AE26CD" w:rsidP="003D36EB">
      <w:pPr>
        <w:pStyle w:val="NoSpacing"/>
        <w:jc w:val="both"/>
        <w:sectPr w:rsidR="00AE26CD">
          <w:pgSz w:w="12240" w:h="15840"/>
          <w:pgMar w:top="1440" w:right="1440" w:bottom="1440" w:left="1440" w:header="720" w:footer="720" w:gutter="0"/>
          <w:cols w:space="720"/>
          <w:docGrid w:linePitch="360"/>
        </w:sectPr>
      </w:pPr>
    </w:p>
    <w:p w:rsidR="003D36EB" w:rsidRPr="00F46DB8" w:rsidRDefault="003D36EB" w:rsidP="003D36EB">
      <w:pPr>
        <w:pStyle w:val="NoSpacing"/>
        <w:jc w:val="both"/>
      </w:pPr>
      <w:r w:rsidRPr="00F46DB8">
        <w:lastRenderedPageBreak/>
        <w:t xml:space="preserve">Other community health needs include dental care, domestic violence, fatal motor vehicle deaths, suicide and substance abuse. A review of </w:t>
      </w:r>
      <w:proofErr w:type="spellStart"/>
      <w:r w:rsidRPr="00F46DB8">
        <w:t>MaineHealth’s</w:t>
      </w:r>
      <w:proofErr w:type="spellEnd"/>
      <w:r w:rsidRPr="00F46DB8">
        <w:t xml:space="preserve"> 2013 Health Index report shows that MaineHealth has identified many of the same needs. By coordinating resources and collaborating on healthcare </w:t>
      </w:r>
      <w:r w:rsidR="00E94F16" w:rsidRPr="00F46DB8">
        <w:t>delivery,</w:t>
      </w:r>
      <w:r w:rsidRPr="00F46DB8">
        <w:t xml:space="preserve"> FCHN will be able to utilize resources more efficiently</w:t>
      </w:r>
      <w:r w:rsidR="00E52B34">
        <w:t>,</w:t>
      </w:r>
      <w:r w:rsidRPr="00F46DB8">
        <w:t xml:space="preserve"> and better serve its community on an ongoing basis. FCHN will be better positioned to continue its broad array of services</w:t>
      </w:r>
      <w:r w:rsidR="00E52B34">
        <w:t>,</w:t>
      </w:r>
      <w:r w:rsidRPr="00F46DB8">
        <w:t xml:space="preserve"> which includes a sole community hospital, a multi-specialty group practice providing physician services, an ambulance service, public health services and behavioral health services.</w:t>
      </w:r>
    </w:p>
    <w:p w:rsidR="003D36EB" w:rsidRPr="00F46DB8" w:rsidRDefault="003D36EB" w:rsidP="003D36EB">
      <w:pPr>
        <w:pStyle w:val="NoSpacing"/>
        <w:jc w:val="both"/>
      </w:pPr>
    </w:p>
    <w:p w:rsidR="003B2AE5" w:rsidRDefault="003D36EB" w:rsidP="003D36EB">
      <w:pPr>
        <w:pStyle w:val="NoSpacing"/>
        <w:jc w:val="both"/>
      </w:pPr>
      <w:r w:rsidRPr="00F46DB8">
        <w:t xml:space="preserve">The health status indicators of the population living in FCHN’s service area will be positively impacted by participating in </w:t>
      </w:r>
      <w:proofErr w:type="spellStart"/>
      <w:r w:rsidRPr="00F46DB8">
        <w:t>MaineHealth’s</w:t>
      </w:r>
      <w:proofErr w:type="spellEnd"/>
      <w:r w:rsidRPr="00F46DB8">
        <w:t xml:space="preserve"> health status improvement, clinical integration, population health management and quality improvement initiatives.</w:t>
      </w:r>
      <w:r w:rsidR="003B2AE5">
        <w:t xml:space="preserve"> </w:t>
      </w:r>
      <w:r w:rsidRPr="00F46DB8">
        <w:t>The services affected by the project will be accessible to all residents of the area proposed to be served. No changes to the services currently provided by FCHN are expected.</w:t>
      </w:r>
      <w:r w:rsidR="003B2AE5">
        <w:t xml:space="preserve"> </w:t>
      </w:r>
    </w:p>
    <w:p w:rsidR="003B2AE5" w:rsidRDefault="003B2AE5" w:rsidP="003D36EB">
      <w:pPr>
        <w:pStyle w:val="NoSpacing"/>
        <w:jc w:val="both"/>
      </w:pPr>
    </w:p>
    <w:p w:rsidR="003D36EB" w:rsidRPr="003B2AE5" w:rsidRDefault="003D36EB" w:rsidP="003D36EB">
      <w:pPr>
        <w:pStyle w:val="NoSpacing"/>
        <w:jc w:val="both"/>
      </w:pPr>
      <w:r w:rsidRPr="00F46DB8">
        <w:rPr>
          <w:position w:val="6"/>
          <w:szCs w:val="24"/>
        </w:rPr>
        <w:t>FCHN identified specific concerns regarding chronic disease management, obesity, colorectal cancer, dental care, domestic violence, fatal motor vehicle deaths, suicide and substance abuse in its service area. These health issues require ongoing monitoring. The following condition is necessary to ensure that the impact of community programs instituted to reduce these health issues will be as effective as forecast</w:t>
      </w:r>
      <w:r>
        <w:rPr>
          <w:position w:val="6"/>
          <w:szCs w:val="24"/>
        </w:rPr>
        <w:t>ed</w:t>
      </w:r>
      <w:r w:rsidRPr="00F46DB8">
        <w:rPr>
          <w:position w:val="6"/>
          <w:szCs w:val="24"/>
        </w:rPr>
        <w:t xml:space="preserve"> by the ap</w:t>
      </w:r>
      <w:r>
        <w:rPr>
          <w:position w:val="6"/>
          <w:szCs w:val="24"/>
        </w:rPr>
        <w:t>plicant.</w:t>
      </w:r>
    </w:p>
    <w:p w:rsidR="003D36EB" w:rsidRPr="00F46DB8" w:rsidRDefault="003D36EB" w:rsidP="003D36EB">
      <w:pPr>
        <w:pStyle w:val="NoSpacing"/>
        <w:jc w:val="both"/>
        <w:rPr>
          <w:position w:val="6"/>
          <w:szCs w:val="24"/>
        </w:rPr>
      </w:pPr>
    </w:p>
    <w:p w:rsidR="003D36EB" w:rsidRPr="00F46DB8" w:rsidRDefault="003D36EB" w:rsidP="003D36EB">
      <w:pPr>
        <w:pStyle w:val="NoSpacing"/>
        <w:jc w:val="both"/>
        <w:rPr>
          <w:position w:val="6"/>
          <w:szCs w:val="24"/>
        </w:rPr>
      </w:pPr>
      <w:r w:rsidRPr="00F46DB8">
        <w:rPr>
          <w:b/>
          <w:position w:val="6"/>
          <w:szCs w:val="24"/>
          <w:u w:val="single"/>
        </w:rPr>
        <w:t>Condition</w:t>
      </w:r>
      <w:r w:rsidRPr="00F46DB8">
        <w:rPr>
          <w:position w:val="6"/>
          <w:szCs w:val="24"/>
        </w:rPr>
        <w:t>: The applicant is to report improvements in quality and outcome measures related to the community services instituted to reduce chronic disease, obesity, colorectal cancer, dental care, domestic violence, fatal motor vehicle deaths, suicide and substance abuse. This report will be required on an annual basis within 90 days of its fiscal year end beginning with the time period when the Certificate of Need was approved until a full three years have elapsed since the date of the project commencement.</w:t>
      </w:r>
    </w:p>
    <w:p w:rsidR="003D36EB" w:rsidRDefault="003D36EB" w:rsidP="003D36EB">
      <w:pPr>
        <w:pStyle w:val="NoSpacing"/>
      </w:pPr>
    </w:p>
    <w:p w:rsidR="003D36EB" w:rsidRPr="00300B2B" w:rsidRDefault="003D36EB" w:rsidP="003B2AE5">
      <w:pPr>
        <w:pStyle w:val="NoSpacing"/>
        <w:numPr>
          <w:ilvl w:val="0"/>
          <w:numId w:val="11"/>
        </w:numPr>
        <w:ind w:hanging="720"/>
        <w:rPr>
          <w:b/>
          <w:szCs w:val="24"/>
        </w:rPr>
      </w:pPr>
      <w:r w:rsidRPr="00300B2B">
        <w:rPr>
          <w:b/>
          <w:szCs w:val="24"/>
        </w:rPr>
        <w:t>Orderly and Economic Development:</w:t>
      </w:r>
    </w:p>
    <w:p w:rsidR="003D36EB" w:rsidRPr="00F46DB8" w:rsidRDefault="003D36EB" w:rsidP="003D36EB">
      <w:pPr>
        <w:pStyle w:val="NoSpacing"/>
      </w:pPr>
    </w:p>
    <w:p w:rsidR="003D36EB" w:rsidRPr="00F46DB8" w:rsidRDefault="003D36EB" w:rsidP="003D36EB">
      <w:pPr>
        <w:pStyle w:val="NoSpacing"/>
        <w:jc w:val="both"/>
      </w:pPr>
      <w:r w:rsidRPr="00F46DB8">
        <w:t>Based on the financial module submitted by the applicant</w:t>
      </w:r>
      <w:r w:rsidR="00143E81">
        <w:t>,</w:t>
      </w:r>
      <w:r w:rsidRPr="00F46DB8">
        <w:t xml:space="preserve"> 3</w:t>
      </w:r>
      <w:r w:rsidR="000941E4">
        <w:rPr>
          <w:vertAlign w:val="superscript"/>
        </w:rPr>
        <w:t xml:space="preserve">rd </w:t>
      </w:r>
      <w:r w:rsidRPr="00F46DB8">
        <w:t>year incremental operating costs are projected to show a savings, therefore no projected increase in MaineCare funds will be needed to fund this project through the 3</w:t>
      </w:r>
      <w:r w:rsidRPr="00F46DB8">
        <w:rPr>
          <w:vertAlign w:val="superscript"/>
        </w:rPr>
        <w:t>rd</w:t>
      </w:r>
      <w:r w:rsidR="000941E4">
        <w:t xml:space="preserve"> </w:t>
      </w:r>
      <w:r w:rsidRPr="00F46DB8">
        <w:t xml:space="preserve">year of operation (2017). Further, this project does not result in the development of any new health services, involve the acquisition of any major medical equipment, involve a change in the licensed bed complement of </w:t>
      </w:r>
      <w:r w:rsidR="00143E81">
        <w:t>FMH</w:t>
      </w:r>
      <w:r w:rsidRPr="00F46DB8">
        <w:t xml:space="preserve"> or require any major capital expenditures.</w:t>
      </w:r>
    </w:p>
    <w:p w:rsidR="00AE26CD" w:rsidRDefault="00AE26CD" w:rsidP="003D36EB">
      <w:pPr>
        <w:pStyle w:val="NoSpacing"/>
        <w:jc w:val="both"/>
      </w:pPr>
    </w:p>
    <w:p w:rsidR="003D36EB" w:rsidRDefault="003D36EB" w:rsidP="003D36EB">
      <w:pPr>
        <w:pStyle w:val="NoSpacing"/>
        <w:jc w:val="both"/>
      </w:pPr>
      <w:r w:rsidRPr="00F46DB8">
        <w:t xml:space="preserve">FCHN will benefit from participation in </w:t>
      </w:r>
      <w:proofErr w:type="spellStart"/>
      <w:r w:rsidRPr="00F46DB8">
        <w:t>MaineHealth’s</w:t>
      </w:r>
      <w:proofErr w:type="spellEnd"/>
      <w:r w:rsidRPr="00F46DB8">
        <w:t xml:space="preserve"> employee health plan, workers</w:t>
      </w:r>
      <w:r w:rsidR="00143E81">
        <w:t>’</w:t>
      </w:r>
      <w:r w:rsidRPr="00F46DB8">
        <w:t xml:space="preserve"> compensation trust, purchasing programs, vendor contracts, Maine Medical Partners physician practice management, laundry services and an array of financial services. </w:t>
      </w:r>
      <w:proofErr w:type="spellStart"/>
      <w:r w:rsidR="00E94F16" w:rsidRPr="00F46DB8">
        <w:t>MaineHealth</w:t>
      </w:r>
      <w:r w:rsidR="00E94F16">
        <w:t>'</w:t>
      </w:r>
      <w:r w:rsidR="00E94F16" w:rsidRPr="00F46DB8">
        <w:t>s</w:t>
      </w:r>
      <w:proofErr w:type="spellEnd"/>
      <w:r w:rsidRPr="00F46DB8">
        <w:t xml:space="preserve"> economies of scale enable its members to purchase goods and services at reduced prices. Based on the financial module submitted by the applicant</w:t>
      </w:r>
      <w:r w:rsidR="00143E81">
        <w:t>,</w:t>
      </w:r>
      <w:r w:rsidRPr="00F46DB8">
        <w:t xml:space="preserve"> operating costs are projected to decline by $522,941 between year 1 and year 3 of the project. FCHN’s membership fee of $375,000 will be offset by immediate savings of $200,000 in </w:t>
      </w:r>
      <w:r w:rsidR="00E94F16" w:rsidRPr="00F46DB8">
        <w:t>lab-contracted</w:t>
      </w:r>
      <w:r w:rsidRPr="00F46DB8">
        <w:t xml:space="preserve"> services, $100,000 in insurance premiums and $75,000 in legal fees.</w:t>
      </w:r>
    </w:p>
    <w:p w:rsidR="003D36EB" w:rsidRPr="00F46DB8" w:rsidRDefault="003D36EB" w:rsidP="003D36EB">
      <w:pPr>
        <w:pStyle w:val="NoSpacing"/>
        <w:jc w:val="both"/>
      </w:pPr>
    </w:p>
    <w:p w:rsidR="003D36EB" w:rsidRPr="00F46DB8" w:rsidRDefault="003D36EB" w:rsidP="003D36EB">
      <w:pPr>
        <w:pStyle w:val="NoSpacing"/>
        <w:jc w:val="both"/>
      </w:pPr>
      <w:r w:rsidRPr="00F46DB8">
        <w:lastRenderedPageBreak/>
        <w:t>The Board of FCHN considered several st</w:t>
      </w:r>
      <w:r w:rsidR="0005170C">
        <w:t xml:space="preserve">rategic alternatives to </w:t>
      </w:r>
      <w:r w:rsidR="00143E81">
        <w:t>becoming</w:t>
      </w:r>
      <w:r w:rsidR="00143E81" w:rsidRPr="00F46DB8">
        <w:t xml:space="preserve"> </w:t>
      </w:r>
      <w:r w:rsidRPr="00F46DB8">
        <w:t>a member of MaineHealth. These alternatives included affiliating with a number of other integrated healthcare delivery systems</w:t>
      </w:r>
      <w:r w:rsidR="00143E81">
        <w:t>,</w:t>
      </w:r>
      <w:r w:rsidRPr="00F46DB8">
        <w:t xml:space="preserve"> and remaining independent. The benefits of becoming a member of MaineHealth made it the best alternative.</w:t>
      </w:r>
    </w:p>
    <w:p w:rsidR="003D36EB" w:rsidRPr="00F46DB8" w:rsidRDefault="003D36EB" w:rsidP="003D36EB">
      <w:pPr>
        <w:pStyle w:val="NoSpacing"/>
        <w:jc w:val="both"/>
      </w:pPr>
    </w:p>
    <w:p w:rsidR="003D36EB" w:rsidRPr="00F46DB8" w:rsidRDefault="003D36EB" w:rsidP="003D36EB">
      <w:pPr>
        <w:pStyle w:val="NoSpacing"/>
        <w:jc w:val="both"/>
      </w:pPr>
      <w:r w:rsidRPr="00F46DB8">
        <w:t>The Hart-Scott-</w:t>
      </w:r>
      <w:proofErr w:type="spellStart"/>
      <w:r w:rsidRPr="00F46DB8">
        <w:t>Rodino</w:t>
      </w:r>
      <w:proofErr w:type="spellEnd"/>
      <w:r w:rsidR="0005170C">
        <w:t xml:space="preserve"> (HSR)</w:t>
      </w:r>
      <w:r w:rsidRPr="00F46DB8">
        <w:t xml:space="preserve"> Act established the federal premerger notification program, which provides the F</w:t>
      </w:r>
      <w:r w:rsidR="0005170C">
        <w:t xml:space="preserve">ederal </w:t>
      </w:r>
      <w:r w:rsidRPr="00F46DB8">
        <w:t>T</w:t>
      </w:r>
      <w:r w:rsidR="0005170C">
        <w:t xml:space="preserve">rade </w:t>
      </w:r>
      <w:r w:rsidRPr="00F46DB8">
        <w:t>C</w:t>
      </w:r>
      <w:r w:rsidR="0005170C">
        <w:t>ommission (FTC)</w:t>
      </w:r>
      <w:r w:rsidRPr="00F46DB8">
        <w:t xml:space="preserve"> and the Department of Justice</w:t>
      </w:r>
      <w:r w:rsidR="0005170C">
        <w:t xml:space="preserve"> (DOJ)</w:t>
      </w:r>
      <w:r w:rsidRPr="00F46DB8">
        <w:t xml:space="preserve"> with information about large mergers and acquisitions before they occur. The parties to certain proposed transactions must submit premerger notification to the FTC and DOJ. Premerger notification involves completing an HSR Form, also called a “Notification and Report Form for Certain Mergers and Acquisitions,” with information about each company’s business. The parties may not close their deal until the waiting period outlined in the HSR Act has passed, or the government has granted early termination of the waiting period.</w:t>
      </w:r>
    </w:p>
    <w:p w:rsidR="003D36EB" w:rsidRDefault="003D36EB" w:rsidP="003D36EB">
      <w:pPr>
        <w:pStyle w:val="NoSpacing"/>
        <w:jc w:val="both"/>
      </w:pPr>
    </w:p>
    <w:p w:rsidR="003D36EB" w:rsidRPr="00F46DB8" w:rsidRDefault="003D36EB" w:rsidP="003D36EB">
      <w:pPr>
        <w:pStyle w:val="NoSpacing"/>
        <w:jc w:val="both"/>
      </w:pPr>
      <w:r w:rsidRPr="00F46DB8">
        <w:t>This notification is required for certain transactions</w:t>
      </w:r>
      <w:r w:rsidR="00143E81">
        <w:t>,</w:t>
      </w:r>
      <w:r w:rsidRPr="00F46DB8">
        <w:t xml:space="preserve"> where one party has annual net service revenues in excess of the $151.7 million size</w:t>
      </w:r>
      <w:r w:rsidR="00143E81">
        <w:t>-</w:t>
      </w:r>
      <w:r w:rsidRPr="00F46DB8">
        <w:t>of</w:t>
      </w:r>
      <w:r w:rsidR="00143E81">
        <w:t>-</w:t>
      </w:r>
      <w:r w:rsidRPr="00F46DB8">
        <w:t>parties threshold</w:t>
      </w:r>
      <w:r w:rsidR="00143E81">
        <w:t>,</w:t>
      </w:r>
      <w:r w:rsidRPr="00F46DB8">
        <w:t xml:space="preserve"> and the other party has annual net service revenues in excess of the $15.2 million size</w:t>
      </w:r>
      <w:r w:rsidR="00143E81">
        <w:t>-</w:t>
      </w:r>
      <w:r w:rsidRPr="00F46DB8">
        <w:t>of</w:t>
      </w:r>
      <w:r w:rsidR="00143E81">
        <w:t>-</w:t>
      </w:r>
      <w:r w:rsidRPr="00F46DB8">
        <w:t>parties threshold. This transaction exceeds the size of parties’ thresholds.</w:t>
      </w:r>
    </w:p>
    <w:p w:rsidR="003D36EB" w:rsidRPr="00F46DB8" w:rsidRDefault="003D36EB" w:rsidP="003D36EB">
      <w:pPr>
        <w:pStyle w:val="NoSpacing"/>
        <w:jc w:val="both"/>
      </w:pPr>
    </w:p>
    <w:p w:rsidR="003D36EB" w:rsidRPr="00F46DB8" w:rsidRDefault="003D36EB" w:rsidP="003D36EB">
      <w:pPr>
        <w:pStyle w:val="NoSpacing"/>
        <w:jc w:val="both"/>
      </w:pPr>
      <w:r w:rsidRPr="00F46DB8">
        <w:t>Within 60 days of closing MaineHealth will need to determine if FCHN’s book value exceeds the size-of-transaction threshold of $75.9 million.</w:t>
      </w:r>
    </w:p>
    <w:p w:rsidR="003D36EB" w:rsidRPr="00F46DB8" w:rsidRDefault="003D36EB" w:rsidP="003D36EB">
      <w:pPr>
        <w:pStyle w:val="NoSpacing"/>
        <w:jc w:val="both"/>
      </w:pPr>
    </w:p>
    <w:p w:rsidR="003D36EB" w:rsidRPr="00F46DB8" w:rsidRDefault="003D36EB" w:rsidP="003D36EB">
      <w:pPr>
        <w:pStyle w:val="NoSpacing"/>
        <w:jc w:val="both"/>
      </w:pPr>
      <w:r w:rsidRPr="00F46DB8">
        <w:t xml:space="preserve">The CONU will need to monitor the status of the </w:t>
      </w:r>
      <w:r w:rsidR="00143E81">
        <w:t xml:space="preserve">HSR </w:t>
      </w:r>
      <w:r w:rsidRPr="00F46DB8">
        <w:t>process and will require the following condition:</w:t>
      </w:r>
    </w:p>
    <w:p w:rsidR="003D36EB" w:rsidRPr="00F46DB8" w:rsidRDefault="003D36EB" w:rsidP="003D36EB">
      <w:pPr>
        <w:pStyle w:val="NoSpacing"/>
        <w:jc w:val="both"/>
      </w:pPr>
    </w:p>
    <w:p w:rsidR="003D36EB" w:rsidRPr="00F46DB8" w:rsidRDefault="003D36EB" w:rsidP="003D36EB">
      <w:pPr>
        <w:pStyle w:val="NoSpacing"/>
        <w:jc w:val="both"/>
      </w:pPr>
      <w:r w:rsidRPr="00E53A5B">
        <w:rPr>
          <w:b/>
          <w:u w:val="single"/>
        </w:rPr>
        <w:t>Condition</w:t>
      </w:r>
      <w:r w:rsidRPr="00F46DB8">
        <w:t>: MaineHealth will notify DHHS whether it intends to make a Notice and Report filing with the Federal Trade Commission under the HSR Act.</w:t>
      </w:r>
    </w:p>
    <w:p w:rsidR="003D36EB" w:rsidRDefault="003D36EB" w:rsidP="003D36EB">
      <w:pPr>
        <w:pStyle w:val="NoSpacing"/>
      </w:pPr>
    </w:p>
    <w:p w:rsidR="003D36EB" w:rsidRPr="00F46DB8" w:rsidRDefault="003D36EB" w:rsidP="003D36EB">
      <w:pPr>
        <w:pStyle w:val="NoSpacing"/>
        <w:jc w:val="both"/>
      </w:pPr>
      <w:r w:rsidRPr="00F46DB8">
        <w:t>If MaineHealth makes a Notice and Report HSR filing, MaineHealth will:</w:t>
      </w:r>
    </w:p>
    <w:p w:rsidR="003D36EB" w:rsidRPr="00F46DB8" w:rsidRDefault="003D36EB" w:rsidP="003D36EB">
      <w:pPr>
        <w:pStyle w:val="NoSpacing"/>
      </w:pPr>
    </w:p>
    <w:p w:rsidR="003D36EB" w:rsidRPr="00F46DB8" w:rsidRDefault="003D36EB" w:rsidP="003D36EB">
      <w:pPr>
        <w:pStyle w:val="NoSpacing"/>
        <w:ind w:left="720"/>
        <w:jc w:val="both"/>
      </w:pPr>
      <w:r w:rsidRPr="00F46DB8">
        <w:t xml:space="preserve">- Provide to DHHS any letter from the </w:t>
      </w:r>
      <w:r w:rsidR="00143E81">
        <w:t>FTC</w:t>
      </w:r>
      <w:r w:rsidRPr="00F46DB8">
        <w:t xml:space="preserve"> acknowledging the filing of the Notice and report.</w:t>
      </w:r>
    </w:p>
    <w:p w:rsidR="003D36EB" w:rsidRPr="00F46DB8" w:rsidRDefault="003D36EB" w:rsidP="003D36EB">
      <w:pPr>
        <w:pStyle w:val="NoSpacing"/>
      </w:pPr>
    </w:p>
    <w:p w:rsidR="003D36EB" w:rsidRPr="00F46DB8" w:rsidRDefault="003D36EB" w:rsidP="003D36EB">
      <w:pPr>
        <w:pStyle w:val="NoSpacing"/>
        <w:ind w:left="720"/>
        <w:jc w:val="both"/>
      </w:pPr>
      <w:r w:rsidRPr="00F46DB8">
        <w:t xml:space="preserve">- Notify DHHS if the </w:t>
      </w:r>
      <w:r w:rsidR="00143E81">
        <w:t>FTC</w:t>
      </w:r>
      <w:r w:rsidRPr="00F46DB8">
        <w:t xml:space="preserve"> or </w:t>
      </w:r>
      <w:r w:rsidR="00143E81">
        <w:t>DOJ</w:t>
      </w:r>
      <w:r w:rsidRPr="00F46DB8">
        <w:t xml:space="preserve"> has granted a request for early termination of 30-day waiting period requirement; or if the </w:t>
      </w:r>
      <w:r w:rsidR="00143E81">
        <w:t>FTC</w:t>
      </w:r>
      <w:r w:rsidRPr="00F46DB8">
        <w:t xml:space="preserve"> or </w:t>
      </w:r>
      <w:r w:rsidR="00143E81">
        <w:t>DOJ</w:t>
      </w:r>
      <w:r w:rsidRPr="00F46DB8">
        <w:t xml:space="preserve"> has made a formal request for additional information that would extend the </w:t>
      </w:r>
      <w:r w:rsidR="00E94F16" w:rsidRPr="00F46DB8">
        <w:t>30-day</w:t>
      </w:r>
      <w:r w:rsidRPr="00F46DB8">
        <w:t xml:space="preserve"> waiting period. </w:t>
      </w:r>
    </w:p>
    <w:p w:rsidR="003D36EB" w:rsidRPr="00F46DB8" w:rsidRDefault="003D36EB" w:rsidP="003D36EB">
      <w:pPr>
        <w:pStyle w:val="NoSpacing"/>
        <w:ind w:left="720"/>
        <w:jc w:val="both"/>
      </w:pPr>
      <w:r w:rsidRPr="00F46DB8">
        <w:t xml:space="preserve">- Notify DHHS if the </w:t>
      </w:r>
      <w:r w:rsidR="00143E81">
        <w:t>FTC</w:t>
      </w:r>
      <w:r w:rsidRPr="00F46DB8">
        <w:t xml:space="preserve"> or </w:t>
      </w:r>
      <w:r w:rsidR="00143E81">
        <w:t>DOJ</w:t>
      </w:r>
      <w:r w:rsidRPr="00F46DB8">
        <w:t xml:space="preserve"> has allowed the waiting period a</w:t>
      </w:r>
      <w:r w:rsidR="0005170C">
        <w:t>n</w:t>
      </w:r>
      <w:r w:rsidRPr="00F46DB8">
        <w:t>d any subsequent extension to lapse without taking further action, thereby allowing the transaction to occur.</w:t>
      </w:r>
    </w:p>
    <w:p w:rsidR="003D36EB" w:rsidRPr="00E53A5B" w:rsidRDefault="003D36EB" w:rsidP="003D36EB">
      <w:pPr>
        <w:pStyle w:val="NoSpacing"/>
      </w:pPr>
    </w:p>
    <w:p w:rsidR="003D36EB" w:rsidRPr="00F46DB8" w:rsidRDefault="003D36EB" w:rsidP="003B2AE5">
      <w:pPr>
        <w:pStyle w:val="NoSpacing"/>
        <w:numPr>
          <w:ilvl w:val="0"/>
          <w:numId w:val="11"/>
        </w:numPr>
        <w:ind w:hanging="720"/>
        <w:rPr>
          <w:b/>
          <w:szCs w:val="24"/>
        </w:rPr>
      </w:pPr>
      <w:r w:rsidRPr="00F46DB8">
        <w:rPr>
          <w:b/>
          <w:szCs w:val="24"/>
        </w:rPr>
        <w:t>Outcomes and Community Impact:</w:t>
      </w:r>
    </w:p>
    <w:p w:rsidR="003D36EB" w:rsidRPr="00F46DB8" w:rsidRDefault="003D36EB" w:rsidP="003D36EB">
      <w:pPr>
        <w:pStyle w:val="NoSpacing"/>
      </w:pPr>
    </w:p>
    <w:p w:rsidR="003D36EB" w:rsidRPr="00F46DB8" w:rsidRDefault="003D36EB" w:rsidP="003D36EB">
      <w:pPr>
        <w:pStyle w:val="NoSpacing"/>
        <w:jc w:val="both"/>
      </w:pPr>
      <w:r w:rsidRPr="00F46DB8">
        <w:t>Both FCHN and MaineHealth have received numerous awards for delivering quality care</w:t>
      </w:r>
      <w:r>
        <w:t>.</w:t>
      </w:r>
      <w:r w:rsidRPr="00F46DB8">
        <w:t xml:space="preserve"> FMH will continue its Quality Management Process which relies on </w:t>
      </w:r>
      <w:r w:rsidR="00143E81">
        <w:t>q</w:t>
      </w:r>
      <w:r w:rsidR="00143E81" w:rsidRPr="00F46DB8">
        <w:t xml:space="preserve">uality </w:t>
      </w:r>
      <w:r w:rsidR="00143E81">
        <w:t>a</w:t>
      </w:r>
      <w:r w:rsidR="00143E81" w:rsidRPr="00F46DB8">
        <w:t xml:space="preserve">ssurance </w:t>
      </w:r>
      <w:r w:rsidRPr="00F46DB8">
        <w:t xml:space="preserve">and </w:t>
      </w:r>
      <w:r w:rsidR="00143E81">
        <w:t>p</w:t>
      </w:r>
      <w:r w:rsidR="00143E81" w:rsidRPr="00F46DB8">
        <w:t xml:space="preserve">erformance </w:t>
      </w:r>
      <w:r w:rsidR="00143E81">
        <w:t>i</w:t>
      </w:r>
      <w:r w:rsidR="00143E81" w:rsidRPr="00F46DB8">
        <w:t xml:space="preserve">mprovement </w:t>
      </w:r>
      <w:r w:rsidR="00143E81">
        <w:t xml:space="preserve">initiatives </w:t>
      </w:r>
      <w:proofErr w:type="gramStart"/>
      <w:r w:rsidR="00143E81">
        <w:t xml:space="preserve">focused </w:t>
      </w:r>
      <w:r w:rsidRPr="00F46DB8">
        <w:t xml:space="preserve"> on</w:t>
      </w:r>
      <w:proofErr w:type="gramEnd"/>
      <w:r w:rsidRPr="00F46DB8">
        <w:t xml:space="preserve"> safety, effectiveness, patient-centered care, timeliness, efficiency and equity. FMHC membership in MaineHealth will allow for system-wide standardization, increased </w:t>
      </w:r>
      <w:r w:rsidR="00E94F16" w:rsidRPr="00F46DB8">
        <w:t>collaboration, communication,</w:t>
      </w:r>
      <w:r w:rsidRPr="00F46DB8">
        <w:t xml:space="preserve"> and reduction in waste. MaineHealth </w:t>
      </w:r>
      <w:r w:rsidRPr="00F46DB8">
        <w:lastRenderedPageBreak/>
        <w:t xml:space="preserve">and has developed a series of 19 clinical quality metrics that capture the three areas of </w:t>
      </w:r>
      <w:r w:rsidR="007D3EB3">
        <w:t>emphasis</w:t>
      </w:r>
      <w:r w:rsidRPr="00F46DB8">
        <w:t xml:space="preserve"> including better care, better health, and better patient expenditures. Education, transparency and accountability across the entire system will enhance high quality outcomes.</w:t>
      </w:r>
    </w:p>
    <w:p w:rsidR="003D36EB" w:rsidRDefault="003D36EB" w:rsidP="003D36EB">
      <w:pPr>
        <w:pStyle w:val="NoSpacing"/>
        <w:jc w:val="both"/>
      </w:pPr>
    </w:p>
    <w:p w:rsidR="003D36EB" w:rsidRPr="00F46DB8" w:rsidRDefault="003D36EB" w:rsidP="003D36EB">
      <w:pPr>
        <w:pStyle w:val="NoSpacing"/>
        <w:jc w:val="both"/>
      </w:pPr>
      <w:r w:rsidRPr="00F46DB8">
        <w:t xml:space="preserve">As noted in the public need section of this analysis a significant number of patients in the FCHN patient service area receive services </w:t>
      </w:r>
      <w:proofErr w:type="gramStart"/>
      <w:r w:rsidRPr="00F46DB8">
        <w:t>elsewhere.</w:t>
      </w:r>
      <w:proofErr w:type="gramEnd"/>
      <w:r w:rsidRPr="00F46DB8">
        <w:t xml:space="preserve"> Of particular note is that 30% of the patients receive services at </w:t>
      </w:r>
      <w:r w:rsidR="00143E81">
        <w:t>CMMC</w:t>
      </w:r>
      <w:r w:rsidRPr="00F46DB8">
        <w:t xml:space="preserve"> and related facilities while only 9% receive services at </w:t>
      </w:r>
      <w:r w:rsidR="00143E81">
        <w:t>MMC</w:t>
      </w:r>
      <w:r w:rsidRPr="00F46DB8">
        <w:t xml:space="preserve">. The applicant states that </w:t>
      </w:r>
      <w:r w:rsidR="00506183">
        <w:t>“</w:t>
      </w:r>
      <w:r w:rsidRPr="00F46DB8">
        <w:t>all referrals will continue to be based on an assessment of the patient’s needs, the resources available and reasonably accessible by the patient and the patient’s preference,</w:t>
      </w:r>
      <w:r w:rsidR="00506183">
        <w:t>”</w:t>
      </w:r>
      <w:r w:rsidRPr="00F46DB8">
        <w:t xml:space="preserve"> therefore historical referral patterns will </w:t>
      </w:r>
      <w:r w:rsidR="00143E81">
        <w:t xml:space="preserve">likely </w:t>
      </w:r>
      <w:r w:rsidRPr="00F46DB8">
        <w:t xml:space="preserve">remain unchanged. It is important that CONU monitor the referral patterns. As a </w:t>
      </w:r>
      <w:r w:rsidR="00E94F16" w:rsidRPr="00F46DB8">
        <w:t>result,</w:t>
      </w:r>
      <w:r w:rsidRPr="00F46DB8">
        <w:t xml:space="preserve"> CONU is including the following condition.</w:t>
      </w:r>
    </w:p>
    <w:p w:rsidR="003D36EB" w:rsidRPr="00F46DB8" w:rsidRDefault="003D36EB" w:rsidP="003D36EB">
      <w:pPr>
        <w:pStyle w:val="NoSpacing"/>
        <w:jc w:val="both"/>
      </w:pPr>
    </w:p>
    <w:p w:rsidR="003D36EB" w:rsidRDefault="003D36EB" w:rsidP="003D36EB">
      <w:pPr>
        <w:pStyle w:val="NoSpacing"/>
        <w:jc w:val="both"/>
      </w:pPr>
      <w:r w:rsidRPr="00F46DB8">
        <w:rPr>
          <w:b/>
          <w:u w:val="single"/>
        </w:rPr>
        <w:t>Condition</w:t>
      </w:r>
      <w:r w:rsidRPr="00F46DB8">
        <w:t>: The applicant is to report referral patterns in the FCHN service area. The report will include the patients’ diagnosis, permanent residence</w:t>
      </w:r>
      <w:r w:rsidR="00143E81">
        <w:t>,</w:t>
      </w:r>
      <w:r w:rsidRPr="00F46DB8">
        <w:t xml:space="preserve"> and hospital where the patient</w:t>
      </w:r>
      <w:r w:rsidR="0041598E">
        <w:t>s</w:t>
      </w:r>
      <w:r w:rsidRPr="00F46DB8">
        <w:t xml:space="preserve"> receive services. This report will be required on an annual basis within 90 days of its fiscal year end</w:t>
      </w:r>
      <w:r w:rsidR="00143E81">
        <w:t>,</w:t>
      </w:r>
      <w:r w:rsidRPr="00F46DB8">
        <w:t xml:space="preserve"> beginning with the time when the </w:t>
      </w:r>
      <w:r w:rsidR="00143E81">
        <w:t>CON</w:t>
      </w:r>
      <w:r w:rsidRPr="00F46DB8">
        <w:t xml:space="preserve"> was approved until a full three years have elapsed since the date of the project commencement.</w:t>
      </w:r>
    </w:p>
    <w:p w:rsidR="003B2AE5" w:rsidRDefault="003B2AE5" w:rsidP="003D36EB">
      <w:pPr>
        <w:pStyle w:val="NoSpacing"/>
        <w:jc w:val="both"/>
      </w:pPr>
    </w:p>
    <w:p w:rsidR="003B2AE5" w:rsidRPr="00300B2B" w:rsidRDefault="003B2AE5" w:rsidP="003B2AE5">
      <w:pPr>
        <w:pStyle w:val="NoSpacing"/>
        <w:numPr>
          <w:ilvl w:val="0"/>
          <w:numId w:val="11"/>
        </w:numPr>
        <w:ind w:hanging="720"/>
        <w:rPr>
          <w:b/>
          <w:szCs w:val="24"/>
        </w:rPr>
      </w:pPr>
      <w:r w:rsidRPr="00300B2B">
        <w:rPr>
          <w:b/>
          <w:szCs w:val="24"/>
        </w:rPr>
        <w:t>Service Utilization:</w:t>
      </w:r>
    </w:p>
    <w:p w:rsidR="003B2AE5" w:rsidRPr="00F46DB8" w:rsidRDefault="003B2AE5" w:rsidP="003B2AE5">
      <w:pPr>
        <w:pStyle w:val="NoSpacing"/>
      </w:pPr>
    </w:p>
    <w:p w:rsidR="003B2AE5" w:rsidRDefault="003B2AE5" w:rsidP="003B2AE5">
      <w:pPr>
        <w:pStyle w:val="NoSpacing"/>
        <w:jc w:val="both"/>
      </w:pPr>
      <w:r w:rsidRPr="00F46DB8">
        <w:t>This project will not result in an inappropriate increase in service utilization in the Franklin County area. No new services or facilities have been developed due to this project</w:t>
      </w:r>
      <w:r w:rsidR="00143E81">
        <w:t>,</w:t>
      </w:r>
      <w:r w:rsidRPr="00F46DB8">
        <w:t xml:space="preserve"> and FCHN’s service area remains unchanged. </w:t>
      </w:r>
      <w:r w:rsidR="00E94F16" w:rsidRPr="00F46DB8">
        <w:t xml:space="preserve">One of the goals of membership in MaineHealth is to adopt </w:t>
      </w:r>
      <w:proofErr w:type="spellStart"/>
      <w:r w:rsidR="00E94F16" w:rsidRPr="00F46DB8">
        <w:t>MaineHealth’s</w:t>
      </w:r>
      <w:proofErr w:type="spellEnd"/>
      <w:r w:rsidR="00E94F16" w:rsidRPr="00F46DB8">
        <w:t xml:space="preserve"> evidence-based, best practice</w:t>
      </w:r>
      <w:r w:rsidR="00E94F16">
        <w:t xml:space="preserve">s for </w:t>
      </w:r>
      <w:r w:rsidR="00E94F16" w:rsidRPr="00F46DB8">
        <w:t xml:space="preserve">health status improvement and clinical integration initiatives in order to </w:t>
      </w:r>
      <w:r w:rsidR="00E94F16">
        <w:t>improve utilization.</w:t>
      </w:r>
    </w:p>
    <w:p w:rsidR="003B2AE5" w:rsidRPr="00F46DB8" w:rsidRDefault="003B2AE5" w:rsidP="003B2AE5">
      <w:pPr>
        <w:pStyle w:val="NoSpacing"/>
        <w:jc w:val="both"/>
        <w:rPr>
          <w:sz w:val="22"/>
          <w:szCs w:val="22"/>
        </w:rPr>
      </w:pPr>
    </w:p>
    <w:p w:rsidR="003B2AE5" w:rsidRPr="00E53A5B" w:rsidRDefault="003B2AE5" w:rsidP="003B2AE5">
      <w:pPr>
        <w:pStyle w:val="NoSpacing"/>
        <w:rPr>
          <w:b/>
        </w:rPr>
      </w:pPr>
      <w:r w:rsidRPr="00E53A5B">
        <w:rPr>
          <w:b/>
        </w:rPr>
        <w:t>VI. CONCLUSION:</w:t>
      </w:r>
    </w:p>
    <w:p w:rsidR="003B2AE5" w:rsidRPr="00F46DB8" w:rsidRDefault="003B2AE5" w:rsidP="003B2AE5">
      <w:pPr>
        <w:pStyle w:val="NoSpacing"/>
        <w:jc w:val="both"/>
      </w:pPr>
    </w:p>
    <w:p w:rsidR="003B2AE5" w:rsidRPr="00F46DB8" w:rsidRDefault="003B2AE5" w:rsidP="003B2AE5">
      <w:pPr>
        <w:pStyle w:val="NoSpacing"/>
        <w:jc w:val="both"/>
        <w:rPr>
          <w:szCs w:val="24"/>
        </w:rPr>
      </w:pPr>
      <w:r w:rsidRPr="00F46DB8">
        <w:rPr>
          <w:szCs w:val="24"/>
        </w:rPr>
        <w:t xml:space="preserve">For all the reasons set forth in the Preliminary Analysis and in the record, CONU concludes that the review </w:t>
      </w:r>
      <w:r>
        <w:rPr>
          <w:szCs w:val="24"/>
        </w:rPr>
        <w:t>standards</w:t>
      </w:r>
      <w:r w:rsidRPr="00F46DB8">
        <w:rPr>
          <w:szCs w:val="24"/>
        </w:rPr>
        <w:t xml:space="preserve"> have been satisfied. CONU recommends the approval of the CON.</w:t>
      </w:r>
    </w:p>
    <w:p w:rsidR="003B2AE5" w:rsidRPr="00F46DB8" w:rsidRDefault="003B2AE5" w:rsidP="003B2AE5">
      <w:pPr>
        <w:pStyle w:val="NoSpacing"/>
        <w:jc w:val="both"/>
      </w:pPr>
    </w:p>
    <w:p w:rsidR="003B2AE5" w:rsidRPr="00E53A5B" w:rsidRDefault="003B2AE5" w:rsidP="003B2AE5">
      <w:pPr>
        <w:pStyle w:val="NoSpacing"/>
        <w:rPr>
          <w:b/>
        </w:rPr>
      </w:pPr>
      <w:r w:rsidRPr="00E53A5B">
        <w:rPr>
          <w:b/>
        </w:rPr>
        <w:t>VII. RECOMMENDATION:</w:t>
      </w:r>
    </w:p>
    <w:p w:rsidR="003B2AE5" w:rsidRPr="00F46DB8" w:rsidRDefault="003B2AE5" w:rsidP="003B2AE5">
      <w:pPr>
        <w:pStyle w:val="NoSpacing"/>
      </w:pPr>
    </w:p>
    <w:p w:rsidR="003B2AE5" w:rsidRPr="00F46DB8" w:rsidRDefault="003B2AE5" w:rsidP="003B2AE5">
      <w:pPr>
        <w:pStyle w:val="NoSpacing"/>
        <w:jc w:val="both"/>
        <w:rPr>
          <w:b/>
        </w:rPr>
      </w:pPr>
      <w:r w:rsidRPr="00F46DB8">
        <w:t xml:space="preserve">CONU recommends that this application be </w:t>
      </w:r>
      <w:r w:rsidRPr="00F46DB8">
        <w:rPr>
          <w:b/>
        </w:rPr>
        <w:t>Approved with the following conditions.</w:t>
      </w:r>
    </w:p>
    <w:p w:rsidR="003B2AE5" w:rsidRPr="00F46DB8" w:rsidRDefault="003B2AE5" w:rsidP="003B2AE5">
      <w:pPr>
        <w:pStyle w:val="NoSpacing"/>
      </w:pPr>
    </w:p>
    <w:p w:rsidR="003B2AE5" w:rsidRPr="00F46DB8" w:rsidRDefault="003B2AE5" w:rsidP="003B2AE5">
      <w:pPr>
        <w:pStyle w:val="NoSpacing"/>
        <w:jc w:val="both"/>
      </w:pPr>
      <w:r w:rsidRPr="00F46DB8">
        <w:rPr>
          <w:b/>
          <w:u w:val="single"/>
        </w:rPr>
        <w:t>Condition</w:t>
      </w:r>
      <w:r w:rsidRPr="00F46DB8">
        <w:t xml:space="preserve">: The applicant is to report improvements in quality and outcome measures related to the community services instituted to reduce chronic disease, obesity, colorectal cancer, dental care, domestic violence, fatal motor vehicle deaths, suicide and substance abuse. This report will be required on an annual basis within 90 days of its fiscal year end beginning with the time period when the </w:t>
      </w:r>
      <w:r w:rsidR="0041598E">
        <w:t>CON</w:t>
      </w:r>
      <w:r w:rsidRPr="00F46DB8">
        <w:t xml:space="preserve"> was approved until a full </w:t>
      </w:r>
      <w:r w:rsidR="0041598E">
        <w:t>3</w:t>
      </w:r>
      <w:r w:rsidR="0041598E" w:rsidRPr="00F46DB8">
        <w:t xml:space="preserve"> </w:t>
      </w:r>
      <w:r w:rsidRPr="00F46DB8">
        <w:t>years have elapsed since the date of the project commencement.</w:t>
      </w:r>
    </w:p>
    <w:p w:rsidR="003B2AE5" w:rsidRPr="00F46DB8" w:rsidRDefault="003B2AE5" w:rsidP="003B2AE5">
      <w:pPr>
        <w:pStyle w:val="NoSpacing"/>
        <w:jc w:val="both"/>
        <w:rPr>
          <w:sz w:val="22"/>
          <w:szCs w:val="22"/>
        </w:rPr>
      </w:pPr>
    </w:p>
    <w:p w:rsidR="003B2AE5" w:rsidRPr="00F46DB8" w:rsidRDefault="003B2AE5" w:rsidP="003B2AE5">
      <w:pPr>
        <w:pStyle w:val="NoSpacing"/>
        <w:jc w:val="both"/>
        <w:rPr>
          <w:u w:val="single"/>
        </w:rPr>
      </w:pPr>
      <w:r w:rsidRPr="00F46DB8">
        <w:rPr>
          <w:b/>
          <w:u w:val="single"/>
        </w:rPr>
        <w:t>Condition</w:t>
      </w:r>
      <w:r w:rsidRPr="00F46DB8">
        <w:t xml:space="preserve">: MaineHealth will notify DHHS whether it intends to make a Notice and Report filing with the </w:t>
      </w:r>
      <w:r w:rsidR="0041598E">
        <w:t>FTC</w:t>
      </w:r>
      <w:r w:rsidRPr="00F46DB8">
        <w:t xml:space="preserve"> under the HSR Act.</w:t>
      </w:r>
    </w:p>
    <w:p w:rsidR="003B2AE5" w:rsidRPr="00F46DB8" w:rsidRDefault="003B2AE5" w:rsidP="003B2AE5">
      <w:pPr>
        <w:pStyle w:val="NoSpacing"/>
        <w:jc w:val="both"/>
        <w:rPr>
          <w:sz w:val="22"/>
          <w:szCs w:val="22"/>
        </w:rPr>
      </w:pPr>
    </w:p>
    <w:p w:rsidR="00AE26CD" w:rsidRDefault="00AE26CD" w:rsidP="003B2AE5">
      <w:pPr>
        <w:pStyle w:val="NoSpacing"/>
        <w:jc w:val="both"/>
        <w:sectPr w:rsidR="00AE26CD">
          <w:pgSz w:w="12240" w:h="15840"/>
          <w:pgMar w:top="1440" w:right="1440" w:bottom="1440" w:left="1440" w:header="720" w:footer="720" w:gutter="0"/>
          <w:cols w:space="720"/>
          <w:docGrid w:linePitch="360"/>
        </w:sectPr>
      </w:pPr>
    </w:p>
    <w:p w:rsidR="003B2AE5" w:rsidRPr="00F46DB8" w:rsidRDefault="003B2AE5" w:rsidP="003B2AE5">
      <w:pPr>
        <w:pStyle w:val="NoSpacing"/>
        <w:jc w:val="both"/>
      </w:pPr>
      <w:r w:rsidRPr="00F46DB8">
        <w:lastRenderedPageBreak/>
        <w:t>If MaineHealth makes a Notice and Report HSR filing, MaineHealth will:</w:t>
      </w:r>
    </w:p>
    <w:p w:rsidR="003B2AE5" w:rsidRPr="00F46DB8" w:rsidRDefault="003B2AE5" w:rsidP="003B2AE5">
      <w:pPr>
        <w:pStyle w:val="NoSpacing"/>
        <w:ind w:left="720"/>
        <w:jc w:val="both"/>
      </w:pPr>
      <w:r w:rsidRPr="00F46DB8">
        <w:t xml:space="preserve">- Provide to DHHS any letter from the </w:t>
      </w:r>
      <w:r w:rsidR="0041598E">
        <w:t>FTC</w:t>
      </w:r>
      <w:r w:rsidRPr="00F46DB8">
        <w:t xml:space="preserve"> acknowledging the filing of the Notice and report.</w:t>
      </w:r>
    </w:p>
    <w:p w:rsidR="003B2AE5" w:rsidRPr="00F46DB8" w:rsidRDefault="003B2AE5" w:rsidP="003B2AE5">
      <w:pPr>
        <w:pStyle w:val="NoSpacing"/>
      </w:pPr>
    </w:p>
    <w:p w:rsidR="003B2AE5" w:rsidRPr="00F46DB8" w:rsidRDefault="003B2AE5" w:rsidP="003B2AE5">
      <w:pPr>
        <w:pStyle w:val="NoSpacing"/>
        <w:ind w:left="720"/>
        <w:jc w:val="both"/>
      </w:pPr>
      <w:r w:rsidRPr="00F46DB8">
        <w:t xml:space="preserve">- Notify DHHS if the </w:t>
      </w:r>
      <w:r w:rsidR="0041598E">
        <w:t>FTC</w:t>
      </w:r>
      <w:r w:rsidRPr="00F46DB8">
        <w:t xml:space="preserve"> or </w:t>
      </w:r>
      <w:r w:rsidR="0041598E">
        <w:t>DOJ</w:t>
      </w:r>
      <w:r w:rsidRPr="00F46DB8">
        <w:t xml:space="preserve"> has granted a request for early termination of 30-day waiting period requirement; or if the </w:t>
      </w:r>
      <w:r w:rsidR="0041598E">
        <w:t>FTC</w:t>
      </w:r>
      <w:r w:rsidRPr="00F46DB8">
        <w:t xml:space="preserve"> or </w:t>
      </w:r>
      <w:r w:rsidR="0041598E">
        <w:t>DOJ</w:t>
      </w:r>
      <w:r w:rsidRPr="00F46DB8">
        <w:t xml:space="preserve"> has made a formal request for additional information that would extend the </w:t>
      </w:r>
      <w:r w:rsidR="00E94F16" w:rsidRPr="00F46DB8">
        <w:t>30-day</w:t>
      </w:r>
      <w:r w:rsidRPr="00F46DB8">
        <w:t xml:space="preserve"> waiting period. </w:t>
      </w:r>
    </w:p>
    <w:p w:rsidR="003B2AE5" w:rsidRPr="00F46DB8" w:rsidRDefault="003B2AE5" w:rsidP="003B2AE5">
      <w:pPr>
        <w:pStyle w:val="NoSpacing"/>
      </w:pPr>
    </w:p>
    <w:p w:rsidR="003B2AE5" w:rsidRPr="00F46DB8" w:rsidRDefault="003B2AE5" w:rsidP="003B2AE5">
      <w:pPr>
        <w:pStyle w:val="NoSpacing"/>
        <w:ind w:left="720"/>
        <w:jc w:val="both"/>
        <w:rPr>
          <w:szCs w:val="24"/>
        </w:rPr>
      </w:pPr>
      <w:r w:rsidRPr="00F46DB8">
        <w:rPr>
          <w:szCs w:val="24"/>
        </w:rPr>
        <w:t xml:space="preserve">- Notify DHHS if the </w:t>
      </w:r>
      <w:r w:rsidR="0041598E">
        <w:rPr>
          <w:szCs w:val="24"/>
        </w:rPr>
        <w:t>FTC</w:t>
      </w:r>
      <w:r w:rsidRPr="00F46DB8">
        <w:rPr>
          <w:szCs w:val="24"/>
        </w:rPr>
        <w:t xml:space="preserve"> or </w:t>
      </w:r>
      <w:r w:rsidR="0041598E">
        <w:rPr>
          <w:szCs w:val="24"/>
        </w:rPr>
        <w:t>DOJ</w:t>
      </w:r>
      <w:r w:rsidRPr="00F46DB8">
        <w:rPr>
          <w:szCs w:val="24"/>
        </w:rPr>
        <w:t xml:space="preserve"> has allowed the waiting period a</w:t>
      </w:r>
      <w:r w:rsidR="00506183">
        <w:rPr>
          <w:szCs w:val="24"/>
        </w:rPr>
        <w:t>n</w:t>
      </w:r>
      <w:r w:rsidRPr="00F46DB8">
        <w:rPr>
          <w:szCs w:val="24"/>
        </w:rPr>
        <w:t>d any subsequent extension to lapse without taking further action, thereby allowing the transaction to occur.</w:t>
      </w:r>
    </w:p>
    <w:p w:rsidR="003B2AE5" w:rsidRPr="00F46DB8" w:rsidRDefault="003B2AE5" w:rsidP="003B2AE5">
      <w:pPr>
        <w:pStyle w:val="NoSpacing"/>
        <w:ind w:left="720"/>
        <w:jc w:val="both"/>
      </w:pPr>
    </w:p>
    <w:p w:rsidR="00F46DB8" w:rsidRPr="00F46DB8" w:rsidRDefault="003B2AE5" w:rsidP="00506183">
      <w:pPr>
        <w:pStyle w:val="NoSpacing"/>
        <w:jc w:val="both"/>
        <w:rPr>
          <w:b/>
        </w:rPr>
      </w:pPr>
      <w:r w:rsidRPr="00F46DB8">
        <w:rPr>
          <w:b/>
          <w:u w:val="single"/>
        </w:rPr>
        <w:t>Condition</w:t>
      </w:r>
      <w:r w:rsidRPr="00F46DB8">
        <w:rPr>
          <w:b/>
        </w:rPr>
        <w:t xml:space="preserve">: </w:t>
      </w:r>
      <w:r w:rsidRPr="00F46DB8">
        <w:t>The applicant is to report referral patterns in the FCHN service area. The report will include the patients’ diagnosis, permanent residence and hospital where the patient</w:t>
      </w:r>
      <w:r w:rsidR="0041598E">
        <w:t>s</w:t>
      </w:r>
      <w:r w:rsidRPr="00F46DB8">
        <w:t xml:space="preserve"> receive services. This report will be required on an annual basis within 90 days of its fiscal year end beginning with the time when the</w:t>
      </w:r>
      <w:r w:rsidR="007D3EB3">
        <w:t xml:space="preserve"> </w:t>
      </w:r>
      <w:r w:rsidR="0041598E">
        <w:t>CON</w:t>
      </w:r>
      <w:r w:rsidRPr="00F46DB8">
        <w:t xml:space="preserve"> was approved until a full </w:t>
      </w:r>
      <w:r w:rsidR="0041598E">
        <w:t>3</w:t>
      </w:r>
      <w:r w:rsidR="0041598E" w:rsidRPr="00F46DB8">
        <w:t xml:space="preserve"> </w:t>
      </w:r>
      <w:r w:rsidRPr="00F46DB8">
        <w:t>years have elapsed since the date of the project commencement.</w:t>
      </w:r>
    </w:p>
    <w:sectPr w:rsidR="00F46DB8" w:rsidRPr="00F46D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61" w:rsidRDefault="009F2261" w:rsidP="00F46DB8">
      <w:r>
        <w:separator/>
      </w:r>
    </w:p>
  </w:endnote>
  <w:endnote w:type="continuationSeparator" w:id="0">
    <w:p w:rsidR="009F2261" w:rsidRDefault="009F2261" w:rsidP="00F4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B8" w:rsidRDefault="003B2AE5">
    <w:pPr>
      <w:pStyle w:val="Footer"/>
      <w:jc w:val="center"/>
    </w:pPr>
    <w:r>
      <w:t xml:space="preserve">Page </w:t>
    </w:r>
    <w:r w:rsidRPr="001260A6">
      <w:rPr>
        <w:b/>
      </w:rPr>
      <w:fldChar w:fldCharType="begin"/>
    </w:r>
    <w:r w:rsidRPr="001260A6">
      <w:rPr>
        <w:b/>
      </w:rPr>
      <w:instrText xml:space="preserve"> PAGE </w:instrText>
    </w:r>
    <w:r w:rsidRPr="001260A6">
      <w:rPr>
        <w:b/>
      </w:rPr>
      <w:fldChar w:fldCharType="separate"/>
    </w:r>
    <w:r w:rsidR="00205240">
      <w:rPr>
        <w:b/>
        <w:noProof/>
      </w:rPr>
      <w:t>1</w:t>
    </w:r>
    <w:r w:rsidRPr="001260A6">
      <w:rPr>
        <w:b/>
      </w:rPr>
      <w:fldChar w:fldCharType="end"/>
    </w:r>
    <w:r>
      <w:t xml:space="preserve"> of </w:t>
    </w:r>
    <w:r w:rsidR="00604D9E" w:rsidRPr="001260A6">
      <w:rPr>
        <w:b/>
      </w:rPr>
      <w:fldChar w:fldCharType="begin"/>
    </w:r>
    <w:r w:rsidR="00604D9E" w:rsidRPr="001260A6">
      <w:rPr>
        <w:b/>
      </w:rPr>
      <w:instrText xml:space="preserve"> NUMPAGES </w:instrText>
    </w:r>
    <w:r w:rsidR="00604D9E" w:rsidRPr="001260A6">
      <w:rPr>
        <w:b/>
      </w:rPr>
      <w:fldChar w:fldCharType="separate"/>
    </w:r>
    <w:r w:rsidR="00205240">
      <w:rPr>
        <w:b/>
        <w:noProof/>
      </w:rPr>
      <w:t>1</w:t>
    </w:r>
    <w:r w:rsidR="00604D9E" w:rsidRPr="001260A6">
      <w:rPr>
        <w:b/>
        <w:noProof/>
      </w:rPr>
      <w:fldChar w:fldCharType="end"/>
    </w:r>
  </w:p>
  <w:p w:rsidR="00F46DB8" w:rsidRDefault="00F46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600012"/>
      <w:docPartObj>
        <w:docPartGallery w:val="Page Numbers (Bottom of Page)"/>
        <w:docPartUnique/>
      </w:docPartObj>
    </w:sdtPr>
    <w:sdtEndPr/>
    <w:sdtContent>
      <w:sdt>
        <w:sdtPr>
          <w:id w:val="-1669238322"/>
          <w:docPartObj>
            <w:docPartGallery w:val="Page Numbers (Top of Page)"/>
            <w:docPartUnique/>
          </w:docPartObj>
        </w:sdtPr>
        <w:sdtEndPr/>
        <w:sdtContent>
          <w:p w:rsidR="00F46DB8" w:rsidRDefault="00F46DB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05240">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05240">
              <w:rPr>
                <w:b/>
                <w:bCs/>
                <w:noProof/>
              </w:rPr>
              <w:t>9</w:t>
            </w:r>
            <w:r>
              <w:rPr>
                <w:b/>
                <w:bCs/>
                <w:szCs w:val="24"/>
              </w:rPr>
              <w:fldChar w:fldCharType="end"/>
            </w:r>
          </w:p>
        </w:sdtContent>
      </w:sdt>
    </w:sdtContent>
  </w:sdt>
  <w:p w:rsidR="00F46DB8" w:rsidRDefault="00F46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61" w:rsidRDefault="009F2261" w:rsidP="00F46DB8">
      <w:r>
        <w:separator/>
      </w:r>
    </w:p>
  </w:footnote>
  <w:footnote w:type="continuationSeparator" w:id="0">
    <w:p w:rsidR="009F2261" w:rsidRDefault="009F2261" w:rsidP="00F4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B8" w:rsidRPr="002E0407" w:rsidRDefault="00F46DB8" w:rsidP="00F46DB8">
    <w:pPr>
      <w:tabs>
        <w:tab w:val="center" w:pos="4320"/>
        <w:tab w:val="right" w:pos="8640"/>
      </w:tabs>
      <w:jc w:val="center"/>
      <w:rPr>
        <w:b/>
        <w:sz w:val="32"/>
        <w:szCs w:val="32"/>
        <w:u w:val="single"/>
      </w:rPr>
    </w:pPr>
    <w:r w:rsidRPr="002E0407">
      <w:rPr>
        <w:b/>
        <w:sz w:val="32"/>
        <w:szCs w:val="32"/>
        <w:u w:val="single"/>
      </w:rPr>
      <w:t>BRIEFING MEMO</w:t>
    </w:r>
  </w:p>
  <w:p w:rsidR="00F46DB8" w:rsidRPr="00F46DB8" w:rsidRDefault="00F46DB8" w:rsidP="00F46DB8">
    <w:pPr>
      <w:tabs>
        <w:tab w:val="center" w:pos="4320"/>
        <w:tab w:val="right" w:pos="8640"/>
      </w:tabs>
      <w:jc w:val="center"/>
      <w:rPr>
        <w:b/>
        <w:sz w:val="32"/>
        <w:szCs w:val="32"/>
      </w:rPr>
    </w:pPr>
    <w:r w:rsidRPr="00F46DB8">
      <w:rPr>
        <w:b/>
        <w:sz w:val="32"/>
        <w:szCs w:val="32"/>
      </w:rPr>
      <w:t>MaineHealth &amp; Franklin Community Health Network</w:t>
    </w:r>
  </w:p>
  <w:p w:rsidR="00F46DB8" w:rsidRPr="00F46DB8" w:rsidRDefault="00F46DB8" w:rsidP="00F46DB8">
    <w:pPr>
      <w:tabs>
        <w:tab w:val="center" w:pos="4320"/>
        <w:tab w:val="right" w:pos="8640"/>
      </w:tabs>
      <w:jc w:val="center"/>
      <w:rPr>
        <w:b/>
        <w:sz w:val="32"/>
        <w:szCs w:val="32"/>
      </w:rPr>
    </w:pPr>
    <w:r w:rsidRPr="00F46DB8">
      <w:rPr>
        <w:b/>
        <w:sz w:val="32"/>
        <w:szCs w:val="32"/>
      </w:rPr>
      <w:t>Acquisition of Control</w:t>
    </w:r>
  </w:p>
  <w:p w:rsidR="00F46DB8" w:rsidRDefault="00F46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B8" w:rsidRPr="00F46DB8" w:rsidRDefault="00F46DB8" w:rsidP="00F46DB8">
    <w:pPr>
      <w:tabs>
        <w:tab w:val="center" w:pos="4320"/>
        <w:tab w:val="right" w:pos="8640"/>
      </w:tabs>
      <w:jc w:val="center"/>
    </w:pPr>
    <w:r w:rsidRPr="00F46DB8">
      <w:t>MaineHealth &amp; Franklin Community Health Network</w:t>
    </w:r>
    <w:r w:rsidRPr="00F46DB8">
      <w:tab/>
      <w:t>Acquisition of Control</w:t>
    </w:r>
  </w:p>
  <w:p w:rsidR="00F46DB8" w:rsidRDefault="00F46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0F0EFF"/>
    <w:multiLevelType w:val="hybridMultilevel"/>
    <w:tmpl w:val="0980CB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5C9B"/>
    <w:multiLevelType w:val="hybridMultilevel"/>
    <w:tmpl w:val="4EEE7EDE"/>
    <w:lvl w:ilvl="0" w:tplc="6D9A1450">
      <w:start w:val="1"/>
      <w:numFmt w:val="lowerLetter"/>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44314E5"/>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84CD7"/>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50C37"/>
    <w:multiLevelType w:val="hybridMultilevel"/>
    <w:tmpl w:val="4EEE7EDE"/>
    <w:lvl w:ilvl="0" w:tplc="6D9A1450">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A220C"/>
    <w:multiLevelType w:val="multilevel"/>
    <w:tmpl w:val="DDC8C298"/>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Courier New" w:hint="default"/>
        <w:sz w:val="20"/>
      </w:rPr>
    </w:lvl>
    <w:lvl w:ilvl="2" w:tentative="1">
      <w:start w:val="1"/>
      <w:numFmt w:val="bullet"/>
      <w:lvlText w:val=""/>
      <w:lvlPicBulletId w:val="0"/>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6">
    <w:nsid w:val="42EB0274"/>
    <w:multiLevelType w:val="hybridMultilevel"/>
    <w:tmpl w:val="86CE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C4FBC"/>
    <w:multiLevelType w:val="hybridMultilevel"/>
    <w:tmpl w:val="6940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45E42"/>
    <w:multiLevelType w:val="multilevel"/>
    <w:tmpl w:val="19AAF816"/>
    <w:lvl w:ilvl="0">
      <w:start w:val="1"/>
      <w:numFmt w:val="bullet"/>
      <w:lvlText w:val=""/>
      <w:lvlJc w:val="left"/>
      <w:pPr>
        <w:tabs>
          <w:tab w:val="num" w:pos="3600"/>
        </w:tabs>
        <w:ind w:left="3600" w:hanging="360"/>
      </w:pPr>
      <w:rPr>
        <w:rFonts w:ascii="Symbol" w:hAnsi="Symbol" w:hint="default"/>
        <w:sz w:val="24"/>
        <w:szCs w:val="24"/>
      </w:rPr>
    </w:lvl>
    <w:lvl w:ilvl="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PicBulletId w:val="0"/>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9">
    <w:nsid w:val="559279EB"/>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61BC4"/>
    <w:multiLevelType w:val="hybridMultilevel"/>
    <w:tmpl w:val="4EEE7EDE"/>
    <w:lvl w:ilvl="0" w:tplc="6D9A1450">
      <w:start w:val="1"/>
      <w:numFmt w:val="lowerLetter"/>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E5C2E19"/>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45422"/>
    <w:multiLevelType w:val="hybridMultilevel"/>
    <w:tmpl w:val="4EEE7EDE"/>
    <w:lvl w:ilvl="0" w:tplc="6D9A1450">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9262BB"/>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2"/>
  </w:num>
  <w:num w:numId="5">
    <w:abstractNumId w:val="3"/>
  </w:num>
  <w:num w:numId="6">
    <w:abstractNumId w:val="9"/>
  </w:num>
  <w:num w:numId="7">
    <w:abstractNumId w:val="7"/>
  </w:num>
  <w:num w:numId="8">
    <w:abstractNumId w:val="6"/>
  </w:num>
  <w:num w:numId="9">
    <w:abstractNumId w:val="5"/>
  </w:num>
  <w:num w:numId="10">
    <w:abstractNumId w:val="0"/>
  </w:num>
  <w:num w:numId="11">
    <w:abstractNumId w:val="10"/>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B8"/>
    <w:rsid w:val="00042108"/>
    <w:rsid w:val="0005170C"/>
    <w:rsid w:val="00064209"/>
    <w:rsid w:val="000776C4"/>
    <w:rsid w:val="000941E4"/>
    <w:rsid w:val="000B7727"/>
    <w:rsid w:val="00106774"/>
    <w:rsid w:val="001260A6"/>
    <w:rsid w:val="00143E81"/>
    <w:rsid w:val="00170C4F"/>
    <w:rsid w:val="00205240"/>
    <w:rsid w:val="002871C1"/>
    <w:rsid w:val="00287F3E"/>
    <w:rsid w:val="002E0407"/>
    <w:rsid w:val="00300B2B"/>
    <w:rsid w:val="003B2AE5"/>
    <w:rsid w:val="003D36EB"/>
    <w:rsid w:val="003E3B51"/>
    <w:rsid w:val="0041598E"/>
    <w:rsid w:val="0047028F"/>
    <w:rsid w:val="00506183"/>
    <w:rsid w:val="00604D9E"/>
    <w:rsid w:val="006115C7"/>
    <w:rsid w:val="00627EF9"/>
    <w:rsid w:val="00667ABF"/>
    <w:rsid w:val="0068165C"/>
    <w:rsid w:val="007A59C1"/>
    <w:rsid w:val="007D32E0"/>
    <w:rsid w:val="007D3EB3"/>
    <w:rsid w:val="00847CDC"/>
    <w:rsid w:val="008879BA"/>
    <w:rsid w:val="00963566"/>
    <w:rsid w:val="009F2261"/>
    <w:rsid w:val="00A0020B"/>
    <w:rsid w:val="00A011F8"/>
    <w:rsid w:val="00A1067C"/>
    <w:rsid w:val="00AA7536"/>
    <w:rsid w:val="00AD2E1D"/>
    <w:rsid w:val="00AE26CD"/>
    <w:rsid w:val="00BD5A3A"/>
    <w:rsid w:val="00C210C2"/>
    <w:rsid w:val="00D068B4"/>
    <w:rsid w:val="00D46987"/>
    <w:rsid w:val="00DA03D0"/>
    <w:rsid w:val="00E25F9C"/>
    <w:rsid w:val="00E341E0"/>
    <w:rsid w:val="00E52B34"/>
    <w:rsid w:val="00E53A5B"/>
    <w:rsid w:val="00E7128A"/>
    <w:rsid w:val="00E94F16"/>
    <w:rsid w:val="00F46DB8"/>
    <w:rsid w:val="00F72A27"/>
    <w:rsid w:val="00F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B8"/>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B8"/>
    <w:pPr>
      <w:tabs>
        <w:tab w:val="center" w:pos="4680"/>
        <w:tab w:val="right" w:pos="9360"/>
      </w:tabs>
    </w:pPr>
  </w:style>
  <w:style w:type="character" w:customStyle="1" w:styleId="HeaderChar">
    <w:name w:val="Header Char"/>
    <w:basedOn w:val="DefaultParagraphFont"/>
    <w:link w:val="Header"/>
    <w:uiPriority w:val="99"/>
    <w:rsid w:val="00F46DB8"/>
  </w:style>
  <w:style w:type="paragraph" w:styleId="Footer">
    <w:name w:val="footer"/>
    <w:basedOn w:val="Normal"/>
    <w:link w:val="FooterChar"/>
    <w:uiPriority w:val="99"/>
    <w:unhideWhenUsed/>
    <w:rsid w:val="00F46DB8"/>
    <w:pPr>
      <w:tabs>
        <w:tab w:val="center" w:pos="4680"/>
        <w:tab w:val="right" w:pos="9360"/>
      </w:tabs>
    </w:pPr>
  </w:style>
  <w:style w:type="character" w:customStyle="1" w:styleId="FooterChar">
    <w:name w:val="Footer Char"/>
    <w:basedOn w:val="DefaultParagraphFont"/>
    <w:link w:val="Footer"/>
    <w:uiPriority w:val="99"/>
    <w:rsid w:val="00F46DB8"/>
  </w:style>
  <w:style w:type="paragraph" w:customStyle="1" w:styleId="Intro">
    <w:name w:val="Intro"/>
    <w:basedOn w:val="Normal"/>
    <w:rsid w:val="00F46DB8"/>
    <w:pPr>
      <w:spacing w:before="240" w:line="240" w:lineRule="exact"/>
      <w:ind w:left="1440" w:hanging="1440"/>
    </w:pPr>
  </w:style>
  <w:style w:type="paragraph" w:customStyle="1" w:styleId="Cover">
    <w:name w:val="Cover"/>
    <w:basedOn w:val="Normal"/>
    <w:rsid w:val="00F46DB8"/>
    <w:pPr>
      <w:tabs>
        <w:tab w:val="left" w:pos="720"/>
        <w:tab w:val="left" w:pos="1440"/>
        <w:tab w:val="left" w:pos="2160"/>
        <w:tab w:val="left" w:pos="4464"/>
        <w:tab w:val="left" w:pos="8496"/>
      </w:tabs>
      <w:spacing w:line="240" w:lineRule="exact"/>
      <w:ind w:left="720" w:hanging="720"/>
    </w:pPr>
  </w:style>
  <w:style w:type="paragraph" w:styleId="BalloonText">
    <w:name w:val="Balloon Text"/>
    <w:basedOn w:val="Normal"/>
    <w:link w:val="BalloonTextChar"/>
    <w:uiPriority w:val="99"/>
    <w:semiHidden/>
    <w:unhideWhenUsed/>
    <w:rsid w:val="00F46DB8"/>
    <w:rPr>
      <w:rFonts w:ascii="Tahoma" w:hAnsi="Tahoma" w:cs="Tahoma"/>
      <w:sz w:val="16"/>
      <w:szCs w:val="16"/>
    </w:rPr>
  </w:style>
  <w:style w:type="character" w:customStyle="1" w:styleId="BalloonTextChar">
    <w:name w:val="Balloon Text Char"/>
    <w:basedOn w:val="DefaultParagraphFont"/>
    <w:link w:val="BalloonText"/>
    <w:uiPriority w:val="99"/>
    <w:semiHidden/>
    <w:rsid w:val="00F46DB8"/>
    <w:rPr>
      <w:rFonts w:ascii="Tahoma" w:eastAsia="Times New Roman" w:hAnsi="Tahoma" w:cs="Tahoma"/>
      <w:sz w:val="16"/>
      <w:szCs w:val="16"/>
    </w:rPr>
  </w:style>
  <w:style w:type="paragraph" w:styleId="ListParagraph">
    <w:name w:val="List Paragraph"/>
    <w:basedOn w:val="Normal"/>
    <w:uiPriority w:val="34"/>
    <w:qFormat/>
    <w:rsid w:val="00300B2B"/>
    <w:pPr>
      <w:ind w:left="720"/>
      <w:contextualSpacing/>
    </w:pPr>
  </w:style>
  <w:style w:type="paragraph" w:styleId="NoSpacing">
    <w:name w:val="No Spacing"/>
    <w:uiPriority w:val="1"/>
    <w:qFormat/>
    <w:rsid w:val="00BD5A3A"/>
    <w:pPr>
      <w:spacing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67ABF"/>
    <w:rPr>
      <w:sz w:val="16"/>
      <w:szCs w:val="16"/>
    </w:rPr>
  </w:style>
  <w:style w:type="paragraph" w:styleId="CommentText">
    <w:name w:val="annotation text"/>
    <w:basedOn w:val="Normal"/>
    <w:link w:val="CommentTextChar"/>
    <w:uiPriority w:val="99"/>
    <w:semiHidden/>
    <w:unhideWhenUsed/>
    <w:rsid w:val="00667ABF"/>
    <w:rPr>
      <w:sz w:val="20"/>
    </w:rPr>
  </w:style>
  <w:style w:type="character" w:customStyle="1" w:styleId="CommentTextChar">
    <w:name w:val="Comment Text Char"/>
    <w:basedOn w:val="DefaultParagraphFont"/>
    <w:link w:val="CommentText"/>
    <w:uiPriority w:val="99"/>
    <w:semiHidden/>
    <w:rsid w:val="00667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BF"/>
    <w:rPr>
      <w:b/>
      <w:bCs/>
    </w:rPr>
  </w:style>
  <w:style w:type="character" w:customStyle="1" w:styleId="CommentSubjectChar">
    <w:name w:val="Comment Subject Char"/>
    <w:basedOn w:val="CommentTextChar"/>
    <w:link w:val="CommentSubject"/>
    <w:uiPriority w:val="99"/>
    <w:semiHidden/>
    <w:rsid w:val="00667AB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B8"/>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B8"/>
    <w:pPr>
      <w:tabs>
        <w:tab w:val="center" w:pos="4680"/>
        <w:tab w:val="right" w:pos="9360"/>
      </w:tabs>
    </w:pPr>
  </w:style>
  <w:style w:type="character" w:customStyle="1" w:styleId="HeaderChar">
    <w:name w:val="Header Char"/>
    <w:basedOn w:val="DefaultParagraphFont"/>
    <w:link w:val="Header"/>
    <w:uiPriority w:val="99"/>
    <w:rsid w:val="00F46DB8"/>
  </w:style>
  <w:style w:type="paragraph" w:styleId="Footer">
    <w:name w:val="footer"/>
    <w:basedOn w:val="Normal"/>
    <w:link w:val="FooterChar"/>
    <w:uiPriority w:val="99"/>
    <w:unhideWhenUsed/>
    <w:rsid w:val="00F46DB8"/>
    <w:pPr>
      <w:tabs>
        <w:tab w:val="center" w:pos="4680"/>
        <w:tab w:val="right" w:pos="9360"/>
      </w:tabs>
    </w:pPr>
  </w:style>
  <w:style w:type="character" w:customStyle="1" w:styleId="FooterChar">
    <w:name w:val="Footer Char"/>
    <w:basedOn w:val="DefaultParagraphFont"/>
    <w:link w:val="Footer"/>
    <w:uiPriority w:val="99"/>
    <w:rsid w:val="00F46DB8"/>
  </w:style>
  <w:style w:type="paragraph" w:customStyle="1" w:styleId="Intro">
    <w:name w:val="Intro"/>
    <w:basedOn w:val="Normal"/>
    <w:rsid w:val="00F46DB8"/>
    <w:pPr>
      <w:spacing w:before="240" w:line="240" w:lineRule="exact"/>
      <w:ind w:left="1440" w:hanging="1440"/>
    </w:pPr>
  </w:style>
  <w:style w:type="paragraph" w:customStyle="1" w:styleId="Cover">
    <w:name w:val="Cover"/>
    <w:basedOn w:val="Normal"/>
    <w:rsid w:val="00F46DB8"/>
    <w:pPr>
      <w:tabs>
        <w:tab w:val="left" w:pos="720"/>
        <w:tab w:val="left" w:pos="1440"/>
        <w:tab w:val="left" w:pos="2160"/>
        <w:tab w:val="left" w:pos="4464"/>
        <w:tab w:val="left" w:pos="8496"/>
      </w:tabs>
      <w:spacing w:line="240" w:lineRule="exact"/>
      <w:ind w:left="720" w:hanging="720"/>
    </w:pPr>
  </w:style>
  <w:style w:type="paragraph" w:styleId="BalloonText">
    <w:name w:val="Balloon Text"/>
    <w:basedOn w:val="Normal"/>
    <w:link w:val="BalloonTextChar"/>
    <w:uiPriority w:val="99"/>
    <w:semiHidden/>
    <w:unhideWhenUsed/>
    <w:rsid w:val="00F46DB8"/>
    <w:rPr>
      <w:rFonts w:ascii="Tahoma" w:hAnsi="Tahoma" w:cs="Tahoma"/>
      <w:sz w:val="16"/>
      <w:szCs w:val="16"/>
    </w:rPr>
  </w:style>
  <w:style w:type="character" w:customStyle="1" w:styleId="BalloonTextChar">
    <w:name w:val="Balloon Text Char"/>
    <w:basedOn w:val="DefaultParagraphFont"/>
    <w:link w:val="BalloonText"/>
    <w:uiPriority w:val="99"/>
    <w:semiHidden/>
    <w:rsid w:val="00F46DB8"/>
    <w:rPr>
      <w:rFonts w:ascii="Tahoma" w:eastAsia="Times New Roman" w:hAnsi="Tahoma" w:cs="Tahoma"/>
      <w:sz w:val="16"/>
      <w:szCs w:val="16"/>
    </w:rPr>
  </w:style>
  <w:style w:type="paragraph" w:styleId="ListParagraph">
    <w:name w:val="List Paragraph"/>
    <w:basedOn w:val="Normal"/>
    <w:uiPriority w:val="34"/>
    <w:qFormat/>
    <w:rsid w:val="00300B2B"/>
    <w:pPr>
      <w:ind w:left="720"/>
      <w:contextualSpacing/>
    </w:pPr>
  </w:style>
  <w:style w:type="paragraph" w:styleId="NoSpacing">
    <w:name w:val="No Spacing"/>
    <w:uiPriority w:val="1"/>
    <w:qFormat/>
    <w:rsid w:val="00BD5A3A"/>
    <w:pPr>
      <w:spacing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67ABF"/>
    <w:rPr>
      <w:sz w:val="16"/>
      <w:szCs w:val="16"/>
    </w:rPr>
  </w:style>
  <w:style w:type="paragraph" w:styleId="CommentText">
    <w:name w:val="annotation text"/>
    <w:basedOn w:val="Normal"/>
    <w:link w:val="CommentTextChar"/>
    <w:uiPriority w:val="99"/>
    <w:semiHidden/>
    <w:unhideWhenUsed/>
    <w:rsid w:val="00667ABF"/>
    <w:rPr>
      <w:sz w:val="20"/>
    </w:rPr>
  </w:style>
  <w:style w:type="character" w:customStyle="1" w:styleId="CommentTextChar">
    <w:name w:val="Comment Text Char"/>
    <w:basedOn w:val="DefaultParagraphFont"/>
    <w:link w:val="CommentText"/>
    <w:uiPriority w:val="99"/>
    <w:semiHidden/>
    <w:rsid w:val="00667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BF"/>
    <w:rPr>
      <w:b/>
      <w:bCs/>
    </w:rPr>
  </w:style>
  <w:style w:type="character" w:customStyle="1" w:styleId="CommentSubjectChar">
    <w:name w:val="Comment Subject Char"/>
    <w:basedOn w:val="CommentTextChar"/>
    <w:link w:val="CommentSubject"/>
    <w:uiPriority w:val="99"/>
    <w:semiHidden/>
    <w:rsid w:val="00667AB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hdo.maine.gov/imh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E3CE-F483-4566-AB9F-B1F843CE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Katie</dc:creator>
  <cp:lastModifiedBy>Smith, Katie</cp:lastModifiedBy>
  <cp:revision>2</cp:revision>
  <cp:lastPrinted>2014-08-01T14:06:00Z</cp:lastPrinted>
  <dcterms:created xsi:type="dcterms:W3CDTF">2014-08-28T14:21:00Z</dcterms:created>
  <dcterms:modified xsi:type="dcterms:W3CDTF">2014-08-28T14:21:00Z</dcterms:modified>
</cp:coreProperties>
</file>